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40" w:lineRule="exact"/>
        <w:jc w:val="lef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附件1：</w:t>
      </w:r>
    </w:p>
    <w:p>
      <w:pPr>
        <w:spacing w:before="240" w:beforeLines="100" w:after="360" w:afterLines="150"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省级农业科技园区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年度安全生产监督检查汇总表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004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eastAsia="zh-CN"/>
              </w:rPr>
              <w:t>门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对重点监管单位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计划检查家次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对一般监管单位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“双随机”抽查安排情况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安全管理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部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规划建设部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654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59</w:t>
            </w:r>
          </w:p>
        </w:tc>
      </w:tr>
    </w:tbl>
    <w:p>
      <w:pPr>
        <w:spacing w:line="6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74" w:bottom="1247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after="120" w:afterLines="50" w:line="640" w:lineRule="exact"/>
        <w:jc w:val="lef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316" w:after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4"/>
          <w:sz w:val="36"/>
          <w:szCs w:val="36"/>
          <w:lang w:val="en-US" w:eastAsia="zh-CN"/>
        </w:rPr>
        <w:t>安全管理部2023年度安全生产</w:t>
      </w:r>
      <w:r>
        <w:rPr>
          <w:rFonts w:hint="default" w:ascii="Times New Roman" w:hAnsi="Times New Roman" w:eastAsia="方正小标宋简体" w:cs="Times New Roman"/>
          <w:color w:val="000000"/>
          <w:spacing w:val="-4"/>
          <w:sz w:val="36"/>
          <w:szCs w:val="36"/>
        </w:rPr>
        <w:t>监督检查</w:t>
      </w:r>
      <w:r>
        <w:rPr>
          <w:rFonts w:hint="default" w:ascii="Times New Roman" w:hAnsi="Times New Roman" w:eastAsia="方正小标宋简体" w:cs="Times New Roman"/>
          <w:color w:val="000000"/>
          <w:spacing w:val="-4"/>
          <w:sz w:val="36"/>
          <w:szCs w:val="36"/>
          <w:lang w:eastAsia="zh-CN"/>
        </w:rPr>
        <w:t>计划安排表</w:t>
      </w:r>
    </w:p>
    <w:tbl>
      <w:tblPr>
        <w:tblStyle w:val="5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739"/>
        <w:gridCol w:w="2700"/>
        <w:gridCol w:w="771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检查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7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重点监管企业检查安排</w:t>
            </w:r>
          </w:p>
        </w:tc>
        <w:tc>
          <w:tcPr>
            <w:tcW w:w="4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一般监管企业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“双随机”抽查安排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抽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范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围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抽查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批次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抽查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家次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湖南倬亿打火机制造有限公司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二月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湖南湘典食品有限公司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加盛内企业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湖南飘香食品有限公司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四月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湖南佳年华包装有限公司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园区污水处理厂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有限空间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、福悦内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企业（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有限空间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五月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浏阳中蓝燃气有限公司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加盛内企业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六月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湖南坤源生物科技有限公司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七月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长沙绝艺食品有限公司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湖南湘鹰食品科技有限公司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八月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湖南掌中勺食品有限公司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加盛内污水处理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站（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有限空间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、加盛内企业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九月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浏阳高朗烈酒酿造有限公司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湖南欧泰渔具有限公司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加盛内企业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浏阳中节科技投资有限公司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十一月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湖南津匠食品有限公司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湖南省浏河彭记轩食品有限责任公司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供销内污水处理站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有限空间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、供销内企业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十二月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上海戎科特种装备有限公司长沙分公司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加盛内企业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生产车间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spacing w:after="120" w:afterLines="50" w:line="640" w:lineRule="exact"/>
        <w:jc w:val="lef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4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4"/>
          <w:sz w:val="36"/>
          <w:szCs w:val="36"/>
          <w:lang w:val="en-US" w:eastAsia="zh-CN"/>
        </w:rPr>
        <w:t>规划建设部2023年度安全生产监督检查计划安排表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83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3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4875"/>
        <w:gridCol w:w="1364"/>
        <w:gridCol w:w="116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重点监管企业检查安排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一般监管企业“双随机”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抽查安排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抽查范围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抽查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批次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抽查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家次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湖南兴泰园区管理服务有限责任公司综合用房项目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二月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广宇公租房一期建设项目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湖南新聪厨食品有限公司食品加工建设项目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万洋众创城（一期）项目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四月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湖南兴泰园区管理服务有限责任公司综合用房项目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五月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广宇公租房一期建设项目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六月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万洋众创城（一期）项目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七月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湖南新聪厨食品有限公司食品加工建设项目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八月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湖南兴泰园区管理服务有限责任公司综合用房项目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九月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万洋众创城（一期）项目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广宇公租房一期建设项目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十一月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湖南新聪厨食品有限公司食品加工建设项目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十二月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湖南兴泰园区管理服务有限责任公司综合用房项目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万洋众创城（一期）项目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- 5 -</w:t>
    </w:r>
    <w:r>
      <w:rPr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ZjBjZjM0NjNhYjRjZDc1ODQzNWU0YzFiZDIwOTIifQ=="/>
  </w:docVars>
  <w:rsids>
    <w:rsidRoot w:val="3C5A4A00"/>
    <w:rsid w:val="3C5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华文中宋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2023-01-03T06:42:00Z</dcterms:created>
  <dc:creator>最后的战役</dc:creator>
  <cp:lastModifiedBy>最后的战役</cp:lastModifiedBy>
  <dcterms:modified xsi:type="dcterms:W3CDTF">2023-01-03T06:43:02Z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62C60FB07AA945AC8C1E6311B03FF9A8</vt:lpwstr>
  </property>
</Properties>
</file>