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CB" w:rsidRDefault="00FD28CB" w:rsidP="00FD28CB">
      <w:pPr>
        <w:adjustRightInd w:val="0"/>
        <w:snapToGrid w:val="0"/>
        <w:spacing w:line="600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FD28CB" w:rsidRDefault="00FD28CB" w:rsidP="00FD28CB">
      <w:pPr>
        <w:adjustRightInd w:val="0"/>
        <w:snapToGrid w:val="0"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2020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年部门整体支出绩效自评表</w:t>
      </w:r>
    </w:p>
    <w:tbl>
      <w:tblPr>
        <w:tblW w:w="9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522"/>
        <w:gridCol w:w="70"/>
        <w:gridCol w:w="2372"/>
        <w:gridCol w:w="1271"/>
        <w:gridCol w:w="315"/>
        <w:gridCol w:w="680"/>
        <w:gridCol w:w="422"/>
        <w:gridCol w:w="1279"/>
        <w:gridCol w:w="138"/>
        <w:gridCol w:w="383"/>
        <w:gridCol w:w="1040"/>
      </w:tblGrid>
      <w:tr w:rsidR="00FD28CB" w:rsidTr="00C61940">
        <w:trPr>
          <w:trHeight w:val="600"/>
          <w:jc w:val="center"/>
        </w:trPr>
        <w:tc>
          <w:tcPr>
            <w:tcW w:w="16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部门（单位）名称</w:t>
            </w:r>
          </w:p>
        </w:tc>
        <w:tc>
          <w:tcPr>
            <w:tcW w:w="7970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  <w:kern w:val="0"/>
              </w:rPr>
              <w:t>湖南省浏阳大围山国家森林公园管理处</w:t>
            </w:r>
            <w:r>
              <w:rPr>
                <w:rFonts w:eastAsia="仿宋" w:hAnsi="仿宋"/>
                <w:color w:val="000000"/>
              </w:rPr>
              <w:t xml:space="preserve">　</w:t>
            </w:r>
          </w:p>
        </w:tc>
      </w:tr>
      <w:tr w:rsidR="00FD28CB" w:rsidTr="00C61940">
        <w:trPr>
          <w:trHeight w:val="517"/>
          <w:jc w:val="center"/>
        </w:trPr>
        <w:tc>
          <w:tcPr>
            <w:tcW w:w="161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整体支出规模</w:t>
            </w: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 xml:space="preserve">　</w:t>
            </w:r>
          </w:p>
        </w:tc>
        <w:tc>
          <w:tcPr>
            <w:tcW w:w="2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全年预算数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全年执行数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执行率</w:t>
            </w:r>
          </w:p>
        </w:tc>
      </w:tr>
      <w:tr w:rsidR="00FD28CB" w:rsidTr="00C61940">
        <w:trPr>
          <w:trHeight w:val="717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资金来源：（</w:t>
            </w:r>
            <w:r>
              <w:rPr>
                <w:rFonts w:eastAsia="仿宋"/>
                <w:color w:val="000000"/>
              </w:rPr>
              <w:t>1</w:t>
            </w:r>
            <w:r>
              <w:rPr>
                <w:rFonts w:eastAsia="仿宋" w:hAnsi="仿宋"/>
                <w:color w:val="000000"/>
              </w:rPr>
              <w:t>）财政拨款</w:t>
            </w:r>
          </w:p>
        </w:tc>
        <w:tc>
          <w:tcPr>
            <w:tcW w:w="2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2078.85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15107.88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726.74%</w:t>
            </w:r>
          </w:p>
        </w:tc>
      </w:tr>
      <w:tr w:rsidR="00FD28CB" w:rsidTr="00C61940">
        <w:trPr>
          <w:trHeight w:val="633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 xml:space="preserve">         </w:t>
            </w:r>
            <w:r>
              <w:rPr>
                <w:rFonts w:eastAsia="仿宋" w:hAnsi="仿宋"/>
                <w:color w:val="000000"/>
              </w:rPr>
              <w:t>（</w:t>
            </w:r>
            <w:r>
              <w:rPr>
                <w:rFonts w:eastAsia="仿宋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）其他资金</w:t>
            </w:r>
          </w:p>
        </w:tc>
        <w:tc>
          <w:tcPr>
            <w:tcW w:w="2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349.6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100%</w:t>
            </w:r>
          </w:p>
        </w:tc>
      </w:tr>
      <w:tr w:rsidR="00FD28CB" w:rsidTr="00C61940">
        <w:trPr>
          <w:trHeight w:val="700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资金结构：（</w:t>
            </w:r>
            <w:r>
              <w:rPr>
                <w:rFonts w:eastAsia="仿宋"/>
              </w:rPr>
              <w:t>1</w:t>
            </w:r>
            <w:r>
              <w:rPr>
                <w:rFonts w:eastAsia="仿宋" w:hAnsi="仿宋"/>
              </w:rPr>
              <w:t>）基本支出</w:t>
            </w:r>
          </w:p>
        </w:tc>
        <w:tc>
          <w:tcPr>
            <w:tcW w:w="2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1381.32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1583.36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114.6%</w:t>
            </w:r>
          </w:p>
        </w:tc>
      </w:tr>
      <w:tr w:rsidR="00FD28CB" w:rsidTr="00C61940">
        <w:trPr>
          <w:trHeight w:val="650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 xml:space="preserve">         </w:t>
            </w:r>
            <w:r>
              <w:rPr>
                <w:rFonts w:eastAsia="仿宋" w:hAnsi="仿宋"/>
                <w:color w:val="000000"/>
              </w:rPr>
              <w:t>（</w:t>
            </w:r>
            <w:r>
              <w:rPr>
                <w:rFonts w:eastAsia="仿宋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）项目支出</w:t>
            </w:r>
          </w:p>
        </w:tc>
        <w:tc>
          <w:tcPr>
            <w:tcW w:w="226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697.53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13874.12</w:t>
            </w:r>
          </w:p>
        </w:tc>
        <w:tc>
          <w:tcPr>
            <w:tcW w:w="15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1989.03%</w:t>
            </w:r>
          </w:p>
        </w:tc>
      </w:tr>
      <w:tr w:rsidR="00FD28CB" w:rsidTr="00C61940">
        <w:trPr>
          <w:trHeight w:val="700"/>
          <w:jc w:val="center"/>
        </w:trPr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年度总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体目标</w:t>
            </w:r>
          </w:p>
        </w:tc>
        <w:tc>
          <w:tcPr>
            <w:tcW w:w="45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年初设定目标</w:t>
            </w:r>
          </w:p>
        </w:tc>
        <w:tc>
          <w:tcPr>
            <w:tcW w:w="394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全年完成情况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</w:p>
        </w:tc>
        <w:tc>
          <w:tcPr>
            <w:tcW w:w="455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 xml:space="preserve">　全面贯彻落实党的十九大和市委经济工作会议精神，以自然保护地整合优化为契机，深化公园的体制机制改革，妥善处理好（森林资源、景区生态与人文资源）保护与利用的关系，突出抓好生态保护、环境整治、市场营销、产业发展、园区管理等工作重点，进一步整合资源，完善旅游服务配套，加快现代旅游产业的转型升级。</w:t>
            </w:r>
          </w:p>
        </w:tc>
        <w:tc>
          <w:tcPr>
            <w:tcW w:w="394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"/>
                <w:color w:val="000000"/>
              </w:rPr>
            </w:pPr>
            <w:r>
              <w:rPr>
                <w:rFonts w:eastAsia="仿宋" w:hAnsi="仿宋"/>
              </w:rPr>
              <w:t>以</w:t>
            </w:r>
            <w:r>
              <w:rPr>
                <w:rFonts w:eastAsia="仿宋" w:hAnsi="仿宋"/>
                <w:color w:val="000000"/>
              </w:rPr>
              <w:t>经济建设为中心，开拓创新，在逆境中求发展：</w:t>
            </w:r>
            <w:r>
              <w:rPr>
                <w:rFonts w:eastAsia="仿宋"/>
                <w:color w:val="000000"/>
              </w:rPr>
              <w:t>1</w:t>
            </w:r>
            <w:r>
              <w:rPr>
                <w:rFonts w:eastAsia="仿宋" w:hAnsi="仿宋"/>
                <w:color w:val="000000"/>
              </w:rPr>
              <w:t>、坚定必胜信心，坚决打赢疫情防控阻击战、决战决胜脱贫攻坚战、防范化解重大风险三场硬仗。</w:t>
            </w:r>
            <w:r>
              <w:rPr>
                <w:rFonts w:eastAsia="仿宋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、坚持绿色发展，加强生态保护：切实推进自然保护地整合优化工作；抓实抓细森林防火；加强森林资源管护。</w:t>
            </w:r>
            <w:r>
              <w:rPr>
                <w:rFonts w:eastAsia="仿宋"/>
                <w:color w:val="000000"/>
              </w:rPr>
              <w:t>3</w:t>
            </w:r>
            <w:r>
              <w:rPr>
                <w:rFonts w:eastAsia="仿宋" w:hAnsi="仿宋"/>
                <w:color w:val="000000"/>
              </w:rPr>
              <w:t>、创新营销模式，打造旅游品牌：重点打造品牌活动；推出创意主题活动；创新营销宣传思路</w:t>
            </w:r>
            <w:r>
              <w:rPr>
                <w:rFonts w:eastAsia="仿宋"/>
                <w:color w:val="000000"/>
              </w:rPr>
              <w:t>4</w:t>
            </w:r>
            <w:r>
              <w:rPr>
                <w:rFonts w:eastAsia="仿宋" w:hAnsi="仿宋"/>
                <w:color w:val="000000"/>
              </w:rPr>
              <w:t>、紧扣招商引资，强化项目支撑。</w:t>
            </w:r>
            <w:r>
              <w:rPr>
                <w:rFonts w:eastAsia="仿宋"/>
                <w:color w:val="000000"/>
              </w:rPr>
              <w:t>5</w:t>
            </w:r>
            <w:r>
              <w:rPr>
                <w:rFonts w:eastAsia="仿宋" w:hAnsi="仿宋"/>
                <w:color w:val="000000"/>
              </w:rPr>
              <w:t>、加强景区管理，提升服务水平：深化扫黑除恶；统筹园镇发展；加强门楼管理改革；强化安全生产；整治旅游环境；落实接访制度。</w:t>
            </w:r>
          </w:p>
          <w:p w:rsidR="00FD28CB" w:rsidRDefault="00FD28CB" w:rsidP="00C61940">
            <w:pPr>
              <w:spacing w:line="250" w:lineRule="exact"/>
              <w:rPr>
                <w:rFonts w:eastAsia="仿宋"/>
              </w:rPr>
            </w:pPr>
            <w:r>
              <w:rPr>
                <w:rFonts w:eastAsia="仿宋" w:hAnsi="仿宋"/>
                <w:color w:val="000000"/>
              </w:rPr>
              <w:t>二、以党建工作为引领，固本强基，在发展中把方向：</w:t>
            </w:r>
            <w:r>
              <w:rPr>
                <w:rFonts w:eastAsia="仿宋"/>
                <w:color w:val="000000"/>
              </w:rPr>
              <w:t>1</w:t>
            </w:r>
            <w:r>
              <w:rPr>
                <w:rFonts w:eastAsia="仿宋" w:hAnsi="仿宋"/>
                <w:color w:val="000000"/>
              </w:rPr>
              <w:t>、扎实开展党建工作。</w:t>
            </w:r>
            <w:r>
              <w:rPr>
                <w:rFonts w:eastAsia="仿宋"/>
                <w:color w:val="000000"/>
              </w:rPr>
              <w:t>2</w:t>
            </w:r>
            <w:r>
              <w:rPr>
                <w:rFonts w:eastAsia="仿宋" w:hAnsi="仿宋"/>
                <w:color w:val="000000"/>
              </w:rPr>
              <w:t>、深化党风廉政建设。</w:t>
            </w:r>
            <w:r>
              <w:rPr>
                <w:rFonts w:eastAsia="仿宋"/>
                <w:color w:val="000000"/>
              </w:rPr>
              <w:t>3</w:t>
            </w:r>
            <w:r>
              <w:rPr>
                <w:rFonts w:eastAsia="仿宋" w:hAnsi="仿宋"/>
                <w:color w:val="000000"/>
              </w:rPr>
              <w:t>、统筹推进意识形态、有序推进关协、工会、共青团、妇委会建设等各项工作。</w:t>
            </w:r>
          </w:p>
        </w:tc>
      </w:tr>
      <w:tr w:rsidR="00FD28CB" w:rsidTr="00C61940">
        <w:trPr>
          <w:trHeight w:val="783"/>
          <w:jc w:val="center"/>
        </w:trPr>
        <w:tc>
          <w:tcPr>
            <w:tcW w:w="9588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 w:rsidR="00FD28CB" w:rsidTr="00C61940">
        <w:trPr>
          <w:trHeight w:val="312"/>
          <w:jc w:val="center"/>
        </w:trPr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37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2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417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1417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color w:val="000000"/>
                <w:sz w:val="18"/>
                <w:szCs w:val="18"/>
              </w:rPr>
              <w:t>年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383" w:type="dxa"/>
            <w:vMerge w:val="restart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自评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0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偏差及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 w:rsidR="00FD28CB" w:rsidTr="00C61940">
        <w:trPr>
          <w:trHeight w:val="250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520"/>
          <w:jc w:val="center"/>
        </w:trPr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投入管理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指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5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预算编审管理（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立项规范性、完整性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预算执行管理（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预算完成率、支付进度率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预算完成程度好，资金支付及时性和均衡性程度高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预算执行率基本支出</w:t>
            </w:r>
            <w:r>
              <w:rPr>
                <w:rFonts w:eastAsia="仿宋_GB2312"/>
                <w:color w:val="000000"/>
                <w:sz w:val="18"/>
                <w:szCs w:val="18"/>
              </w:rPr>
              <w:t>114.6%</w:t>
            </w:r>
            <w:r>
              <w:rPr>
                <w:rFonts w:eastAsia="仿宋_GB2312"/>
                <w:color w:val="000000"/>
                <w:sz w:val="18"/>
                <w:szCs w:val="18"/>
              </w:rPr>
              <w:t>，项目支出为</w:t>
            </w:r>
            <w:r>
              <w:rPr>
                <w:rFonts w:eastAsia="仿宋_GB2312"/>
                <w:color w:val="000000"/>
                <w:sz w:val="18"/>
                <w:szCs w:val="18"/>
              </w:rPr>
              <w:t>1989.03%</w:t>
            </w:r>
            <w:r>
              <w:rPr>
                <w:rFonts w:eastAsia="仿宋_GB2312"/>
                <w:color w:val="000000"/>
                <w:sz w:val="18"/>
                <w:szCs w:val="18"/>
              </w:rPr>
              <w:t>，资金支付及时、均衡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未实行全口径预算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部门结转结余资金管理（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结转结余率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结转结余控制较好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结转结余率</w:t>
            </w: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预算绩效管理（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5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目标合理性，指标明确性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目标依据充分、与项目相符，指标清晰、细化、可衡量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年初有计划，年终有自评，目标合理，指标明确，效果明显。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个别项目指标未细化、量化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预决算信息公开管理（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预决算公开情况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全面、及时、准确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全部按时、准确在门户网站公开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财政监督管理（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财务监控有效性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采取必要措施保障资金安全规范运行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落实国库集中支付与公务卡制度，进一步加强了内部控制，债券资金财政双控专户专账管理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政府采购管理（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政府采购规范性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政府采购规范、有序、节约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严格按政府采购政策和内控制度执行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资产管理（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资产使用合规性</w:t>
            </w:r>
          </w:p>
        </w:tc>
        <w:tc>
          <w:tcPr>
            <w:tcW w:w="1417" w:type="dxa"/>
            <w:gridSpan w:val="3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建立资产台账，调拨、处置符合规定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所有固定资产录入管理系统，按规定处置报废，收入上缴非税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数量指标（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6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增加入园游客人数及完成门票收入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1200</w:t>
            </w:r>
            <w:r>
              <w:rPr>
                <w:rFonts w:eastAsia="仿宋_GB2312"/>
                <w:color w:val="000000"/>
                <w:sz w:val="18"/>
                <w:szCs w:val="18"/>
              </w:rPr>
              <w:t>万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全年完成门票收入</w:t>
            </w:r>
            <w:r>
              <w:rPr>
                <w:rFonts w:eastAsia="仿宋_GB2312"/>
                <w:color w:val="000000"/>
                <w:sz w:val="18"/>
                <w:szCs w:val="18"/>
              </w:rPr>
              <w:t>1387.38</w:t>
            </w:r>
            <w:r>
              <w:rPr>
                <w:rFonts w:eastAsia="仿宋_GB2312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完成率</w:t>
            </w:r>
            <w:r>
              <w:rPr>
                <w:rFonts w:eastAsia="仿宋_GB2312"/>
                <w:color w:val="000000"/>
                <w:sz w:val="18"/>
                <w:szCs w:val="18"/>
              </w:rPr>
              <w:t>115.6%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质量指标（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生态优先，科学发展</w:t>
            </w:r>
          </w:p>
        </w:tc>
        <w:tc>
          <w:tcPr>
            <w:tcW w:w="1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提升园区新品味，景区提质，塑造景区品牌，打造旅游新业态，构建特色旅游产品体，积极推进自然保护地体系建设。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景区品牌塑造、旅游产品打造仍在进行，逐年加强　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时效指标（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5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按月缴存收入</w:t>
            </w:r>
          </w:p>
        </w:tc>
        <w:tc>
          <w:tcPr>
            <w:tcW w:w="14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1200</w:t>
            </w:r>
            <w:r>
              <w:rPr>
                <w:rFonts w:eastAsia="仿宋_GB2312"/>
                <w:kern w:val="0"/>
                <w:sz w:val="20"/>
                <w:szCs w:val="20"/>
              </w:rPr>
              <w:t>万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按月上缴收入，全年完成收入</w:t>
            </w:r>
            <w:r>
              <w:rPr>
                <w:rFonts w:eastAsia="仿宋_GB2312"/>
                <w:kern w:val="0"/>
                <w:sz w:val="20"/>
                <w:szCs w:val="20"/>
              </w:rPr>
              <w:t>1360</w:t>
            </w:r>
            <w:r>
              <w:rPr>
                <w:rFonts w:eastAsia="仿宋_GB2312"/>
                <w:kern w:val="0"/>
                <w:sz w:val="20"/>
                <w:szCs w:val="20"/>
              </w:rPr>
              <w:t>万并全部缴存非税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成本指标（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6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u w:val="dotted"/>
              </w:rPr>
              <w:t>按预算执行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2078.85</w:t>
            </w:r>
            <w:r>
              <w:rPr>
                <w:rFonts w:eastAsia="仿宋_GB2312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成功发债收到债券资金</w:t>
            </w:r>
            <w:r>
              <w:rPr>
                <w:rFonts w:eastAsia="仿宋_GB2312"/>
                <w:sz w:val="18"/>
                <w:szCs w:val="18"/>
              </w:rPr>
              <w:t>12500</w:t>
            </w:r>
            <w:r>
              <w:rPr>
                <w:rFonts w:eastAsia="仿宋_GB2312"/>
                <w:sz w:val="18"/>
                <w:szCs w:val="18"/>
              </w:rPr>
              <w:t>万元并使用完成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效益指标</w:t>
            </w:r>
          </w:p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经济效益指标（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发展旅游文化，加大品牌宣传和市场营销力度，提升品牌影响力和美誉度，增加入园游客人数及门票收入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招商引资</w:t>
            </w:r>
            <w:r>
              <w:rPr>
                <w:rFonts w:eastAsia="仿宋_GB2312"/>
                <w:color w:val="000000"/>
                <w:sz w:val="18"/>
                <w:szCs w:val="18"/>
              </w:rPr>
              <w:t>2.4</w:t>
            </w:r>
            <w:r>
              <w:rPr>
                <w:rFonts w:eastAsia="仿宋_GB2312"/>
                <w:color w:val="000000"/>
                <w:sz w:val="18"/>
                <w:szCs w:val="18"/>
              </w:rPr>
              <w:t>亿元，实现旅游收入</w:t>
            </w:r>
            <w:r>
              <w:rPr>
                <w:rFonts w:eastAsia="仿宋_GB2312"/>
                <w:color w:val="000000"/>
                <w:sz w:val="18"/>
                <w:szCs w:val="18"/>
              </w:rPr>
              <w:t>3680</w:t>
            </w:r>
            <w:r>
              <w:rPr>
                <w:rFonts w:eastAsia="仿宋_GB2312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高效完成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社会效益指标（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促进社会稳定，地区经济增长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提高了所在地居民的物质文化生活水平，促进社会稳定。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生态效益指标（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森林防火，完成林相改造，林地</w:t>
            </w:r>
            <w:r>
              <w:rPr>
                <w:rFonts w:eastAsia="仿宋_GB2312"/>
                <w:color w:val="000000"/>
                <w:sz w:val="18"/>
                <w:szCs w:val="18"/>
              </w:rPr>
              <w:lastRenderedPageBreak/>
              <w:t>清理，自然保护地整合优化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lastRenderedPageBreak/>
              <w:t>实现全年零火警零火灾目标。高质</w:t>
            </w:r>
            <w:r>
              <w:rPr>
                <w:rFonts w:eastAsia="仿宋_GB2312"/>
                <w:color w:val="000000"/>
                <w:sz w:val="18"/>
                <w:szCs w:val="18"/>
              </w:rPr>
              <w:lastRenderedPageBreak/>
              <w:t>量完成林相改造，林地清理，既保护生态环境又打造特色精品景点，完成自然保护地整合优化。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23"/>
          <w:jc w:val="center"/>
        </w:trPr>
        <w:tc>
          <w:tcPr>
            <w:tcW w:w="1096" w:type="dxa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可持续影响指标（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管理制度健全，持续发展态势良好</w:t>
            </w:r>
          </w:p>
        </w:tc>
        <w:tc>
          <w:tcPr>
            <w:tcW w:w="1417" w:type="dxa"/>
            <w:gridSpan w:val="2"/>
            <w:vAlign w:val="center"/>
          </w:tcPr>
          <w:p w:rsidR="00FD28CB" w:rsidRDefault="00FD28CB" w:rsidP="00C61940"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景区基础设施完备，无重大风险，旅游品牌持续影响力较好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FD28CB" w:rsidTr="00C61940">
        <w:trPr>
          <w:trHeight w:val="553"/>
          <w:jc w:val="center"/>
        </w:trPr>
        <w:tc>
          <w:tcPr>
            <w:tcW w:w="109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满意度指标（</w:t>
            </w: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游客满意度</w:t>
            </w:r>
          </w:p>
        </w:tc>
        <w:tc>
          <w:tcPr>
            <w:tcW w:w="141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100%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D28CB" w:rsidTr="00C61940">
        <w:trPr>
          <w:trHeight w:val="699"/>
          <w:jc w:val="center"/>
        </w:trPr>
        <w:tc>
          <w:tcPr>
            <w:tcW w:w="4060" w:type="dxa"/>
            <w:gridSpan w:val="4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总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105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3" w:type="dxa"/>
            <w:vAlign w:val="center"/>
          </w:tcPr>
          <w:p w:rsidR="00FD28CB" w:rsidRDefault="00FD28CB" w:rsidP="00C61940"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8CB" w:rsidRDefault="00FD28CB" w:rsidP="00C6194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A15600" w:rsidRDefault="00A15600">
      <w:bookmarkStart w:id="0" w:name="_GoBack"/>
      <w:bookmarkEnd w:id="0"/>
    </w:p>
    <w:sectPr w:rsidR="00A1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9F" w:rsidRDefault="007A5E9F" w:rsidP="00FD28CB">
      <w:r>
        <w:separator/>
      </w:r>
    </w:p>
  </w:endnote>
  <w:endnote w:type="continuationSeparator" w:id="0">
    <w:p w:rsidR="007A5E9F" w:rsidRDefault="007A5E9F" w:rsidP="00FD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9F" w:rsidRDefault="007A5E9F" w:rsidP="00FD28CB">
      <w:r>
        <w:separator/>
      </w:r>
    </w:p>
  </w:footnote>
  <w:footnote w:type="continuationSeparator" w:id="0">
    <w:p w:rsidR="007A5E9F" w:rsidRDefault="007A5E9F" w:rsidP="00FD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0"/>
    <w:rsid w:val="007A5E9F"/>
    <w:rsid w:val="008D63F0"/>
    <w:rsid w:val="00A15600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77A30-FC9E-43C3-AD9F-CCF6DF3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D28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D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D28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2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D28C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FD28C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D28C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2021-06-17T03:03:00Z</dcterms:created>
  <dcterms:modified xsi:type="dcterms:W3CDTF">2021-06-17T03:05:00Z</dcterms:modified>
</cp:coreProperties>
</file>