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576" w:lineRule="exact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1</w:t>
      </w:r>
      <w:r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ab/>
      </w:r>
    </w:p>
    <w:p>
      <w:pPr>
        <w:widowControl w:val="0"/>
        <w:kinsoku/>
        <w:autoSpaceDE/>
        <w:autoSpaceDN/>
        <w:adjustRightInd/>
        <w:snapToGrid/>
        <w:spacing w:line="576" w:lineRule="exact"/>
        <w:jc w:val="center"/>
        <w:textAlignment w:val="auto"/>
        <w:rPr>
          <w:rFonts w:ascii="Times New Roman" w:hAnsi="Times New Roman" w:eastAsia="方正小标宋简体" w:cs="Times New Roman"/>
          <w:snapToGrid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snapToGrid/>
          <w:sz w:val="44"/>
          <w:szCs w:val="44"/>
          <w:lang w:eastAsia="zh-CN"/>
        </w:rPr>
        <w:t>部门整体支出绩效自评基础数据表</w:t>
      </w:r>
    </w:p>
    <w:p>
      <w:pPr>
        <w:widowControl w:val="0"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kinsoku/>
        <w:autoSpaceDE/>
        <w:autoSpaceDN/>
        <w:adjustRightInd/>
        <w:snapToGrid/>
        <w:spacing w:line="576" w:lineRule="exact"/>
        <w:jc w:val="both"/>
        <w:textAlignment w:val="auto"/>
        <w:rPr>
          <w:rFonts w:ascii="Times New Roman" w:hAnsi="Times New Roman" w:eastAsia="仿宋_GB2312" w:cs="Times New Roman"/>
          <w:snapToGrid/>
          <w:sz w:val="24"/>
          <w:lang w:eastAsia="zh-CN"/>
        </w:rPr>
      </w:pPr>
      <w:r>
        <w:rPr>
          <w:rFonts w:ascii="Times New Roman" w:hAnsi="Times New Roman" w:eastAsia="仿宋_GB2312" w:cs="Times New Roman"/>
          <w:snapToGrid/>
          <w:sz w:val="24"/>
          <w:lang w:eastAsia="zh-CN"/>
        </w:rPr>
        <w:t>填报单位：</w:t>
      </w:r>
      <w:r>
        <w:rPr>
          <w:rFonts w:hint="eastAsia" w:ascii="Times New Roman" w:hAnsi="Times New Roman" w:eastAsia="仿宋_GB2312" w:cs="Times New Roman"/>
          <w:snapToGrid/>
          <w:sz w:val="24"/>
          <w:lang w:eastAsia="zh-CN"/>
        </w:rPr>
        <w:t>胡耀邦故里管理局</w:t>
      </w:r>
      <w:r>
        <w:rPr>
          <w:rFonts w:ascii="Times New Roman" w:hAnsi="Times New Roman" w:eastAsia="仿宋_GB2312" w:cs="Times New Roman"/>
          <w:snapToGrid/>
          <w:sz w:val="24"/>
          <w:lang w:eastAsia="zh-CN"/>
        </w:rPr>
        <w:tab/>
      </w:r>
      <w:r>
        <w:rPr>
          <w:rFonts w:hint="eastAsia" w:ascii="Times New Roman" w:hAnsi="Times New Roman" w:eastAsia="仿宋_GB2312" w:cs="Times New Roman"/>
          <w:snapToGrid/>
          <w:sz w:val="24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napToGrid/>
          <w:sz w:val="24"/>
          <w:lang w:eastAsia="zh-CN"/>
        </w:rPr>
        <w:tab/>
      </w:r>
      <w:r>
        <w:rPr>
          <w:rFonts w:hint="eastAsia" w:ascii="Times New Roman" w:hAnsi="Times New Roman" w:eastAsia="仿宋_GB2312" w:cs="Times New Roman"/>
          <w:snapToGrid/>
          <w:sz w:val="24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snapToGrid/>
          <w:sz w:val="24"/>
          <w:lang w:eastAsia="zh-CN"/>
        </w:rPr>
        <w:t xml:space="preserve">      单位：万元</w:t>
      </w:r>
      <w:r>
        <w:rPr>
          <w:rFonts w:ascii="Times New Roman" w:hAnsi="Times New Roman" w:eastAsia="仿宋_GB2312" w:cs="Times New Roman"/>
          <w:snapToGrid/>
          <w:sz w:val="24"/>
          <w:lang w:eastAsia="zh-CN"/>
        </w:rPr>
        <w:tab/>
      </w:r>
      <w:r>
        <w:rPr>
          <w:rFonts w:ascii="Times New Roman" w:hAnsi="Times New Roman" w:eastAsia="仿宋_GB2312" w:cs="Times New Roman"/>
          <w:snapToGrid/>
          <w:sz w:val="24"/>
          <w:lang w:eastAsia="zh-CN"/>
        </w:rPr>
        <w:tab/>
      </w:r>
      <w:r>
        <w:rPr>
          <w:rFonts w:ascii="Times New Roman" w:hAnsi="Times New Roman" w:eastAsia="仿宋_GB2312" w:cs="Times New Roman"/>
          <w:snapToGrid/>
          <w:sz w:val="24"/>
          <w:lang w:eastAsia="zh-CN"/>
        </w:rPr>
        <w:tab/>
      </w:r>
      <w:r>
        <w:rPr>
          <w:rFonts w:ascii="Times New Roman" w:hAnsi="Times New Roman" w:eastAsia="仿宋_GB2312" w:cs="Times New Roman"/>
          <w:snapToGrid/>
          <w:sz w:val="24"/>
          <w:lang w:eastAsia="zh-CN"/>
        </w:rPr>
        <w:tab/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7"/>
        <w:gridCol w:w="1727"/>
        <w:gridCol w:w="2061"/>
        <w:gridCol w:w="17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>财政供养人员情况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  <w:t>编制数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  <w:t>2022年实际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  <w:t>在职人数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3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/>
                <w:sz w:val="24"/>
                <w:lang w:eastAsia="zh-CN"/>
              </w:rPr>
              <w:t>28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/>
                <w:sz w:val="24"/>
                <w:lang w:eastAsia="zh-CN"/>
              </w:rPr>
              <w:t>25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napToGrid/>
                <w:sz w:val="24"/>
                <w:lang w:eastAsia="zh-CN"/>
              </w:rPr>
              <w:t>89.29%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>经费控制情况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  <w:t>2021年决算数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  <w:t>2022年预算数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snapToGrid/>
                <w:sz w:val="24"/>
                <w:lang w:eastAsia="zh-CN"/>
              </w:rPr>
              <w:t>2022年决算数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>三公经费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12.95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31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4.59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 xml:space="preserve">   1、公务用车购置和维护经费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0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 xml:space="preserve">       其中：公车购置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0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 xml:space="preserve">             公车运行维护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0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 xml:space="preserve">   2、出国经费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0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0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 xml:space="preserve">   3、公务接待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12.95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31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4.59</w:t>
            </w:r>
          </w:p>
        </w:tc>
      </w:tr>
      <w:tr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>项目支出：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1462.86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564.14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3216.24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ind w:firstLine="360" w:firstLineChars="150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>1、业务工作专项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ind w:firstLine="360" w:firstLineChars="150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>2、运行维护专项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911.26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564.14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545.31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numPr>
                <w:ilvl w:val="0"/>
                <w:numId w:val="0"/>
              </w:numPr>
              <w:kinsoku/>
              <w:autoSpaceDE/>
              <w:autoSpaceDN/>
              <w:adjustRightInd/>
              <w:snapToGrid/>
              <w:spacing w:line="320" w:lineRule="exact"/>
              <w:ind w:left="400" w:leftChars="0"/>
              <w:jc w:val="left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、其他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551.6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2670.93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>公用经费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94.34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155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174.95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 xml:space="preserve">    其中：办公经费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0.07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4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 xml:space="preserve">          水费、电费、差旅费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0.95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5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11.57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 xml:space="preserve">          会议费、培训费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0.17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1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0.03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>政府采购金额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>——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236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2775.18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 xml:space="preserve">部门整体支出预算调整 </w:t>
            </w:r>
          </w:p>
        </w:tc>
        <w:tc>
          <w:tcPr>
            <w:tcW w:w="1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>——</w:t>
            </w:r>
          </w:p>
        </w:tc>
        <w:tc>
          <w:tcPr>
            <w:tcW w:w="2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1125.95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24"/>
                <w:lang w:eastAsia="zh-CN"/>
              </w:rPr>
              <w:t>3872.02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34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>厉行节约保障措施</w:t>
            </w:r>
          </w:p>
        </w:tc>
        <w:tc>
          <w:tcPr>
            <w:tcW w:w="55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320" w:lineRule="exact"/>
              <w:jc w:val="both"/>
              <w:textAlignment w:val="auto"/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24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1.</w:t>
            </w:r>
            <w:r>
              <w:rPr>
                <w:rFonts w:hint="eastAsia" w:eastAsia="仿宋_GB2312"/>
                <w:sz w:val="24"/>
                <w:lang w:eastAsia="zh-CN"/>
              </w:rPr>
              <w:t>节约办公经费。各部室要本着节俭、适度的原则配置办公设备和办公用品。2.从严控制三公经费开支。3.加强工作人员因公出差和公务出行管理。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360" w:lineRule="exact"/>
        <w:ind w:left="630" w:hanging="630" w:hangingChars="300"/>
        <w:jc w:val="both"/>
        <w:textAlignment w:val="auto"/>
        <w:rPr>
          <w:rFonts w:ascii="Times New Roman" w:hAnsi="Times New Roman" w:eastAsia="仿宋_GB2312" w:cs="Times New Roman"/>
          <w:snapToGrid/>
          <w:lang w:eastAsia="zh-CN"/>
        </w:rPr>
      </w:pPr>
      <w:r>
        <w:rPr>
          <w:rFonts w:ascii="Times New Roman" w:hAnsi="Times New Roman" w:eastAsia="仿宋_GB2312" w:cs="Times New Roman"/>
          <w:snapToGrid/>
          <w:lang w:eastAsia="zh-CN"/>
        </w:rPr>
        <w:t>说明：“项目支出”需要填报除公共专项资金和基本支出以外的所有项目情况，包括业务工作项目、运行维护项目等；“公用经费”填报基本支出中的一般商品和服务支出。</w:t>
      </w:r>
    </w:p>
    <w:p>
      <w:pPr>
        <w:widowControl w:val="0"/>
        <w:kinsoku/>
        <w:autoSpaceDE/>
        <w:autoSpaceDN/>
        <w:spacing w:line="400" w:lineRule="exact"/>
        <w:jc w:val="both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</w:pPr>
    </w:p>
    <w:p>
      <w:pPr>
        <w:widowControl w:val="0"/>
        <w:kinsoku/>
        <w:autoSpaceDE/>
        <w:autoSpaceDN/>
        <w:adjustRightInd/>
        <w:snapToGrid/>
        <w:spacing w:line="576" w:lineRule="exact"/>
        <w:jc w:val="both"/>
        <w:textAlignment w:val="auto"/>
        <w:rPr>
          <w:rFonts w:hint="eastAsia" w:ascii="Times New Roman" w:hAnsi="Times New Roman" w:eastAsia="黑体" w:cs="Times New Roman"/>
          <w:snapToGrid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附件2</w:t>
      </w:r>
    </w:p>
    <w:p>
      <w:pPr>
        <w:widowControl w:val="0"/>
        <w:kinsoku/>
        <w:autoSpaceDE/>
        <w:autoSpaceDN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snapToGrid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snapToGrid/>
          <w:sz w:val="44"/>
          <w:szCs w:val="44"/>
          <w:lang w:eastAsia="zh-CN"/>
        </w:rPr>
        <w:t>2022年部门整体支出绩效自评表</w:t>
      </w:r>
    </w:p>
    <w:p>
      <w:pPr>
        <w:pStyle w:val="2"/>
        <w:jc w:val="center"/>
      </w:pPr>
      <w:r>
        <w:rPr>
          <w:rFonts w:hint="eastAsia" w:ascii="仿宋_GB2312" w:hAnsi="仿宋_GB2312" w:eastAsia="仿宋_GB2312" w:cs="仿宋_GB2312"/>
          <w:snapToGrid/>
          <w:sz w:val="24"/>
          <w:szCs w:val="24"/>
          <w:lang w:val="en-US" w:eastAsia="zh-CN"/>
        </w:rPr>
        <w:t xml:space="preserve">                                                        </w:t>
      </w:r>
      <w:r>
        <w:rPr>
          <w:rFonts w:hint="eastAsia" w:ascii="仿宋_GB2312" w:hAnsi="仿宋_GB2312" w:eastAsia="仿宋_GB2312" w:cs="仿宋_GB2312"/>
          <w:snapToGrid/>
          <w:sz w:val="24"/>
          <w:szCs w:val="24"/>
        </w:rPr>
        <w:t>单位：万元</w:t>
      </w:r>
    </w:p>
    <w:tbl>
      <w:tblPr>
        <w:tblStyle w:val="7"/>
        <w:tblW w:w="1009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1"/>
        <w:gridCol w:w="604"/>
        <w:gridCol w:w="2396"/>
        <w:gridCol w:w="2201"/>
        <w:gridCol w:w="973"/>
        <w:gridCol w:w="99"/>
        <w:gridCol w:w="809"/>
        <w:gridCol w:w="732"/>
        <w:gridCol w:w="11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部门（单位）名称</w:t>
            </w:r>
          </w:p>
        </w:tc>
        <w:tc>
          <w:tcPr>
            <w:tcW w:w="8384" w:type="dxa"/>
            <w:gridSpan w:val="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胡耀邦故里管理局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5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整体支出规模</w:t>
            </w:r>
          </w:p>
        </w:tc>
        <w:tc>
          <w:tcPr>
            <w:tcW w:w="2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327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全年预算数</w:t>
            </w:r>
          </w:p>
        </w:tc>
        <w:tc>
          <w:tcPr>
            <w:tcW w:w="15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全年执行数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执行率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5" w:type="dxa"/>
            <w:gridSpan w:val="2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资金来源：（1）财政拨款</w:t>
            </w:r>
          </w:p>
        </w:tc>
        <w:tc>
          <w:tcPr>
            <w:tcW w:w="327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1125.95</w:t>
            </w:r>
          </w:p>
        </w:tc>
        <w:tc>
          <w:tcPr>
            <w:tcW w:w="15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3839.02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340.96%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5" w:type="dxa"/>
            <w:gridSpan w:val="2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 xml:space="preserve">         （2）其他资金</w:t>
            </w:r>
          </w:p>
        </w:tc>
        <w:tc>
          <w:tcPr>
            <w:tcW w:w="327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0</w:t>
            </w:r>
          </w:p>
        </w:tc>
        <w:tc>
          <w:tcPr>
            <w:tcW w:w="15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33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5" w:type="dxa"/>
            <w:gridSpan w:val="2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资金结构：（1）基本支出</w:t>
            </w:r>
          </w:p>
        </w:tc>
        <w:tc>
          <w:tcPr>
            <w:tcW w:w="327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561.81</w:t>
            </w:r>
          </w:p>
        </w:tc>
        <w:tc>
          <w:tcPr>
            <w:tcW w:w="15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655.78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116.73%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15" w:type="dxa"/>
            <w:gridSpan w:val="2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 xml:space="preserve">         （2）项目支出</w:t>
            </w:r>
          </w:p>
        </w:tc>
        <w:tc>
          <w:tcPr>
            <w:tcW w:w="3273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564.14</w:t>
            </w:r>
          </w:p>
        </w:tc>
        <w:tc>
          <w:tcPr>
            <w:tcW w:w="1541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3216.24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570.11%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年度总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体目标</w:t>
            </w:r>
          </w:p>
        </w:tc>
        <w:tc>
          <w:tcPr>
            <w:tcW w:w="520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年初设定目标</w:t>
            </w:r>
          </w:p>
        </w:tc>
        <w:tc>
          <w:tcPr>
            <w:tcW w:w="378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全年完成情况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5201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保证机关正常运行和业务专项工作顺利开展。　</w:t>
            </w:r>
          </w:p>
        </w:tc>
        <w:tc>
          <w:tcPr>
            <w:tcW w:w="3787" w:type="dxa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各项预定目标基本实现，重点工作任务及时完成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099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分解目标自评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6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权重</w:t>
            </w:r>
          </w:p>
        </w:tc>
        <w:tc>
          <w:tcPr>
            <w:tcW w:w="239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二级指标</w:t>
            </w:r>
          </w:p>
        </w:tc>
        <w:tc>
          <w:tcPr>
            <w:tcW w:w="220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三级指标</w:t>
            </w:r>
          </w:p>
        </w:tc>
        <w:tc>
          <w:tcPr>
            <w:tcW w:w="973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年度指标值</w:t>
            </w:r>
          </w:p>
        </w:tc>
        <w:tc>
          <w:tcPr>
            <w:tcW w:w="908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全  年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完成值</w:t>
            </w:r>
          </w:p>
        </w:tc>
        <w:tc>
          <w:tcPr>
            <w:tcW w:w="732" w:type="dxa"/>
            <w:vMerge w:val="restart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自评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得分</w:t>
            </w:r>
          </w:p>
        </w:tc>
        <w:tc>
          <w:tcPr>
            <w:tcW w:w="117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偏差及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原因分析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20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973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908" w:type="dxa"/>
            <w:gridSpan w:val="2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732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17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90" w:hRule="atLeast"/>
          <w:jc w:val="center"/>
        </w:trPr>
        <w:tc>
          <w:tcPr>
            <w:tcW w:w="111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投入管理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指  标</w:t>
            </w:r>
          </w:p>
        </w:tc>
        <w:tc>
          <w:tcPr>
            <w:tcW w:w="6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2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预算编审管理（3）</w:t>
            </w:r>
          </w:p>
        </w:tc>
        <w:tc>
          <w:tcPr>
            <w:tcW w:w="317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根据财政管理工作绩效考核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相关办法规定填报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预算执行管理（4）</w:t>
            </w:r>
          </w:p>
        </w:tc>
        <w:tc>
          <w:tcPr>
            <w:tcW w:w="3174" w:type="dxa"/>
            <w:gridSpan w:val="2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部门结转结余资金管理（4）</w:t>
            </w:r>
          </w:p>
        </w:tc>
        <w:tc>
          <w:tcPr>
            <w:tcW w:w="3174" w:type="dxa"/>
            <w:gridSpan w:val="2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预算绩效管理（5）</w:t>
            </w:r>
          </w:p>
        </w:tc>
        <w:tc>
          <w:tcPr>
            <w:tcW w:w="3174" w:type="dxa"/>
            <w:gridSpan w:val="2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预决算信息公开管理（4）</w:t>
            </w:r>
          </w:p>
        </w:tc>
        <w:tc>
          <w:tcPr>
            <w:tcW w:w="3174" w:type="dxa"/>
            <w:gridSpan w:val="2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财政监督管理（3）</w:t>
            </w:r>
          </w:p>
        </w:tc>
        <w:tc>
          <w:tcPr>
            <w:tcW w:w="3174" w:type="dxa"/>
            <w:gridSpan w:val="2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政府采购管理（3）</w:t>
            </w:r>
          </w:p>
        </w:tc>
        <w:tc>
          <w:tcPr>
            <w:tcW w:w="3174" w:type="dxa"/>
            <w:gridSpan w:val="2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资产管理（4）</w:t>
            </w:r>
          </w:p>
        </w:tc>
        <w:tc>
          <w:tcPr>
            <w:tcW w:w="3174" w:type="dxa"/>
            <w:gridSpan w:val="2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产出指标</w:t>
            </w:r>
          </w:p>
        </w:tc>
        <w:tc>
          <w:tcPr>
            <w:tcW w:w="6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25</w:t>
            </w:r>
          </w:p>
        </w:tc>
        <w:tc>
          <w:tcPr>
            <w:tcW w:w="239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数量指标（6）</w:t>
            </w: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年度工作任务完成率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　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预算执行率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　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343.89%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政府采购执行率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　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质量指标（8）</w:t>
            </w: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固定资产利用率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　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资金使用率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　　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项目完工验收率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　　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时效指标（5）</w:t>
            </w: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项目验收及时率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　　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活动完成率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　　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成本指标（6）</w:t>
            </w: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预算调整率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　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243.89%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年中预算调整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公用经费控制率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112.87%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人员增加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三公经费控制率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14.81%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604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权重</w:t>
            </w:r>
          </w:p>
        </w:tc>
        <w:tc>
          <w:tcPr>
            <w:tcW w:w="2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二级指标</w:t>
            </w: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三级指标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60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45</w:t>
            </w:r>
          </w:p>
        </w:tc>
        <w:tc>
          <w:tcPr>
            <w:tcW w:w="2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经济效益指标（10）</w:t>
            </w: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带动旅游业同比增长率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90%　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≥90%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社会效益指标（10）</w:t>
            </w: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弘扬爱国主义精神、宣传胡耀邦同志思想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　　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　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促进社会红色文化的提升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　　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生态效益指标（7）</w:t>
            </w: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提高本地人文生态环境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　　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可持续影响指标（8）</w:t>
            </w: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持续促进红色旅游发展、宣传胡耀邦同志思想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　</w:t>
            </w:r>
          </w:p>
        </w:tc>
        <w:tc>
          <w:tcPr>
            <w:tcW w:w="908" w:type="dxa"/>
            <w:gridSpan w:val="2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1174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满意度指标（10）</w:t>
            </w: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群众参与满意度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100%　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100%</w:t>
            </w:r>
          </w:p>
        </w:tc>
        <w:tc>
          <w:tcPr>
            <w:tcW w:w="732" w:type="dxa"/>
            <w:vMerge w:val="restart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1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604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396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22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投诉率</w:t>
            </w:r>
          </w:p>
        </w:tc>
        <w:tc>
          <w:tcPr>
            <w:tcW w:w="97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0.01%　</w:t>
            </w:r>
          </w:p>
        </w:tc>
        <w:tc>
          <w:tcPr>
            <w:tcW w:w="908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0.01%　</w:t>
            </w:r>
          </w:p>
        </w:tc>
        <w:tc>
          <w:tcPr>
            <w:tcW w:w="732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111" w:type="dxa"/>
            <w:gridSpan w:val="3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总  分</w:t>
            </w:r>
          </w:p>
        </w:tc>
        <w:tc>
          <w:tcPr>
            <w:tcW w:w="4082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100</w:t>
            </w:r>
          </w:p>
        </w:tc>
        <w:tc>
          <w:tcPr>
            <w:tcW w:w="73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18"/>
                <w:szCs w:val="18"/>
                <w:lang w:eastAsia="zh-CN"/>
              </w:rPr>
              <w:t>98</w:t>
            </w:r>
          </w:p>
        </w:tc>
        <w:tc>
          <w:tcPr>
            <w:tcW w:w="11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50" w:lineRule="exact"/>
              <w:jc w:val="center"/>
              <w:textAlignment w:val="auto"/>
              <w:rPr>
                <w:rFonts w:ascii="Times New Roman" w:hAnsi="Times New Roman" w:eastAsia="仿宋_GB2312"/>
                <w:sz w:val="18"/>
                <w:szCs w:val="18"/>
                <w:lang w:eastAsia="zh-CN"/>
              </w:rPr>
            </w:pPr>
          </w:p>
        </w:tc>
      </w:tr>
    </w:tbl>
    <w:p>
      <w:pPr>
        <w:widowControl w:val="0"/>
        <w:kinsoku/>
        <w:autoSpaceDE/>
        <w:autoSpaceDN/>
        <w:adjustRightInd/>
        <w:snapToGrid/>
        <w:spacing w:line="400" w:lineRule="exact"/>
        <w:ind w:left="422" w:leftChars="1" w:hanging="420" w:hangingChars="200"/>
        <w:jc w:val="both"/>
        <w:textAlignment w:val="auto"/>
        <w:rPr>
          <w:rFonts w:ascii="Times New Roman" w:hAnsi="Times New Roman" w:eastAsia="楷体_GB2312" w:cs="Times New Roman"/>
          <w:snapToGrid/>
          <w:lang w:eastAsia="zh-CN"/>
        </w:rPr>
      </w:pPr>
      <w:r>
        <w:rPr>
          <w:rFonts w:ascii="Times New Roman" w:hAnsi="Times New Roman" w:eastAsia="楷体_GB2312" w:cs="Times New Roman"/>
          <w:snapToGrid/>
          <w:lang w:eastAsia="zh-CN"/>
        </w:rPr>
        <w:t>注：</w:t>
      </w:r>
      <w:r>
        <w:rPr>
          <w:rFonts w:ascii="Times New Roman" w:hAnsi="Times New Roman" w:eastAsia="楷体_GB2312" w:cs="Times New Roman"/>
          <w:snapToGrid/>
          <w:spacing w:val="-4"/>
          <w:lang w:eastAsia="zh-CN"/>
        </w:rPr>
        <w:t>上述产出指标和效益指标既可以按照重点任务完成情况分别填列，也可以依据所有重点任务归纳提炼综合指标。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napToGrid/>
          <w:sz w:val="32"/>
          <w:szCs w:val="32"/>
          <w:lang w:eastAsia="zh-CN"/>
        </w:rPr>
        <w:br w:type="page"/>
      </w:r>
      <w:r>
        <w:rPr>
          <w:rFonts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napToGrid/>
          <w:kern w:val="2"/>
          <w:sz w:val="32"/>
          <w:szCs w:val="32"/>
          <w:lang w:eastAsia="zh-CN"/>
        </w:rPr>
        <w:t>3</w:t>
      </w:r>
    </w:p>
    <w:p>
      <w:pPr>
        <w:widowControl w:val="0"/>
        <w:kinsoku/>
        <w:autoSpaceDE/>
        <w:autoSpaceDN/>
        <w:spacing w:line="480" w:lineRule="exact"/>
        <w:jc w:val="center"/>
        <w:textAlignment w:val="auto"/>
        <w:rPr>
          <w:rFonts w:ascii="Times New Roman" w:hAnsi="Times New Roman" w:eastAsia="方正小标宋简体" w:cs="Times New Roman"/>
          <w:snapToGrid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snapToGrid/>
          <w:sz w:val="44"/>
          <w:szCs w:val="44"/>
          <w:lang w:eastAsia="zh-CN"/>
        </w:rPr>
        <w:t>2022年项目支出绩效自评表</w:t>
      </w:r>
    </w:p>
    <w:p>
      <w:pPr>
        <w:widowControl w:val="0"/>
        <w:kinsoku/>
        <w:autoSpaceDE/>
        <w:autoSpaceDN/>
        <w:spacing w:line="300" w:lineRule="exact"/>
        <w:jc w:val="center"/>
        <w:textAlignment w:val="auto"/>
        <w:rPr>
          <w:rFonts w:hint="eastAsia" w:ascii="仿宋_GB2312" w:hAnsi="Times New Roman" w:eastAsia="仿宋_GB2312" w:cs="Times New Roman"/>
          <w:snapToGrid/>
          <w:sz w:val="28"/>
          <w:szCs w:val="28"/>
          <w:lang w:eastAsia="zh-CN"/>
        </w:rPr>
      </w:pPr>
      <w:r>
        <w:rPr>
          <w:rFonts w:hint="eastAsia" w:ascii="Times New Roman" w:hAnsi="Times New Roman" w:eastAsia="方正小标宋简体" w:cs="Times New Roman"/>
          <w:snapToGrid/>
          <w:sz w:val="28"/>
          <w:szCs w:val="28"/>
          <w:lang w:eastAsia="zh-CN"/>
        </w:rPr>
        <w:t xml:space="preserve">                                                 </w:t>
      </w:r>
      <w:r>
        <w:rPr>
          <w:rFonts w:hint="eastAsia" w:ascii="仿宋_GB2312" w:hAnsi="Times New Roman" w:eastAsia="仿宋_GB2312" w:cs="Times New Roman"/>
          <w:snapToGrid/>
          <w:sz w:val="28"/>
          <w:szCs w:val="28"/>
          <w:lang w:eastAsia="zh-CN"/>
        </w:rPr>
        <w:t xml:space="preserve"> 单位：万元</w:t>
      </w:r>
    </w:p>
    <w:tbl>
      <w:tblPr>
        <w:tblStyle w:val="7"/>
        <w:tblW w:w="10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133"/>
        <w:gridCol w:w="1315"/>
        <w:gridCol w:w="1149"/>
        <w:gridCol w:w="1209"/>
        <w:gridCol w:w="1134"/>
        <w:gridCol w:w="828"/>
        <w:gridCol w:w="873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项目支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出名称</w:t>
            </w:r>
          </w:p>
        </w:tc>
        <w:tc>
          <w:tcPr>
            <w:tcW w:w="9213" w:type="dxa"/>
            <w:gridSpan w:val="8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场馆日常维修维护</w:t>
            </w: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主管部门</w:t>
            </w:r>
          </w:p>
        </w:tc>
        <w:tc>
          <w:tcPr>
            <w:tcW w:w="4806" w:type="dxa"/>
            <w:gridSpan w:val="4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胡耀邦故里管理局</w:t>
            </w:r>
          </w:p>
        </w:tc>
        <w:tc>
          <w:tcPr>
            <w:tcW w:w="1134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实施单位</w:t>
            </w:r>
          </w:p>
        </w:tc>
        <w:tc>
          <w:tcPr>
            <w:tcW w:w="3273" w:type="dxa"/>
            <w:gridSpan w:val="3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胡耀邦故里管理局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restart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项目资金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（万元）</w:t>
            </w: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114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年初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预算数</w:t>
            </w:r>
          </w:p>
        </w:tc>
        <w:tc>
          <w:tcPr>
            <w:tcW w:w="120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全年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预算数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18"/>
                <w:szCs w:val="18"/>
                <w:lang w:eastAsia="zh-CN"/>
              </w:rPr>
              <w:t>全年</w:t>
            </w:r>
          </w:p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sz w:val="18"/>
                <w:szCs w:val="18"/>
                <w:lang w:eastAsia="zh-CN"/>
              </w:rPr>
              <w:t>执行数</w:t>
            </w:r>
          </w:p>
        </w:tc>
        <w:tc>
          <w:tcPr>
            <w:tcW w:w="828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lang w:eastAsia="zh-CN"/>
              </w:rPr>
              <w:t>分值</w:t>
            </w:r>
          </w:p>
        </w:tc>
        <w:tc>
          <w:tcPr>
            <w:tcW w:w="873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lang w:eastAsia="zh-CN"/>
              </w:rPr>
              <w:t>执行率</w:t>
            </w:r>
          </w:p>
        </w:tc>
        <w:tc>
          <w:tcPr>
            <w:tcW w:w="1572" w:type="dxa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kern w:val="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kern w:val="2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年度资金总额　</w:t>
            </w:r>
          </w:p>
        </w:tc>
        <w:tc>
          <w:tcPr>
            <w:tcW w:w="114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564.14</w:t>
            </w:r>
          </w:p>
        </w:tc>
        <w:tc>
          <w:tcPr>
            <w:tcW w:w="120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545.31</w:t>
            </w:r>
          </w:p>
        </w:tc>
        <w:tc>
          <w:tcPr>
            <w:tcW w:w="1134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545.31</w:t>
            </w:r>
          </w:p>
        </w:tc>
        <w:tc>
          <w:tcPr>
            <w:tcW w:w="828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　10</w:t>
            </w:r>
          </w:p>
        </w:tc>
        <w:tc>
          <w:tcPr>
            <w:tcW w:w="8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96.66%</w:t>
            </w:r>
          </w:p>
        </w:tc>
        <w:tc>
          <w:tcPr>
            <w:tcW w:w="1572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其中：当年财政拨款　</w:t>
            </w:r>
          </w:p>
        </w:tc>
        <w:tc>
          <w:tcPr>
            <w:tcW w:w="114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564.14</w:t>
            </w:r>
          </w:p>
        </w:tc>
        <w:tc>
          <w:tcPr>
            <w:tcW w:w="120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545.31</w:t>
            </w:r>
          </w:p>
        </w:tc>
        <w:tc>
          <w:tcPr>
            <w:tcW w:w="1134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545.31</w:t>
            </w:r>
          </w:p>
        </w:tc>
        <w:tc>
          <w:tcPr>
            <w:tcW w:w="828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　</w:t>
            </w:r>
          </w:p>
        </w:tc>
        <w:tc>
          <w:tcPr>
            <w:tcW w:w="8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　</w:t>
            </w:r>
          </w:p>
        </w:tc>
        <w:tc>
          <w:tcPr>
            <w:tcW w:w="1572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ind w:firstLine="540" w:firstLineChars="300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上年结转资金　</w:t>
            </w:r>
          </w:p>
        </w:tc>
        <w:tc>
          <w:tcPr>
            <w:tcW w:w="114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120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1134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828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　</w:t>
            </w:r>
          </w:p>
        </w:tc>
        <w:tc>
          <w:tcPr>
            <w:tcW w:w="8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　</w:t>
            </w:r>
          </w:p>
        </w:tc>
        <w:tc>
          <w:tcPr>
            <w:tcW w:w="1572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  <w:tc>
          <w:tcPr>
            <w:tcW w:w="2448" w:type="dxa"/>
            <w:gridSpan w:val="2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ind w:firstLine="540" w:firstLineChars="300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其他资金</w:t>
            </w:r>
          </w:p>
        </w:tc>
        <w:tc>
          <w:tcPr>
            <w:tcW w:w="114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120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1134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</w:p>
        </w:tc>
        <w:tc>
          <w:tcPr>
            <w:tcW w:w="828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　</w:t>
            </w:r>
          </w:p>
        </w:tc>
        <w:tc>
          <w:tcPr>
            <w:tcW w:w="8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　</w:t>
            </w:r>
          </w:p>
        </w:tc>
        <w:tc>
          <w:tcPr>
            <w:tcW w:w="1572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restart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年度总体目标</w:t>
            </w:r>
          </w:p>
        </w:tc>
        <w:tc>
          <w:tcPr>
            <w:tcW w:w="4806" w:type="dxa"/>
            <w:gridSpan w:val="4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预期目标</w:t>
            </w:r>
          </w:p>
        </w:tc>
        <w:tc>
          <w:tcPr>
            <w:tcW w:w="4407" w:type="dxa"/>
            <w:gridSpan w:val="4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73" w:type="dxa"/>
            <w:vMerge w:val="continue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  <w:tc>
          <w:tcPr>
            <w:tcW w:w="4806" w:type="dxa"/>
            <w:gridSpan w:val="4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1、保障2022年场馆的正常运转；2、按照文物保护和5A创建要求对故居和纪念馆等周边进行环境提质改造，优化文物展示利用，为游客创造良好的参观学习环境。</w:t>
            </w: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　</w:t>
            </w:r>
          </w:p>
        </w:tc>
        <w:tc>
          <w:tcPr>
            <w:tcW w:w="4407" w:type="dxa"/>
            <w:gridSpan w:val="4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保障了场馆正常运转，进一步弘扬了爱国主义教育，加强了文物保护和研究，大力宣传了耀邦精神，有效发挥了基地功能。同时，游客的增多也拉动了当地经济的发展，进一步推动了胡耀邦故里旅游经济的持续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73" w:type="dxa"/>
            <w:vMerge w:val="restart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绩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效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指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标</w:t>
            </w:r>
          </w:p>
        </w:tc>
        <w:tc>
          <w:tcPr>
            <w:tcW w:w="113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15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二级指标</w:t>
            </w:r>
          </w:p>
        </w:tc>
        <w:tc>
          <w:tcPr>
            <w:tcW w:w="114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三级指标</w:t>
            </w:r>
          </w:p>
        </w:tc>
        <w:tc>
          <w:tcPr>
            <w:tcW w:w="120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年度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指标值</w:t>
            </w:r>
          </w:p>
        </w:tc>
        <w:tc>
          <w:tcPr>
            <w:tcW w:w="1134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实际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完成值</w:t>
            </w:r>
          </w:p>
        </w:tc>
        <w:tc>
          <w:tcPr>
            <w:tcW w:w="828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分值</w:t>
            </w:r>
          </w:p>
        </w:tc>
        <w:tc>
          <w:tcPr>
            <w:tcW w:w="8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得分</w:t>
            </w:r>
          </w:p>
        </w:tc>
        <w:tc>
          <w:tcPr>
            <w:tcW w:w="1572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73" w:type="dxa"/>
            <w:vMerge w:val="continue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  <w:tc>
          <w:tcPr>
            <w:tcW w:w="1133" w:type="dxa"/>
            <w:vMerge w:val="restart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成本指标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（15分）</w:t>
            </w:r>
          </w:p>
        </w:tc>
        <w:tc>
          <w:tcPr>
            <w:tcW w:w="1315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经济成本指标（</w:t>
            </w: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8</w:t>
            </w: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4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场馆维修维护成本</w:t>
            </w:r>
          </w:p>
        </w:tc>
        <w:tc>
          <w:tcPr>
            <w:tcW w:w="120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564.14</w:t>
            </w:r>
          </w:p>
        </w:tc>
        <w:tc>
          <w:tcPr>
            <w:tcW w:w="1134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545.31</w:t>
            </w:r>
          </w:p>
        </w:tc>
        <w:tc>
          <w:tcPr>
            <w:tcW w:w="828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8</w:t>
            </w:r>
          </w:p>
        </w:tc>
        <w:tc>
          <w:tcPr>
            <w:tcW w:w="8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8</w:t>
            </w:r>
          </w:p>
        </w:tc>
        <w:tc>
          <w:tcPr>
            <w:tcW w:w="1572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73" w:type="dxa"/>
            <w:vMerge w:val="continue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  <w:tc>
          <w:tcPr>
            <w:tcW w:w="1133" w:type="dxa"/>
            <w:vMerge w:val="continue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社会成本指标（</w:t>
            </w: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4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弘扬爱国主义教育，加强文物保护和研究</w:t>
            </w:r>
          </w:p>
        </w:tc>
        <w:tc>
          <w:tcPr>
            <w:tcW w:w="120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弘扬爱国主义教育，加强文物保护和研究</w:t>
            </w:r>
          </w:p>
        </w:tc>
        <w:tc>
          <w:tcPr>
            <w:tcW w:w="1134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进一步弘扬了爱国主义教育，加强了文物保护和研究</w:t>
            </w:r>
          </w:p>
        </w:tc>
        <w:tc>
          <w:tcPr>
            <w:tcW w:w="828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7</w:t>
            </w:r>
          </w:p>
        </w:tc>
        <w:tc>
          <w:tcPr>
            <w:tcW w:w="8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7</w:t>
            </w:r>
          </w:p>
        </w:tc>
        <w:tc>
          <w:tcPr>
            <w:tcW w:w="1572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  <w:tc>
          <w:tcPr>
            <w:tcW w:w="1133" w:type="dxa"/>
            <w:vMerge w:val="restart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产出指标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(40分)</w:t>
            </w:r>
          </w:p>
        </w:tc>
        <w:tc>
          <w:tcPr>
            <w:tcW w:w="1315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数量指标（15）</w:t>
            </w:r>
          </w:p>
        </w:tc>
        <w:tc>
          <w:tcPr>
            <w:tcW w:w="114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保障景区场馆正常运行</w:t>
            </w:r>
          </w:p>
        </w:tc>
        <w:tc>
          <w:tcPr>
            <w:tcW w:w="120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保障景区6个场馆正常运行</w:t>
            </w:r>
          </w:p>
        </w:tc>
        <w:tc>
          <w:tcPr>
            <w:tcW w:w="1134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保障了景区6个场馆正常运行</w:t>
            </w:r>
          </w:p>
        </w:tc>
        <w:tc>
          <w:tcPr>
            <w:tcW w:w="828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15</w:t>
            </w:r>
          </w:p>
        </w:tc>
        <w:tc>
          <w:tcPr>
            <w:tcW w:w="8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15</w:t>
            </w:r>
          </w:p>
        </w:tc>
        <w:tc>
          <w:tcPr>
            <w:tcW w:w="1572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  <w:tc>
          <w:tcPr>
            <w:tcW w:w="1133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质量指标（20）</w:t>
            </w:r>
          </w:p>
        </w:tc>
        <w:tc>
          <w:tcPr>
            <w:tcW w:w="114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保障在职人员正常工作和单位正常运转</w:t>
            </w:r>
          </w:p>
        </w:tc>
        <w:tc>
          <w:tcPr>
            <w:tcW w:w="120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保障在职人员正常工作和单位正常运转</w:t>
            </w:r>
          </w:p>
        </w:tc>
        <w:tc>
          <w:tcPr>
            <w:tcW w:w="1134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保障了在职人员正常工作和单位正常运转</w:t>
            </w:r>
          </w:p>
        </w:tc>
        <w:tc>
          <w:tcPr>
            <w:tcW w:w="828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20</w:t>
            </w:r>
          </w:p>
        </w:tc>
        <w:tc>
          <w:tcPr>
            <w:tcW w:w="8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20</w:t>
            </w:r>
          </w:p>
        </w:tc>
        <w:tc>
          <w:tcPr>
            <w:tcW w:w="1572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  <w:tc>
          <w:tcPr>
            <w:tcW w:w="1133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时效指标（5）</w:t>
            </w:r>
          </w:p>
        </w:tc>
        <w:tc>
          <w:tcPr>
            <w:tcW w:w="114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按时保质完成全年工作目标</w:t>
            </w:r>
          </w:p>
        </w:tc>
        <w:tc>
          <w:tcPr>
            <w:tcW w:w="120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2022年底前完成</w:t>
            </w:r>
          </w:p>
        </w:tc>
        <w:tc>
          <w:tcPr>
            <w:tcW w:w="1134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2022年年度内已完成</w:t>
            </w:r>
          </w:p>
        </w:tc>
        <w:tc>
          <w:tcPr>
            <w:tcW w:w="828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5</w:t>
            </w:r>
          </w:p>
        </w:tc>
        <w:tc>
          <w:tcPr>
            <w:tcW w:w="8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5</w:t>
            </w:r>
          </w:p>
        </w:tc>
        <w:tc>
          <w:tcPr>
            <w:tcW w:w="1572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  <w:tc>
          <w:tcPr>
            <w:tcW w:w="1133" w:type="dxa"/>
            <w:vMerge w:val="restart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效益指标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（30分）</w:t>
            </w:r>
          </w:p>
        </w:tc>
        <w:tc>
          <w:tcPr>
            <w:tcW w:w="1315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经济效益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指标（</w:t>
            </w: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15</w:t>
            </w: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4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带动当地经济发展</w:t>
            </w:r>
          </w:p>
        </w:tc>
        <w:tc>
          <w:tcPr>
            <w:tcW w:w="120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带动当地经济发展</w:t>
            </w:r>
          </w:p>
        </w:tc>
        <w:tc>
          <w:tcPr>
            <w:tcW w:w="1134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带动了当地经济发展</w:t>
            </w:r>
          </w:p>
        </w:tc>
        <w:tc>
          <w:tcPr>
            <w:tcW w:w="828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15</w:t>
            </w:r>
          </w:p>
        </w:tc>
        <w:tc>
          <w:tcPr>
            <w:tcW w:w="8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15</w:t>
            </w:r>
          </w:p>
        </w:tc>
        <w:tc>
          <w:tcPr>
            <w:tcW w:w="1572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  <w:tc>
          <w:tcPr>
            <w:tcW w:w="1133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生态效益</w:t>
            </w:r>
          </w:p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指标（</w:t>
            </w: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10</w:t>
            </w: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14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优化景区环境，保持两型景区标准</w:t>
            </w:r>
          </w:p>
        </w:tc>
        <w:tc>
          <w:tcPr>
            <w:tcW w:w="120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优化景区环境，保持两型景区标准</w:t>
            </w:r>
          </w:p>
        </w:tc>
        <w:tc>
          <w:tcPr>
            <w:tcW w:w="1134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优化了景区环境，始终保持两型景区标准</w:t>
            </w:r>
          </w:p>
        </w:tc>
        <w:tc>
          <w:tcPr>
            <w:tcW w:w="828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10</w:t>
            </w:r>
          </w:p>
        </w:tc>
        <w:tc>
          <w:tcPr>
            <w:tcW w:w="8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10</w:t>
            </w:r>
          </w:p>
        </w:tc>
        <w:tc>
          <w:tcPr>
            <w:tcW w:w="1572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  <w:tc>
          <w:tcPr>
            <w:tcW w:w="1133" w:type="dxa"/>
            <w:vMerge w:val="continue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</w:p>
        </w:tc>
        <w:tc>
          <w:tcPr>
            <w:tcW w:w="1315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可持续影响指标（5）</w:t>
            </w:r>
          </w:p>
        </w:tc>
        <w:tc>
          <w:tcPr>
            <w:tcW w:w="114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保持红色景区影响力</w:t>
            </w:r>
          </w:p>
        </w:tc>
        <w:tc>
          <w:tcPr>
            <w:tcW w:w="120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保持红色景区影响力</w:t>
            </w:r>
          </w:p>
        </w:tc>
        <w:tc>
          <w:tcPr>
            <w:tcW w:w="1134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保持了红色景区影响力</w:t>
            </w:r>
          </w:p>
        </w:tc>
        <w:tc>
          <w:tcPr>
            <w:tcW w:w="828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5</w:t>
            </w:r>
          </w:p>
        </w:tc>
        <w:tc>
          <w:tcPr>
            <w:tcW w:w="8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5</w:t>
            </w:r>
          </w:p>
        </w:tc>
        <w:tc>
          <w:tcPr>
            <w:tcW w:w="1572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73" w:type="dxa"/>
            <w:vMerge w:val="continue"/>
            <w:noWrap/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  <w:tc>
          <w:tcPr>
            <w:tcW w:w="113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满意度指标（5分）</w:t>
            </w:r>
          </w:p>
        </w:tc>
        <w:tc>
          <w:tcPr>
            <w:tcW w:w="1315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服务对象满意度指标（5）</w:t>
            </w:r>
          </w:p>
        </w:tc>
        <w:tc>
          <w:tcPr>
            <w:tcW w:w="114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游客满意度</w:t>
            </w:r>
          </w:p>
        </w:tc>
        <w:tc>
          <w:tcPr>
            <w:tcW w:w="1209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95%</w:t>
            </w:r>
          </w:p>
        </w:tc>
        <w:tc>
          <w:tcPr>
            <w:tcW w:w="1134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napToGrid/>
                <w:sz w:val="18"/>
                <w:szCs w:val="18"/>
                <w:lang w:eastAsia="zh-CN"/>
              </w:rPr>
              <w:t>≥95%</w:t>
            </w:r>
          </w:p>
        </w:tc>
        <w:tc>
          <w:tcPr>
            <w:tcW w:w="828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5</w:t>
            </w:r>
          </w:p>
        </w:tc>
        <w:tc>
          <w:tcPr>
            <w:tcW w:w="8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5</w:t>
            </w:r>
          </w:p>
        </w:tc>
        <w:tc>
          <w:tcPr>
            <w:tcW w:w="1572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013" w:type="dxa"/>
            <w:gridSpan w:val="6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总分</w:t>
            </w:r>
          </w:p>
        </w:tc>
        <w:tc>
          <w:tcPr>
            <w:tcW w:w="828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100</w:t>
            </w:r>
          </w:p>
        </w:tc>
        <w:tc>
          <w:tcPr>
            <w:tcW w:w="873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　</w:t>
            </w:r>
            <w:r>
              <w:rPr>
                <w:rFonts w:hint="eastAsia" w:ascii="Times New Roman" w:hAnsi="Times New Roman" w:eastAsia="仿宋_GB2312" w:cs="Times New Roman"/>
                <w:snapToGrid/>
                <w:lang w:eastAsia="zh-CN"/>
              </w:rPr>
              <w:t>99</w:t>
            </w:r>
          </w:p>
        </w:tc>
        <w:tc>
          <w:tcPr>
            <w:tcW w:w="1572" w:type="dxa"/>
            <w:noWrap/>
            <w:vAlign w:val="center"/>
          </w:tcPr>
          <w:p>
            <w:pPr>
              <w:kinsoku/>
              <w:autoSpaceDE/>
              <w:autoSpaceDN/>
              <w:adjustRightInd/>
              <w:snapToGrid/>
              <w:spacing w:line="260" w:lineRule="exact"/>
              <w:textAlignment w:val="auto"/>
              <w:rPr>
                <w:rFonts w:ascii="Times New Roman" w:hAnsi="Times New Roman" w:eastAsia="仿宋_GB2312" w:cs="Times New Roman"/>
                <w:snapToGrid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napToGrid/>
                <w:lang w:eastAsia="zh-CN"/>
              </w:rPr>
              <w:t>　</w:t>
            </w:r>
          </w:p>
        </w:tc>
      </w:tr>
    </w:tbl>
    <w:p>
      <w:pPr>
        <w:spacing w:line="260" w:lineRule="exact"/>
        <w:rPr>
          <w:rFonts w:eastAsiaTheme="minor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eastAsia="仿宋_GB2312"/>
        <w:sz w:val="28"/>
        <w:szCs w:val="28"/>
      </w:rPr>
    </w:pPr>
    <w:r>
      <w:rPr>
        <w:rStyle w:val="9"/>
        <w:rFonts w:eastAsia="仿宋_GB2312"/>
        <w:sz w:val="28"/>
        <w:szCs w:val="28"/>
      </w:rPr>
      <w:t>—</w:t>
    </w:r>
    <w:r>
      <w:rPr>
        <w:rFonts w:eastAsia="仿宋_GB2312"/>
        <w:sz w:val="28"/>
        <w:szCs w:val="28"/>
      </w:rPr>
      <w:fldChar w:fldCharType="begin"/>
    </w:r>
    <w:r>
      <w:rPr>
        <w:rStyle w:val="9"/>
        <w:rFonts w:eastAsia="仿宋_GB2312"/>
        <w:sz w:val="28"/>
        <w:szCs w:val="28"/>
      </w:rPr>
      <w:instrText xml:space="preserve">PAGE  </w:instrText>
    </w:r>
    <w:r>
      <w:rPr>
        <w:rFonts w:eastAsia="仿宋_GB2312"/>
        <w:sz w:val="28"/>
        <w:szCs w:val="28"/>
      </w:rPr>
      <w:fldChar w:fldCharType="separate"/>
    </w:r>
    <w:r>
      <w:rPr>
        <w:rStyle w:val="9"/>
        <w:rFonts w:eastAsia="仿宋_GB2312"/>
        <w:sz w:val="28"/>
        <w:szCs w:val="28"/>
      </w:rPr>
      <w:t>1</w:t>
    </w:r>
    <w:r>
      <w:rPr>
        <w:rFonts w:eastAsia="仿宋_GB2312"/>
        <w:sz w:val="28"/>
        <w:szCs w:val="28"/>
      </w:rPr>
      <w:fldChar w:fldCharType="end"/>
    </w:r>
    <w:r>
      <w:rPr>
        <w:rStyle w:val="9"/>
        <w:rFonts w:eastAsia="仿宋_GB2312"/>
        <w:sz w:val="28"/>
        <w:szCs w:val="28"/>
      </w:rPr>
      <w:t>—</w:t>
    </w:r>
  </w:p>
  <w:p>
    <w:pPr>
      <w:pStyle w:val="5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iNTU2NWJhYTBlNjkwODE5MzQ0ODIzMzdmNTA4MDQifQ=="/>
  </w:docVars>
  <w:rsids>
    <w:rsidRoot w:val="00625202"/>
    <w:rsid w:val="00091AE9"/>
    <w:rsid w:val="000962EC"/>
    <w:rsid w:val="00110365"/>
    <w:rsid w:val="001105A6"/>
    <w:rsid w:val="001801C3"/>
    <w:rsid w:val="001C2D07"/>
    <w:rsid w:val="001F243F"/>
    <w:rsid w:val="00287691"/>
    <w:rsid w:val="002C5C19"/>
    <w:rsid w:val="00353807"/>
    <w:rsid w:val="0036735A"/>
    <w:rsid w:val="004A5E24"/>
    <w:rsid w:val="00566793"/>
    <w:rsid w:val="005E0514"/>
    <w:rsid w:val="00625202"/>
    <w:rsid w:val="006C03B0"/>
    <w:rsid w:val="00811CB7"/>
    <w:rsid w:val="00A15D15"/>
    <w:rsid w:val="00AA7CC5"/>
    <w:rsid w:val="00B10B2F"/>
    <w:rsid w:val="00C31968"/>
    <w:rsid w:val="00C9575D"/>
    <w:rsid w:val="00CC2530"/>
    <w:rsid w:val="00D10527"/>
    <w:rsid w:val="00D64164"/>
    <w:rsid w:val="00DC2442"/>
    <w:rsid w:val="00F429F2"/>
    <w:rsid w:val="00F46713"/>
    <w:rsid w:val="00F60370"/>
    <w:rsid w:val="00FD6CEB"/>
    <w:rsid w:val="017E6F26"/>
    <w:rsid w:val="01F17890"/>
    <w:rsid w:val="029F0F02"/>
    <w:rsid w:val="029F53A6"/>
    <w:rsid w:val="06761195"/>
    <w:rsid w:val="072D5834"/>
    <w:rsid w:val="07921036"/>
    <w:rsid w:val="08825B97"/>
    <w:rsid w:val="0DB85821"/>
    <w:rsid w:val="100D1BA1"/>
    <w:rsid w:val="16E6671F"/>
    <w:rsid w:val="17D93D67"/>
    <w:rsid w:val="181028D4"/>
    <w:rsid w:val="1AB31597"/>
    <w:rsid w:val="1D1125A5"/>
    <w:rsid w:val="1E412434"/>
    <w:rsid w:val="239855EF"/>
    <w:rsid w:val="24B03DFD"/>
    <w:rsid w:val="264744EF"/>
    <w:rsid w:val="26871FB3"/>
    <w:rsid w:val="2BB1129F"/>
    <w:rsid w:val="2D896F89"/>
    <w:rsid w:val="31A83080"/>
    <w:rsid w:val="33F53CE4"/>
    <w:rsid w:val="359F6465"/>
    <w:rsid w:val="3C62067E"/>
    <w:rsid w:val="3DBD0E7A"/>
    <w:rsid w:val="4161301E"/>
    <w:rsid w:val="431C742A"/>
    <w:rsid w:val="44D449D9"/>
    <w:rsid w:val="45433394"/>
    <w:rsid w:val="4869633E"/>
    <w:rsid w:val="4ADD1B95"/>
    <w:rsid w:val="4C6A38FC"/>
    <w:rsid w:val="4E456FA4"/>
    <w:rsid w:val="4EAA7FE0"/>
    <w:rsid w:val="4F6603AB"/>
    <w:rsid w:val="53634C01"/>
    <w:rsid w:val="53B731AE"/>
    <w:rsid w:val="569F7FA4"/>
    <w:rsid w:val="572C6DEF"/>
    <w:rsid w:val="5A6C083F"/>
    <w:rsid w:val="5BA23A60"/>
    <w:rsid w:val="5D9967ED"/>
    <w:rsid w:val="5E0D1955"/>
    <w:rsid w:val="5FD736E5"/>
    <w:rsid w:val="626C0F25"/>
    <w:rsid w:val="63DD630A"/>
    <w:rsid w:val="63F60E53"/>
    <w:rsid w:val="64E843D2"/>
    <w:rsid w:val="65FA7647"/>
    <w:rsid w:val="669E0989"/>
    <w:rsid w:val="694F3806"/>
    <w:rsid w:val="698C4A5A"/>
    <w:rsid w:val="6A303637"/>
    <w:rsid w:val="6E671358"/>
    <w:rsid w:val="70F3716D"/>
    <w:rsid w:val="7C3C6544"/>
    <w:rsid w:val="7DF033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jc w:val="both"/>
    </w:pPr>
    <w:rPr>
      <w:rFonts w:ascii="宋体" w:hAnsi="宋体"/>
      <w:kern w:val="2"/>
      <w:sz w:val="30"/>
      <w:szCs w:val="30"/>
      <w:lang w:eastAsia="zh-CN"/>
    </w:rPr>
  </w:style>
  <w:style w:type="paragraph" w:styleId="3">
    <w:name w:val="Body Text"/>
    <w:basedOn w:val="1"/>
    <w:link w:val="10"/>
    <w:semiHidden/>
    <w:qFormat/>
    <w:uiPriority w:val="0"/>
    <w:rPr>
      <w:sz w:val="2"/>
      <w:szCs w:val="2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rFonts w:ascii="Times New Roman" w:hAnsi="Times New Roman"/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正文文本 Char"/>
    <w:basedOn w:val="8"/>
    <w:link w:val="3"/>
    <w:semiHidden/>
    <w:qFormat/>
    <w:uiPriority w:val="0"/>
    <w:rPr>
      <w:rFonts w:ascii="Arial" w:hAnsi="Arial" w:eastAsia="Arial" w:cs="Arial"/>
      <w:snapToGrid w:val="0"/>
      <w:color w:val="000000"/>
      <w:kern w:val="0"/>
      <w:sz w:val="2"/>
      <w:szCs w:val="2"/>
      <w:lang w:eastAsia="en-US"/>
    </w:rPr>
  </w:style>
  <w:style w:type="character" w:customStyle="1" w:styleId="11">
    <w:name w:val="页脚 Char"/>
    <w:basedOn w:val="8"/>
    <w:link w:val="5"/>
    <w:qFormat/>
    <w:uiPriority w:val="0"/>
    <w:rPr>
      <w:rFonts w:ascii="Times New Roman" w:hAnsi="Times New Roman" w:eastAsia="Arial" w:cs="Arial"/>
      <w:snapToGrid w:val="0"/>
      <w:color w:val="000000"/>
      <w:kern w:val="0"/>
      <w:sz w:val="18"/>
      <w:szCs w:val="18"/>
      <w:lang w:eastAsia="en-US"/>
    </w:rPr>
  </w:style>
  <w:style w:type="character" w:customStyle="1" w:styleId="12">
    <w:name w:val="页眉 Char"/>
    <w:basedOn w:val="8"/>
    <w:link w:val="6"/>
    <w:qFormat/>
    <w:uiPriority w:val="0"/>
    <w:rPr>
      <w:rFonts w:ascii="Times New Roman" w:hAnsi="Times New Roman" w:eastAsia="Arial" w:cs="Arial"/>
      <w:snapToGrid w:val="0"/>
      <w:color w:val="000000"/>
      <w:kern w:val="0"/>
      <w:sz w:val="18"/>
      <w:szCs w:val="18"/>
      <w:lang w:eastAsia="en-US"/>
    </w:rPr>
  </w:style>
  <w:style w:type="character" w:customStyle="1" w:styleId="13">
    <w:name w:val="批注框文本 Char"/>
    <w:basedOn w:val="8"/>
    <w:link w:val="4"/>
    <w:qFormat/>
    <w:uiPriority w:val="0"/>
    <w:rPr>
      <w:rFonts w:ascii="Arial" w:hAnsi="Arial" w:eastAsia="Arial" w:cs="Arial"/>
      <w:snapToGrid w:val="0"/>
      <w:color w:val="000000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1845</Words>
  <Characters>2271</Characters>
  <Lines>22</Lines>
  <Paragraphs>6</Paragraphs>
  <TotalTime>16</TotalTime>
  <ScaleCrop>false</ScaleCrop>
  <LinksUpToDate>false</LinksUpToDate>
  <CharactersWithSpaces>2596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2023-09-27T04:57:00Z</dcterms:created>
  <dc:creator>admin</dc:creator>
  <cp:lastModifiedBy>Aveiro</cp:lastModifiedBy>
  <dcterms:modified xsi:type="dcterms:W3CDTF">2023-10-08T07:35:11Z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FE9A8E895CF34C4E9735E7D3C4C6DBB8</vt:lpwstr>
  </property>
</Properties>
</file>