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000000"/>
          <w:sz w:val="48"/>
          <w:szCs w:val="48"/>
        </w:rPr>
      </w:pPr>
    </w:p>
    <w:p>
      <w:pPr>
        <w:jc w:val="center"/>
        <w:rPr>
          <w:rFonts w:ascii="方正小标宋简体" w:hAnsi="方正小标宋简体" w:eastAsia="方正小标宋简体" w:cs="方正小标宋简体"/>
          <w:color w:val="000000"/>
          <w:sz w:val="48"/>
          <w:szCs w:val="48"/>
        </w:rPr>
      </w:pPr>
    </w:p>
    <w:p>
      <w:pPr>
        <w:jc w:val="center"/>
        <w:rPr>
          <w:rFonts w:ascii="方正小标宋简体" w:hAnsi="方正小标宋简体" w:eastAsia="方正小标宋简体" w:cs="方正小标宋简体"/>
          <w:color w:val="000000"/>
          <w:sz w:val="48"/>
          <w:szCs w:val="48"/>
        </w:rPr>
      </w:pPr>
    </w:p>
    <w:p>
      <w:pPr>
        <w:jc w:val="center"/>
        <w:rPr>
          <w:rFonts w:ascii="方正小标宋简体" w:hAnsi="方正小标宋简体" w:eastAsia="方正小标宋简体" w:cs="方正小标宋简体"/>
          <w:color w:val="000000"/>
          <w:sz w:val="48"/>
          <w:szCs w:val="48"/>
        </w:rPr>
      </w:pPr>
    </w:p>
    <w:p>
      <w:pPr>
        <w:jc w:val="center"/>
        <w:rPr>
          <w:rFonts w:hint="eastAsia" w:ascii="方正小标宋简体" w:hAnsi="方正小标宋简体" w:eastAsia="方正小标宋简体" w:cs="方正小标宋简体"/>
          <w:color w:val="000000"/>
          <w:sz w:val="48"/>
          <w:szCs w:val="48"/>
        </w:rPr>
      </w:pPr>
    </w:p>
    <w:p>
      <w:pPr>
        <w:jc w:val="center"/>
        <w:rPr>
          <w:rFonts w:hint="eastAsia" w:ascii="方正小标宋简体" w:hAnsi="方正小标宋简体" w:eastAsia="方正小标宋简体" w:cs="方正小标宋简体"/>
          <w:color w:val="000000"/>
          <w:sz w:val="48"/>
          <w:szCs w:val="48"/>
        </w:rPr>
      </w:pPr>
    </w:p>
    <w:p>
      <w:pPr>
        <w:jc w:val="center"/>
        <w:rPr>
          <w:rFonts w:hint="eastAsia" w:ascii="黑体" w:hAnsi="方正小标宋简体" w:eastAsia="黑体" w:cs="方正小标宋简体"/>
          <w:color w:val="000000"/>
          <w:sz w:val="48"/>
          <w:szCs w:val="48"/>
        </w:rPr>
      </w:pPr>
      <w:r>
        <w:rPr>
          <w:rFonts w:hint="eastAsia" w:ascii="黑体" w:hAnsi="方正小标宋简体" w:eastAsia="黑体" w:cs="方正小标宋简体"/>
          <w:color w:val="000000"/>
          <w:sz w:val="48"/>
          <w:szCs w:val="48"/>
        </w:rPr>
        <w:t>浏阳市残联</w:t>
      </w:r>
    </w:p>
    <w:p>
      <w:pPr>
        <w:jc w:val="center"/>
        <w:rPr>
          <w:rFonts w:hint="eastAsia" w:ascii="黑体" w:hAnsi="Times New Roman" w:eastAsia="黑体"/>
          <w:color w:val="000000"/>
          <w:sz w:val="48"/>
          <w:szCs w:val="48"/>
        </w:rPr>
      </w:pPr>
      <w:r>
        <w:rPr>
          <w:rFonts w:hint="eastAsia" w:ascii="黑体" w:hAnsi="方正小标宋简体" w:eastAsia="黑体" w:cs="方正小标宋简体"/>
          <w:color w:val="000000"/>
          <w:sz w:val="48"/>
          <w:szCs w:val="48"/>
        </w:rPr>
        <w:t>2020年部门整体支出绩效自评报告</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tabs>
          <w:tab w:val="left" w:pos="6935"/>
        </w:tabs>
        <w:jc w:val="left"/>
        <w:rPr>
          <w:rFonts w:ascii="Times New Roman" w:hAnsi="Times New Roman" w:eastAsia="黑体"/>
          <w:color w:val="000000"/>
          <w:sz w:val="32"/>
          <w:szCs w:val="32"/>
        </w:rPr>
      </w:pPr>
      <w:r>
        <w:rPr>
          <w:rFonts w:hint="eastAsia" w:ascii="Times New Roman" w:hAnsi="Times New Roman" w:eastAsia="黑体"/>
          <w:color w:val="000000"/>
          <w:sz w:val="32"/>
          <w:szCs w:val="32"/>
        </w:rPr>
        <w:tab/>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tabs>
          <w:tab w:val="left" w:pos="2892"/>
        </w:tabs>
        <w:jc w:val="left"/>
        <w:rPr>
          <w:rFonts w:hint="eastAsia" w:ascii="Times New Roman" w:hAnsi="Times New Roman" w:eastAsia="黑体"/>
          <w:color w:val="000000"/>
          <w:sz w:val="32"/>
          <w:szCs w:val="32"/>
          <w:lang w:eastAsia="zh-CN"/>
        </w:rPr>
      </w:pPr>
      <w:r>
        <w:rPr>
          <w:rFonts w:hint="eastAsia" w:ascii="Times New Roman" w:hAnsi="Times New Roman" w:eastAsia="黑体"/>
          <w:color w:val="000000"/>
          <w:sz w:val="32"/>
          <w:szCs w:val="32"/>
          <w:lang w:eastAsia="zh-CN"/>
        </w:rPr>
        <w:tab/>
      </w:r>
    </w:p>
    <w:p>
      <w:pPr>
        <w:tabs>
          <w:tab w:val="left" w:pos="2892"/>
        </w:tabs>
        <w:jc w:val="left"/>
        <w:rPr>
          <w:rFonts w:hint="eastAsia" w:ascii="Times New Roman" w:hAnsi="Times New Roman" w:eastAsia="黑体"/>
          <w:color w:val="000000"/>
          <w:sz w:val="32"/>
          <w:szCs w:val="32"/>
          <w:lang w:eastAsia="zh-CN"/>
        </w:rPr>
      </w:pPr>
    </w:p>
    <w:p>
      <w:pPr>
        <w:tabs>
          <w:tab w:val="left" w:pos="2892"/>
        </w:tabs>
        <w:jc w:val="left"/>
        <w:rPr>
          <w:rFonts w:hint="eastAsia" w:ascii="Times New Roman" w:hAnsi="Times New Roman" w:eastAsia="黑体"/>
          <w:color w:val="000000"/>
          <w:sz w:val="32"/>
          <w:szCs w:val="32"/>
          <w:lang w:eastAsia="zh-CN"/>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pStyle w:val="10"/>
        <w:widowControl/>
        <w:spacing w:line="596" w:lineRule="exact"/>
        <w:ind w:firstLine="579" w:firstLineChars="181"/>
        <w:rPr>
          <w:rFonts w:ascii="Times New Roman" w:hAnsi="Times New Roman" w:eastAsia="黑体"/>
          <w:kern w:val="0"/>
          <w:sz w:val="32"/>
          <w:szCs w:val="32"/>
        </w:rPr>
      </w:pPr>
      <w:r>
        <w:rPr>
          <w:rFonts w:ascii="Times New Roman" w:hAnsi="Times New Roman" w:eastAsia="黑体"/>
          <w:kern w:val="0"/>
          <w:sz w:val="32"/>
          <w:szCs w:val="32"/>
        </w:rPr>
        <w:t>一、部门概况</w:t>
      </w:r>
    </w:p>
    <w:p>
      <w:pPr>
        <w:spacing w:line="596"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（一）部门职能概述</w:t>
      </w:r>
    </w:p>
    <w:p>
      <w:pPr>
        <w:widowControl/>
        <w:spacing w:line="580" w:lineRule="exact"/>
        <w:ind w:firstLine="482"/>
        <w:jc w:val="left"/>
        <w:rPr>
          <w:rFonts w:ascii="仿宋_GB2312" w:hAnsi="宋体" w:eastAsia="仿宋_GB2312" w:cs="宋体"/>
          <w:kern w:val="0"/>
          <w:sz w:val="32"/>
          <w:szCs w:val="32"/>
        </w:rPr>
      </w:pPr>
      <w:r>
        <w:rPr>
          <w:rFonts w:hint="eastAsia" w:ascii="仿宋_GB2312" w:hAnsi="宋体" w:eastAsia="仿宋_GB2312" w:cs="宋体"/>
          <w:kern w:val="0"/>
          <w:sz w:val="32"/>
          <w:szCs w:val="32"/>
        </w:rPr>
        <w:t>贯彻执行《中华人民共和国残疾人保障法》，代表残疾人的共同利益，维护残疾人的合法权益。团结教育残疾人遵纪守法，履行应尽义务，发扬乐观进取精神。履行政府赋予的职责，管理和发展残疾人事业，为残疾人服务，开展和促进残疾人康复、教育、劳动就业、文化生活、福利、社会服务和残疾预防工作；改善残疾人参与社会生活的环境和条件；管理和发放《中华人民共和国残疾人证》。沟通政府、社会与残疾人之间的联系，宣传残疾人事业，倡导社会理解、尊重、关心、帮助残疾人。联系、指导各残疾人群众组织。承办市委、市人民政府交办的其他事项。</w:t>
      </w:r>
    </w:p>
    <w:p>
      <w:pPr>
        <w:tabs>
          <w:tab w:val="left" w:pos="5885"/>
        </w:tabs>
        <w:spacing w:line="596"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（二）部门组织机构及人员情况</w:t>
      </w:r>
      <w:r>
        <w:rPr>
          <w:rFonts w:hint="eastAsia" w:ascii="Times New Roman" w:hAnsi="Times New Roman" w:eastAsia="仿宋_GB2312"/>
          <w:kern w:val="0"/>
          <w:sz w:val="32"/>
          <w:szCs w:val="32"/>
        </w:rPr>
        <w:tab/>
      </w:r>
    </w:p>
    <w:p>
      <w:pPr>
        <w:widowControl/>
        <w:spacing w:line="580" w:lineRule="exact"/>
        <w:ind w:firstLine="482"/>
        <w:jc w:val="left"/>
        <w:rPr>
          <w:rFonts w:ascii="仿宋_GB2312" w:hAnsi="宋体" w:eastAsia="仿宋_GB2312" w:cs="宋体"/>
          <w:kern w:val="0"/>
          <w:sz w:val="32"/>
          <w:szCs w:val="32"/>
        </w:rPr>
      </w:pPr>
      <w:r>
        <w:rPr>
          <w:rFonts w:hint="eastAsia" w:ascii="仿宋_GB2312" w:hAnsi="宋体" w:eastAsia="仿宋_GB2312" w:cs="宋体"/>
          <w:kern w:val="0"/>
          <w:sz w:val="32"/>
          <w:szCs w:val="32"/>
        </w:rPr>
        <w:t>1．机构情况：浏阳市残疾人联合会成立于</w:t>
      </w:r>
      <w:r>
        <w:rPr>
          <w:rFonts w:ascii="仿宋_GB2312" w:hAnsi="宋体" w:eastAsia="仿宋_GB2312" w:cs="宋体"/>
          <w:kern w:val="0"/>
          <w:sz w:val="32"/>
          <w:szCs w:val="32"/>
        </w:rPr>
        <w:t>1990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12</w:t>
      </w:r>
      <w:r>
        <w:rPr>
          <w:rFonts w:hint="eastAsia" w:ascii="仿宋_GB2312" w:hAnsi="宋体" w:eastAsia="仿宋_GB2312" w:cs="宋体"/>
          <w:kern w:val="0"/>
          <w:sz w:val="32"/>
          <w:szCs w:val="32"/>
        </w:rPr>
        <w:t>月，</w:t>
      </w:r>
      <w:r>
        <w:rPr>
          <w:rFonts w:ascii="仿宋_GB2312" w:hAnsi="宋体" w:eastAsia="仿宋_GB2312" w:cs="宋体"/>
          <w:kern w:val="0"/>
          <w:sz w:val="32"/>
          <w:szCs w:val="32"/>
        </w:rPr>
        <w:t xml:space="preserve"> 2002</w:t>
      </w:r>
      <w:r>
        <w:rPr>
          <w:rFonts w:hint="eastAsia" w:ascii="仿宋_GB2312" w:hAnsi="宋体" w:eastAsia="仿宋_GB2312" w:cs="宋体"/>
          <w:kern w:val="0"/>
          <w:sz w:val="32"/>
          <w:szCs w:val="32"/>
        </w:rPr>
        <w:t>年</w:t>
      </w:r>
      <w:r>
        <w:rPr>
          <w:rFonts w:ascii="仿宋_GB2312" w:hAnsi="宋体" w:eastAsia="仿宋_GB2312" w:cs="宋体"/>
          <w:kern w:val="0"/>
          <w:sz w:val="32"/>
          <w:szCs w:val="32"/>
        </w:rPr>
        <w:t>3</w:t>
      </w:r>
      <w:r>
        <w:rPr>
          <w:rFonts w:hint="eastAsia" w:ascii="仿宋_GB2312" w:hAnsi="宋体" w:eastAsia="仿宋_GB2312" w:cs="宋体"/>
          <w:kern w:val="0"/>
          <w:sz w:val="32"/>
          <w:szCs w:val="32"/>
        </w:rPr>
        <w:t>月明确为市人民政府管理的全市性残疾人事业团体。现设有办公室、教就部、康复部、组联维权部、就业服务中心，残疾人就业服务中心于</w:t>
      </w:r>
      <w:r>
        <w:rPr>
          <w:rFonts w:ascii="仿宋_GB2312" w:hAnsi="宋体" w:eastAsia="仿宋_GB2312" w:cs="宋体"/>
          <w:kern w:val="0"/>
          <w:sz w:val="32"/>
          <w:szCs w:val="32"/>
        </w:rPr>
        <w:t>2003</w:t>
      </w:r>
      <w:r>
        <w:rPr>
          <w:rFonts w:hint="eastAsia" w:ascii="仿宋_GB2312" w:hAnsi="宋体" w:eastAsia="仿宋_GB2312" w:cs="宋体"/>
          <w:kern w:val="0"/>
          <w:sz w:val="32"/>
          <w:szCs w:val="32"/>
        </w:rPr>
        <w:t>年</w:t>
      </w:r>
      <w:r>
        <w:rPr>
          <w:rFonts w:ascii="仿宋_GB2312" w:hAnsi="宋体" w:eastAsia="仿宋_GB2312" w:cs="宋体"/>
          <w:kern w:val="0"/>
          <w:sz w:val="32"/>
          <w:szCs w:val="32"/>
        </w:rPr>
        <w:t>1</w:t>
      </w:r>
      <w:r>
        <w:rPr>
          <w:rFonts w:hint="eastAsia" w:ascii="仿宋_GB2312" w:hAnsi="宋体" w:eastAsia="仿宋_GB2312" w:cs="宋体"/>
          <w:kern w:val="0"/>
          <w:sz w:val="32"/>
          <w:szCs w:val="32"/>
        </w:rPr>
        <w:t>月批准成立，为浏阳市残疾人联合会管理的事业单位。其业务范围是：综合管理辖区内残疾人劳动就业服务工作，掌握残疾人劳动力资源状况和用人单位需求；开展职业培训；具体运筹按比例就业，收放、管理残疾人就业保障金；扶持残疾人个体、集体从业。</w:t>
      </w:r>
    </w:p>
    <w:p>
      <w:pPr>
        <w:widowControl/>
        <w:spacing w:line="580" w:lineRule="exact"/>
        <w:ind w:firstLine="482"/>
        <w:jc w:val="left"/>
        <w:rPr>
          <w:rFonts w:ascii="仿宋_GB2312" w:hAnsi="宋体" w:eastAsia="仿宋_GB2312" w:cs="宋体"/>
          <w:kern w:val="0"/>
          <w:sz w:val="32"/>
          <w:szCs w:val="32"/>
        </w:rPr>
      </w:pPr>
      <w:r>
        <w:rPr>
          <w:rFonts w:hint="eastAsia" w:ascii="仿宋_GB2312" w:hAnsi="宋体" w:eastAsia="仿宋_GB2312" w:cs="宋体"/>
          <w:kern w:val="0"/>
          <w:sz w:val="32"/>
          <w:szCs w:val="32"/>
        </w:rPr>
        <w:t>　2．人员情况，我会</w:t>
      </w:r>
      <w:r>
        <w:rPr>
          <w:rFonts w:ascii="仿宋_GB2312" w:hAnsi="宋体" w:eastAsia="仿宋_GB2312" w:cs="宋体"/>
          <w:kern w:val="0"/>
          <w:sz w:val="32"/>
          <w:szCs w:val="32"/>
        </w:rPr>
        <w:t>20</w:t>
      </w:r>
      <w:r>
        <w:rPr>
          <w:rFonts w:hint="eastAsia" w:ascii="仿宋_GB2312" w:hAnsi="宋体" w:eastAsia="仿宋_GB2312" w:cs="宋体"/>
          <w:kern w:val="0"/>
          <w:sz w:val="32"/>
          <w:szCs w:val="32"/>
        </w:rPr>
        <w:t>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年末在职人员</w:t>
      </w:r>
      <w:r>
        <w:rPr>
          <w:rFonts w:ascii="仿宋_GB2312" w:hAnsi="宋体" w:eastAsia="仿宋_GB2312" w:cs="宋体"/>
          <w:kern w:val="0"/>
          <w:sz w:val="32"/>
          <w:szCs w:val="32"/>
        </w:rPr>
        <w:t>11</w:t>
      </w:r>
      <w:r>
        <w:rPr>
          <w:rFonts w:hint="eastAsia" w:ascii="仿宋_GB2312" w:hAnsi="宋体" w:eastAsia="仿宋_GB2312" w:cs="宋体"/>
          <w:kern w:val="0"/>
          <w:sz w:val="32"/>
          <w:szCs w:val="32"/>
        </w:rPr>
        <w:t>人，退休人员6人。</w:t>
      </w:r>
    </w:p>
    <w:p>
      <w:pPr>
        <w:tabs>
          <w:tab w:val="left" w:pos="5885"/>
        </w:tabs>
        <w:spacing w:line="596" w:lineRule="exact"/>
        <w:ind w:firstLine="640" w:firstLineChars="200"/>
        <w:rPr>
          <w:rFonts w:ascii="Times New Roman" w:hAnsi="Times New Roman" w:eastAsia="仿宋_GB2312"/>
          <w:kern w:val="0"/>
          <w:sz w:val="32"/>
          <w:szCs w:val="32"/>
        </w:rPr>
      </w:pPr>
    </w:p>
    <w:p>
      <w:pPr>
        <w:numPr>
          <w:ilvl w:val="0"/>
          <w:numId w:val="1"/>
        </w:numPr>
        <w:tabs>
          <w:tab w:val="center" w:pos="4422"/>
        </w:tabs>
        <w:spacing w:line="596"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年度重点工作计划</w:t>
      </w:r>
      <w:r>
        <w:rPr>
          <w:rFonts w:hint="eastAsia" w:ascii="Times New Roman" w:hAnsi="Times New Roman" w:eastAsia="仿宋_GB2312"/>
          <w:kern w:val="0"/>
          <w:sz w:val="32"/>
          <w:szCs w:val="32"/>
        </w:rPr>
        <w:tab/>
      </w:r>
    </w:p>
    <w:p>
      <w:pPr>
        <w:pStyle w:val="4"/>
        <w:spacing w:before="0" w:after="0" w:line="555" w:lineRule="atLeast"/>
        <w:ind w:firstLine="645"/>
        <w:textAlignment w:val="center"/>
        <w:rPr>
          <w:szCs w:val="24"/>
        </w:rPr>
      </w:pPr>
      <w:r>
        <w:rPr>
          <w:rFonts w:hint="eastAsia" w:ascii="Times New Roman" w:hAnsi="Times New Roman" w:eastAsia="仿宋_GB2312"/>
          <w:sz w:val="32"/>
          <w:szCs w:val="32"/>
        </w:rPr>
        <w:t>1．紧抓党的建设，推进全面从严治党。切实加强党的政治建设、思想建设和作风建设。</w:t>
      </w:r>
      <w:r>
        <w:rPr>
          <w:rFonts w:hint="eastAsia" w:ascii="仿宋_GB2312" w:eastAsia="仿宋_GB2312" w:cs="仿宋_GB2312"/>
          <w:sz w:val="31"/>
          <w:szCs w:val="31"/>
        </w:rPr>
        <w:t>树</w:t>
      </w:r>
      <w:r>
        <w:rPr>
          <w:rFonts w:hint="eastAsia" w:hAnsi="仿宋_GB2312" w:eastAsia="仿宋_GB2312" w:cs="仿宋_GB2312"/>
          <w:sz w:val="32"/>
          <w:szCs w:val="32"/>
        </w:rPr>
        <w:t>牢</w:t>
      </w:r>
      <w:r>
        <w:rPr>
          <w:rFonts w:hint="eastAsia" w:eastAsia="仿宋_GB2312" w:cs="仿宋_GB2312"/>
          <w:sz w:val="32"/>
          <w:szCs w:val="32"/>
        </w:rPr>
        <w:t>“</w:t>
      </w:r>
      <w:r>
        <w:rPr>
          <w:rFonts w:hint="eastAsia" w:hAnsi="仿宋_GB2312" w:eastAsia="仿宋_GB2312" w:cs="仿宋_GB2312"/>
          <w:sz w:val="32"/>
          <w:szCs w:val="32"/>
        </w:rPr>
        <w:t>四个意识</w:t>
      </w:r>
      <w:r>
        <w:rPr>
          <w:rFonts w:hint="eastAsia" w:eastAsia="仿宋_GB2312" w:cs="仿宋_GB2312"/>
          <w:sz w:val="32"/>
          <w:szCs w:val="32"/>
        </w:rPr>
        <w:t>”</w:t>
      </w:r>
      <w:r>
        <w:rPr>
          <w:rFonts w:hint="eastAsia" w:hAnsi="仿宋_GB2312" w:eastAsia="仿宋_GB2312" w:cs="仿宋_GB2312"/>
          <w:sz w:val="32"/>
          <w:szCs w:val="32"/>
        </w:rPr>
        <w:t>，坚定</w:t>
      </w:r>
      <w:r>
        <w:rPr>
          <w:rFonts w:hint="eastAsia" w:eastAsia="仿宋_GB2312" w:cs="仿宋_GB2312"/>
          <w:sz w:val="32"/>
          <w:szCs w:val="32"/>
        </w:rPr>
        <w:t>“</w:t>
      </w:r>
      <w:r>
        <w:rPr>
          <w:rFonts w:hint="eastAsia" w:hAnsi="仿宋_GB2312" w:eastAsia="仿宋_GB2312" w:cs="仿宋_GB2312"/>
          <w:sz w:val="32"/>
          <w:szCs w:val="32"/>
        </w:rPr>
        <w:t>四个自信</w:t>
      </w:r>
      <w:r>
        <w:rPr>
          <w:rFonts w:hint="eastAsia" w:eastAsia="仿宋_GB2312" w:cs="仿宋_GB2312"/>
          <w:sz w:val="32"/>
          <w:szCs w:val="32"/>
        </w:rPr>
        <w:t>”</w:t>
      </w:r>
      <w:r>
        <w:rPr>
          <w:rFonts w:hint="eastAsia" w:hAnsi="仿宋_GB2312" w:eastAsia="仿宋_GB2312" w:cs="仿宋_GB2312"/>
          <w:sz w:val="32"/>
          <w:szCs w:val="32"/>
        </w:rPr>
        <w:t>，做到</w:t>
      </w:r>
      <w:r>
        <w:rPr>
          <w:rFonts w:hint="eastAsia" w:eastAsia="仿宋_GB2312" w:cs="仿宋_GB2312"/>
          <w:sz w:val="32"/>
          <w:szCs w:val="32"/>
        </w:rPr>
        <w:t>“</w:t>
      </w:r>
      <w:r>
        <w:rPr>
          <w:rFonts w:hint="eastAsia" w:hAnsi="仿宋_GB2312" w:eastAsia="仿宋_GB2312" w:cs="仿宋_GB2312"/>
          <w:sz w:val="32"/>
          <w:szCs w:val="32"/>
        </w:rPr>
        <w:t>两个维护</w:t>
      </w:r>
      <w:r>
        <w:rPr>
          <w:rFonts w:hint="eastAsia" w:eastAsia="仿宋_GB2312" w:cs="仿宋_GB2312"/>
          <w:sz w:val="32"/>
          <w:szCs w:val="32"/>
        </w:rPr>
        <w:t>”，</w:t>
      </w:r>
      <w:r>
        <w:rPr>
          <w:rFonts w:hint="eastAsia" w:ascii="Times New Roman" w:hAnsi="Times New Roman" w:eastAsia="仿宋_GB2312"/>
          <w:sz w:val="32"/>
          <w:szCs w:val="32"/>
        </w:rPr>
        <w:t>坚持</w:t>
      </w:r>
      <w:r>
        <w:rPr>
          <w:rFonts w:ascii="仿宋_GB2312" w:eastAsia="仿宋_GB2312" w:cs="仿宋_GB2312"/>
          <w:sz w:val="31"/>
          <w:szCs w:val="31"/>
        </w:rPr>
        <w:t>党建引领</w:t>
      </w:r>
      <w:r>
        <w:rPr>
          <w:rFonts w:hint="eastAsia" w:ascii="仿宋_GB2312" w:eastAsia="仿宋_GB2312" w:cs="仿宋_GB2312"/>
          <w:sz w:val="31"/>
          <w:szCs w:val="31"/>
        </w:rPr>
        <w:t>，</w:t>
      </w:r>
      <w:r>
        <w:rPr>
          <w:rFonts w:hint="eastAsia" w:eastAsia="仿宋_GB2312" w:cs="仿宋_GB2312"/>
          <w:sz w:val="32"/>
          <w:szCs w:val="32"/>
        </w:rPr>
        <w:t>推进</w:t>
      </w:r>
      <w:r>
        <w:rPr>
          <w:rFonts w:hint="eastAsia" w:ascii="仿宋_GB2312" w:eastAsia="仿宋_GB2312" w:cs="仿宋_GB2312"/>
          <w:sz w:val="31"/>
          <w:szCs w:val="31"/>
        </w:rPr>
        <w:t>残疾人</w:t>
      </w:r>
      <w:r>
        <w:rPr>
          <w:rFonts w:ascii="仿宋_GB2312" w:eastAsia="仿宋_GB2312" w:cs="仿宋_GB2312"/>
          <w:sz w:val="31"/>
          <w:szCs w:val="31"/>
        </w:rPr>
        <w:t>事业全面发展。</w:t>
      </w:r>
    </w:p>
    <w:p>
      <w:pPr>
        <w:tabs>
          <w:tab w:val="center" w:pos="4422"/>
        </w:tabs>
        <w:spacing w:line="596"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2．推进扶贫工程。全面落实扶残助学和残疾人“两险”政府代缴等扶助补助政策；深入实施“阳光增收”计划，为340户农村残疾人提供技术培训和生产资料扶持，提高脱贫能力；配合民政落实残疾人“两项补贴”政策，做好受益对象残疾等级审核工作；坚持抓好救助慰问困难残疾人工作落实。</w:t>
      </w:r>
    </w:p>
    <w:p>
      <w:pPr>
        <w:tabs>
          <w:tab w:val="center" w:pos="4422"/>
        </w:tabs>
        <w:spacing w:line="596"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3．促进教育就业。</w:t>
      </w:r>
      <w:r>
        <w:rPr>
          <w:rFonts w:hint="eastAsia" w:ascii="Times New Roman" w:hAnsi="Times New Roman" w:eastAsia="仿宋_GB2312"/>
          <w:kern w:val="0"/>
          <w:sz w:val="32"/>
          <w:szCs w:val="32"/>
          <w:lang w:val="zh-TW"/>
        </w:rPr>
        <w:t>切实</w:t>
      </w:r>
      <w:r>
        <w:rPr>
          <w:rFonts w:hint="eastAsia" w:ascii="Times New Roman" w:hAnsi="Times New Roman" w:eastAsia="仿宋_GB2312"/>
          <w:kern w:val="0"/>
          <w:sz w:val="32"/>
          <w:szCs w:val="32"/>
        </w:rPr>
        <w:t>做好残疾人就业创业服务，为200名残疾人提供职业技能和实用技术培训，扶持自主创业残疾人20户。</w:t>
      </w:r>
    </w:p>
    <w:p>
      <w:pPr>
        <w:tabs>
          <w:tab w:val="center" w:pos="4422"/>
        </w:tabs>
        <w:spacing w:line="596"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4．开展托养服务。为80名贫困残疾人上门提供居家托养服务；加强各残疾人服务中心的指导与管理，努力提高托养服务规范化、专业化、制度化水平。</w:t>
      </w:r>
    </w:p>
    <w:p>
      <w:pPr>
        <w:tabs>
          <w:tab w:val="left" w:pos="1632"/>
        </w:tabs>
        <w:spacing w:line="596" w:lineRule="exact"/>
        <w:ind w:firstLine="320" w:firstLineChars="100"/>
        <w:rPr>
          <w:rFonts w:ascii="Times New Roman" w:hAnsi="Times New Roman" w:eastAsia="仿宋_GB2312"/>
          <w:kern w:val="0"/>
          <w:sz w:val="32"/>
          <w:szCs w:val="32"/>
        </w:rPr>
      </w:pPr>
      <w:r>
        <w:rPr>
          <w:rFonts w:hint="eastAsia" w:ascii="Times New Roman" w:hAnsi="Times New Roman" w:eastAsia="仿宋_GB2312"/>
          <w:kern w:val="0"/>
          <w:sz w:val="32"/>
          <w:szCs w:val="32"/>
        </w:rPr>
        <w:t>5．强化康复服务。对全市有康复需求的0-14周岁残疾儿童进行康复救助。为全市320名有康复需求的残疾儿童提供免费康复训练，为350名低视力和白内障患者提供康复服务，为60例贫困残疾人缺肢者装配假肢、矫形器，为1560名残疾人免费适配辅助器具。</w:t>
      </w:r>
    </w:p>
    <w:p>
      <w:pPr>
        <w:tabs>
          <w:tab w:val="center" w:pos="4422"/>
        </w:tabs>
        <w:spacing w:line="596"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6. 加强信访维权工作。积极做好残疾人法律问题解答和法律援助工作；及时办理 “12345”热线残疾人各类合理诉求，做好残疾人机动车燃油补贴申报、发放工作。</w:t>
      </w:r>
    </w:p>
    <w:p>
      <w:pPr>
        <w:tabs>
          <w:tab w:val="center" w:pos="4422"/>
        </w:tabs>
        <w:spacing w:line="596"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7. 推进无障碍环境建设。积极配合市住建局抓好全国无障碍环境县（市）创建工作；继续在全市开展无障碍社区改造与家庭畅行工程，完成2个无障碍社区改造。重点开展重度贫困残疾人家庭无障碍改造工作，对有无障碍改造需求的贫困重度残疾人家庭实现“清零”。</w:t>
      </w:r>
    </w:p>
    <w:p>
      <w:pPr>
        <w:tabs>
          <w:tab w:val="center" w:pos="4422"/>
        </w:tabs>
        <w:spacing w:line="596"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8．加强基层建设。加强基层残疾人组织和残疾人工作者队伍建设，提高专职委员整体素质；扎实抓好残疾人基本状况和服务需求动态更新工作，推动第三代（智能化）残疾人证换发工作；进一步规范残疾人证的核发管理，提高办证透明度。</w:t>
      </w:r>
    </w:p>
    <w:p>
      <w:pPr>
        <w:tabs>
          <w:tab w:val="center" w:pos="4422"/>
        </w:tabs>
        <w:spacing w:line="596"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9.  开展文体活动。加强特殊艺术人才培养，组织残疾人参加省级、市级举办的各类文体活动；指导各残疾人服务机构和乡镇残联因地制宜地开展各类残疾人文体活动，做好残疾人运动员集训工作。</w:t>
      </w:r>
    </w:p>
    <w:p>
      <w:pPr>
        <w:spacing w:line="596"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（四）部门整体支出规模、使用方向、主要内容和涉及范围</w:t>
      </w:r>
    </w:p>
    <w:p>
      <w:pPr>
        <w:pStyle w:val="4"/>
        <w:spacing w:before="0" w:after="0" w:line="555" w:lineRule="atLeast"/>
        <w:ind w:firstLine="645"/>
        <w:textAlignment w:val="center"/>
        <w:rPr>
          <w:szCs w:val="24"/>
        </w:rPr>
      </w:pPr>
      <w:r>
        <w:rPr>
          <w:rFonts w:hint="eastAsia" w:ascii="仿宋_GB2312" w:eastAsia="仿宋_GB2312" w:cs="仿宋_GB2312"/>
          <w:sz w:val="31"/>
          <w:szCs w:val="31"/>
        </w:rPr>
        <w:t>2020年我会整体支出规模为2237.98万元，其中：基本支出176.29万元，占当年总支出的7.88%；项目支出2061.69万元，占当年总支出的92.12%。项目支出主要是单位为完成本年度残疾人康复、教育、就业等各项工作目标而发生的支出，包括残疾人康复经费、残疾人就业和扶贫经费、残疾人事业其他经费等。</w:t>
      </w:r>
    </w:p>
    <w:p>
      <w:pPr>
        <w:spacing w:line="596"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二、部门整体支出资金管理及使用情况</w:t>
      </w:r>
    </w:p>
    <w:p>
      <w:pPr>
        <w:pStyle w:val="4"/>
        <w:spacing w:before="0" w:after="0" w:line="555" w:lineRule="atLeast"/>
        <w:ind w:firstLine="645"/>
        <w:textAlignment w:val="center"/>
        <w:rPr>
          <w:rFonts w:ascii="仿宋_GB2312" w:eastAsia="仿宋_GB2312" w:cs="仿宋_GB2312"/>
          <w:sz w:val="31"/>
          <w:szCs w:val="31"/>
        </w:rPr>
      </w:pPr>
      <w:r>
        <w:rPr>
          <w:rFonts w:hint="eastAsia" w:ascii="仿宋_GB2312" w:eastAsia="仿宋_GB2312" w:cs="仿宋_GB2312"/>
          <w:sz w:val="31"/>
          <w:szCs w:val="31"/>
        </w:rPr>
        <w:t>（一）基本支出</w:t>
      </w:r>
    </w:p>
    <w:p>
      <w:pPr>
        <w:pStyle w:val="4"/>
        <w:spacing w:before="0" w:after="0" w:line="555" w:lineRule="atLeast"/>
        <w:ind w:firstLine="645"/>
        <w:textAlignment w:val="center"/>
        <w:rPr>
          <w:rFonts w:ascii="仿宋_GB2312" w:eastAsia="仿宋_GB2312" w:cs="仿宋_GB2312"/>
          <w:sz w:val="31"/>
          <w:szCs w:val="31"/>
        </w:rPr>
      </w:pPr>
      <w:r>
        <w:rPr>
          <w:rFonts w:hint="eastAsia" w:ascii="仿宋_GB2312" w:eastAsia="仿宋_GB2312" w:cs="仿宋_GB2312"/>
          <w:sz w:val="31"/>
          <w:szCs w:val="31"/>
        </w:rPr>
        <w:t>1．实际整体收支情况。本单位2020年度基本支出176.29万元，其中：人员经费161.31万元，占91.5%，主要包括基本工资、津贴补贴、奖金、社会保险缴费、住房公积金、生活补助、其他对个人和家庭的补助等；公用经费14.98万元，占8.5%，主要包括办公费、福利费、工会经费、其他交通费、其他商品和服务支出等。</w:t>
      </w:r>
    </w:p>
    <w:p>
      <w:pPr>
        <w:pStyle w:val="4"/>
        <w:spacing w:before="0" w:after="0" w:line="555" w:lineRule="atLeast"/>
        <w:ind w:firstLine="645"/>
        <w:textAlignment w:val="center"/>
        <w:rPr>
          <w:rFonts w:ascii="仿宋_GB2312" w:eastAsia="仿宋_GB2312" w:cs="仿宋_GB2312"/>
          <w:sz w:val="31"/>
          <w:szCs w:val="31"/>
        </w:rPr>
      </w:pPr>
      <w:r>
        <w:rPr>
          <w:rFonts w:hint="eastAsia" w:ascii="仿宋_GB2312" w:eastAsia="仿宋_GB2312" w:cs="仿宋_GB2312"/>
          <w:sz w:val="31"/>
          <w:szCs w:val="31"/>
        </w:rPr>
        <w:t>2．“三公” 经费总支出情况。2020年度“三公”经费总支出2.2万元，其中：因公出国（境）费支出0万元，公务接待费支出0.5万元，公务用车购置费及运行维护费支出1.7万元。</w:t>
      </w:r>
    </w:p>
    <w:p>
      <w:pPr>
        <w:pStyle w:val="4"/>
        <w:spacing w:before="0" w:after="0" w:line="555" w:lineRule="atLeast"/>
        <w:textAlignment w:val="center"/>
        <w:rPr>
          <w:rFonts w:ascii="仿宋_GB2312" w:eastAsia="仿宋_GB2312" w:cs="仿宋_GB2312"/>
          <w:sz w:val="31"/>
          <w:szCs w:val="31"/>
        </w:rPr>
      </w:pPr>
      <w:r>
        <w:rPr>
          <w:rFonts w:hint="eastAsia" w:ascii="仿宋_GB2312" w:eastAsia="仿宋_GB2312" w:cs="仿宋_GB2312"/>
          <w:sz w:val="31"/>
          <w:szCs w:val="31"/>
        </w:rPr>
        <w:t> 3．因公出国（境）费用支出和公务用车（购置）情况。2020年无因公出国（境）费用支出和公务用车（购置）支出。</w:t>
      </w:r>
    </w:p>
    <w:p>
      <w:pPr>
        <w:pStyle w:val="4"/>
        <w:spacing w:before="0" w:after="0" w:line="555" w:lineRule="atLeast"/>
        <w:ind w:firstLine="645"/>
        <w:textAlignment w:val="center"/>
        <w:rPr>
          <w:rFonts w:ascii="仿宋_GB2312" w:eastAsia="仿宋_GB2312" w:cs="仿宋_GB2312"/>
          <w:sz w:val="31"/>
          <w:szCs w:val="31"/>
        </w:rPr>
      </w:pPr>
      <w:r>
        <w:rPr>
          <w:rFonts w:hint="eastAsia" w:ascii="仿宋_GB2312" w:eastAsia="仿宋_GB2312" w:cs="仿宋_GB2312"/>
          <w:sz w:val="31"/>
          <w:szCs w:val="31"/>
        </w:rPr>
        <w:t>（二）项目支出</w:t>
      </w:r>
    </w:p>
    <w:p>
      <w:pPr>
        <w:pStyle w:val="4"/>
        <w:spacing w:before="0" w:after="0" w:line="555" w:lineRule="atLeast"/>
        <w:ind w:firstLine="645"/>
        <w:textAlignment w:val="center"/>
        <w:rPr>
          <w:szCs w:val="24"/>
        </w:rPr>
      </w:pPr>
      <w:r>
        <w:rPr>
          <w:rFonts w:hint="eastAsia" w:ascii="仿宋_GB2312" w:eastAsia="仿宋_GB2312" w:cs="仿宋_GB2312"/>
          <w:sz w:val="31"/>
          <w:szCs w:val="31"/>
        </w:rPr>
        <w:t> 1.项目资金安排落实、总投入等情况分析。2020项目支出2061.69万元：财政拨款项目支出1282.02万元，占62.18%；其他收入779.67万元（上级收入），占37.82%。</w:t>
      </w:r>
    </w:p>
    <w:p>
      <w:pPr>
        <w:pStyle w:val="4"/>
        <w:spacing w:before="0" w:after="0" w:line="555" w:lineRule="atLeast"/>
        <w:ind w:firstLine="645"/>
        <w:textAlignment w:val="center"/>
        <w:rPr>
          <w:rFonts w:ascii="仿宋_GB2312" w:eastAsia="仿宋_GB2312" w:cs="仿宋_GB2312"/>
          <w:sz w:val="31"/>
          <w:szCs w:val="31"/>
        </w:rPr>
      </w:pPr>
      <w:r>
        <w:rPr>
          <w:rFonts w:hint="eastAsia" w:ascii="仿宋_GB2312" w:eastAsia="仿宋_GB2312" w:cs="仿宋_GB2312"/>
          <w:sz w:val="31"/>
          <w:szCs w:val="31"/>
        </w:rPr>
        <w:t>2.项目资金实际使用情况分析。2020年我会加大民生项目投入，残疾人教育就业、康复等工作全面完成。具体情况使用情况如下：残疾人就业和扶贫681.24万元，主要是用于残疾人创业扶持、残疾人扶残助学、残疾人托养服务、残疾人危房改造和残疾人培训等开支；残疾人康复716.34万元，主要是用于“0-14岁贫困残疾儿童抢救性康复”费用、残疾人假肢装配和残疾人辅助器具免费发放；其他残疾人事业支出416.86万元，主要用于残疾人免费参加农村医保、全国助残日活动和残疾人无障碍改造等开支；行政单位医疗4万，用于干部医药费补助支出。彩票公益金支出为423.75万元，主要用于残疾儿童康复、辅助器具适配和基本康复服务。</w:t>
      </w:r>
    </w:p>
    <w:p>
      <w:pPr>
        <w:spacing w:line="560" w:lineRule="exact"/>
        <w:ind w:firstLine="640"/>
        <w:rPr>
          <w:rFonts w:ascii="宋体" w:hAnsi="宋体" w:cs="宋体"/>
          <w:sz w:val="24"/>
          <w:szCs w:val="24"/>
        </w:rPr>
      </w:pPr>
      <w:r>
        <w:rPr>
          <w:rFonts w:hint="eastAsia" w:ascii="仿宋_GB2312" w:hAnsi="宋体" w:eastAsia="仿宋_GB2312" w:cs="仿宋_GB2312"/>
          <w:sz w:val="31"/>
          <w:szCs w:val="31"/>
        </w:rPr>
        <w:t>3.项目资金管理情况分析。</w:t>
      </w:r>
      <w:r>
        <w:rPr>
          <w:rFonts w:hint="eastAsia" w:ascii="仿宋_GB2312" w:hAnsi="Verdana" w:eastAsia="仿宋_GB2312" w:cs="宋体"/>
          <w:kern w:val="0"/>
          <w:sz w:val="32"/>
          <w:szCs w:val="32"/>
        </w:rPr>
        <w:t>由</w:t>
      </w:r>
      <w:r>
        <w:rPr>
          <w:rFonts w:hint="eastAsia" w:ascii="仿宋_GB2312" w:hAnsi="仿宋_GB2312" w:eastAsia="仿宋_GB2312" w:cs="仿宋_GB2312"/>
          <w:sz w:val="32"/>
          <w:szCs w:val="32"/>
        </w:rPr>
        <w:t>各部部提出资金使用计划和支付明细资料，报分管领导审批，经单位主要领导审定后，向财务室申报资金计划</w:t>
      </w:r>
      <w:r>
        <w:rPr>
          <w:rFonts w:hint="eastAsia" w:ascii="仿宋_GB2312" w:hAnsi="Verdana" w:eastAsia="仿宋_GB2312" w:cs="宋体"/>
          <w:kern w:val="0"/>
          <w:sz w:val="32"/>
          <w:szCs w:val="32"/>
        </w:rPr>
        <w:t>。</w:t>
      </w:r>
      <w:r>
        <w:rPr>
          <w:rFonts w:hint="eastAsia" w:ascii="仿宋_GB2312" w:hAnsi="宋体" w:eastAsia="仿宋_GB2312" w:cs="仿宋_GB2312"/>
          <w:sz w:val="31"/>
          <w:szCs w:val="31"/>
        </w:rPr>
        <w:t>属于 “三重一大”范围的项目，按规定程序上会研究。根据项目进度，按时将各项资金拨付到位。资金拨付前均在浏阳市政府网站进行了公示，接受监督。残疾儿童康复项目资金、假肢装配和光明关爱项目资金均直接拨付到承担项目的机构，辅助器具项目经费拨付至厂家，残疾人教育资助、残疾儿童康复项目中陪护补助与其他康复救助资金直接通过一卡通发放至残疾人本人或其亲属存折上。残疾人</w:t>
      </w:r>
      <w:r>
        <w:rPr>
          <w:rFonts w:hint="eastAsia" w:ascii="仿宋_GB2312" w:eastAsia="仿宋_GB2312" w:cs="仿宋_GB2312"/>
          <w:sz w:val="31"/>
          <w:szCs w:val="31"/>
        </w:rPr>
        <w:t>培训经费、无障碍改造经费</w:t>
      </w:r>
      <w:r>
        <w:rPr>
          <w:rFonts w:hint="eastAsia" w:ascii="仿宋_GB2312" w:hAnsi="宋体" w:eastAsia="仿宋_GB2312" w:cs="仿宋_GB2312"/>
          <w:sz w:val="31"/>
          <w:szCs w:val="31"/>
        </w:rPr>
        <w:t>直接拨付至各乡镇街道财政所，由乡镇组织培训，</w:t>
      </w:r>
      <w:r>
        <w:rPr>
          <w:rFonts w:hint="eastAsia" w:ascii="仿宋_GB2312" w:eastAsia="仿宋_GB2312" w:cs="仿宋_GB2312"/>
          <w:sz w:val="31"/>
          <w:szCs w:val="31"/>
        </w:rPr>
        <w:t>实施改造</w:t>
      </w:r>
      <w:r>
        <w:rPr>
          <w:rFonts w:hint="eastAsia" w:ascii="仿宋_GB2312" w:hAnsi="宋体" w:eastAsia="仿宋_GB2312" w:cs="仿宋_GB2312"/>
          <w:sz w:val="31"/>
          <w:szCs w:val="31"/>
        </w:rPr>
        <w:t>。</w:t>
      </w:r>
    </w:p>
    <w:p>
      <w:pPr>
        <w:pStyle w:val="4"/>
        <w:spacing w:before="0" w:after="0" w:line="555" w:lineRule="atLeast"/>
        <w:ind w:firstLine="645"/>
        <w:textAlignment w:val="center"/>
        <w:rPr>
          <w:rFonts w:ascii="仿宋_GB2312" w:eastAsia="仿宋_GB2312" w:cs="仿宋_GB2312"/>
          <w:kern w:val="2"/>
          <w:sz w:val="31"/>
          <w:szCs w:val="31"/>
        </w:rPr>
      </w:pPr>
      <w:r>
        <w:rPr>
          <w:rFonts w:hint="eastAsia" w:ascii="仿宋_GB2312" w:eastAsia="仿宋_GB2312" w:cs="仿宋_GB2312"/>
          <w:kern w:val="2"/>
          <w:sz w:val="31"/>
          <w:szCs w:val="31"/>
        </w:rPr>
        <w:t>（一）项目组织情况分析</w:t>
      </w:r>
    </w:p>
    <w:p>
      <w:pPr>
        <w:pStyle w:val="4"/>
        <w:tabs>
          <w:tab w:val="left" w:pos="867"/>
          <w:tab w:val="center" w:pos="4422"/>
        </w:tabs>
        <w:spacing w:before="0" w:after="0" w:line="555" w:lineRule="atLeast"/>
        <w:ind w:firstLine="960" w:firstLineChars="300"/>
        <w:textAlignment w:val="center"/>
        <w:rPr>
          <w:rFonts w:ascii="仿宋_GB2312" w:eastAsia="仿宋_GB2312"/>
          <w:sz w:val="32"/>
          <w:szCs w:val="32"/>
        </w:rPr>
      </w:pPr>
      <w:r>
        <w:rPr>
          <w:rFonts w:hint="eastAsia" w:ascii="仿宋_GB2312" w:eastAsia="仿宋_GB2312"/>
          <w:sz w:val="32"/>
          <w:szCs w:val="32"/>
        </w:rPr>
        <w:t>1.前期工作。</w:t>
      </w:r>
    </w:p>
    <w:p>
      <w:pPr>
        <w:pStyle w:val="4"/>
        <w:tabs>
          <w:tab w:val="left" w:pos="867"/>
          <w:tab w:val="center" w:pos="4422"/>
        </w:tabs>
        <w:spacing w:before="0" w:after="0" w:line="555" w:lineRule="atLeast"/>
        <w:ind w:firstLine="930" w:firstLineChars="300"/>
        <w:textAlignment w:val="center"/>
        <w:rPr>
          <w:rFonts w:ascii="仿宋_GB2312" w:eastAsia="仿宋_GB2312" w:cs="仿宋_GB2312"/>
          <w:kern w:val="2"/>
          <w:sz w:val="31"/>
          <w:szCs w:val="31"/>
        </w:rPr>
      </w:pPr>
      <w:r>
        <w:rPr>
          <w:rFonts w:hint="eastAsia" w:ascii="仿宋_GB2312" w:eastAsia="仿宋_GB2312" w:cs="仿宋_GB2312"/>
          <w:kern w:val="2"/>
          <w:sz w:val="31"/>
          <w:szCs w:val="31"/>
        </w:rPr>
        <w:t>一是选定机构。残疾儿童康复项目由长沙市残联统一定点康复机构，残疾儿童监护人根据自身需求，在定点康复机构中选择服务机构。白内障手术项目，我会通过公开招标确定集里医院承担白内障手术项目。居家托养也是通过招标由光彩家政服务公司提供服务。辅具适配服务项目由长沙市残联招标确定三家服务机构，我会选择其中一家作为服务机构。</w:t>
      </w:r>
    </w:p>
    <w:p>
      <w:pPr>
        <w:pStyle w:val="4"/>
        <w:tabs>
          <w:tab w:val="left" w:pos="867"/>
          <w:tab w:val="center" w:pos="4422"/>
        </w:tabs>
        <w:spacing w:before="0" w:after="0" w:line="555" w:lineRule="atLeast"/>
        <w:ind w:firstLine="930" w:firstLineChars="300"/>
        <w:textAlignment w:val="center"/>
        <w:rPr>
          <w:rFonts w:ascii="仿宋_GB2312" w:eastAsia="仿宋_GB2312" w:cs="仿宋_GB2312"/>
          <w:kern w:val="2"/>
          <w:sz w:val="31"/>
          <w:szCs w:val="31"/>
        </w:rPr>
      </w:pPr>
      <w:r>
        <w:rPr>
          <w:rFonts w:hint="eastAsia" w:ascii="仿宋_GB2312" w:eastAsia="仿宋_GB2312" w:cs="仿宋_GB2312"/>
          <w:kern w:val="2"/>
          <w:sz w:val="31"/>
          <w:szCs w:val="31"/>
        </w:rPr>
        <w:t>二是精心组织。为保证残疾人事业各项工作的顺利开展，根据省、市残联文件精神，我市残联下发相关文件至乡镇街道，各乡镇街道残联进行宣传发动。业务部室严格根据项目计划安排开展项目，及时掌握各项目实施情况，解决项目实施过程中遇到的困难和问题。为确保全市无障碍改造工作顺利推进，我们还召开了有关乡镇残联理事长会议，动员部署贫困残疾人家庭无障碍改造工作。</w:t>
      </w:r>
    </w:p>
    <w:p>
      <w:pPr>
        <w:pStyle w:val="4"/>
        <w:tabs>
          <w:tab w:val="left" w:pos="867"/>
          <w:tab w:val="center" w:pos="4422"/>
        </w:tabs>
        <w:spacing w:before="0" w:after="0" w:line="555" w:lineRule="atLeast"/>
        <w:ind w:firstLine="930" w:firstLineChars="300"/>
        <w:textAlignment w:val="center"/>
        <w:rPr>
          <w:rFonts w:ascii="仿宋_GB2312" w:eastAsia="仿宋_GB2312" w:cs="仿宋_GB2312"/>
          <w:kern w:val="2"/>
          <w:sz w:val="31"/>
          <w:szCs w:val="31"/>
        </w:rPr>
      </w:pPr>
      <w:r>
        <w:rPr>
          <w:rFonts w:hint="eastAsia" w:ascii="仿宋_GB2312" w:eastAsia="仿宋_GB2312" w:cs="仿宋_GB2312"/>
          <w:kern w:val="2"/>
          <w:sz w:val="31"/>
          <w:szCs w:val="31"/>
        </w:rPr>
        <w:t>2.项目实施。</w:t>
      </w:r>
    </w:p>
    <w:p>
      <w:pPr>
        <w:pStyle w:val="4"/>
        <w:tabs>
          <w:tab w:val="left" w:pos="867"/>
          <w:tab w:val="center" w:pos="4422"/>
        </w:tabs>
        <w:spacing w:before="0" w:after="0" w:line="555" w:lineRule="atLeast"/>
        <w:ind w:firstLine="930" w:firstLineChars="300"/>
        <w:textAlignment w:val="center"/>
        <w:rPr>
          <w:rFonts w:ascii="仿宋_GB2312" w:eastAsia="仿宋_GB2312" w:cs="仿宋_GB2312"/>
          <w:kern w:val="2"/>
          <w:sz w:val="31"/>
          <w:szCs w:val="31"/>
        </w:rPr>
      </w:pPr>
      <w:r>
        <w:rPr>
          <w:rFonts w:hint="eastAsia" w:ascii="仿宋_GB2312" w:eastAsia="仿宋_GB2312" w:cs="仿宋_GB2312"/>
          <w:kern w:val="2"/>
          <w:sz w:val="31"/>
          <w:szCs w:val="31"/>
        </w:rPr>
        <w:t>一是严格审核，层层把关。扶残助学项目，由申报者带学校已盖章的申报表到乡镇进行初审，乡镇审核资料无误后汇总报送市残联，市残联通过资料审查，和扶贫办、民政局的数据进行比对后确定最终发放名单并录入湖南省残疾人教育资助系统并上报长沙市残联，等省残联和长沙市残联拨付资金到位后通过一卡通系统发放。残疾人康复救助补助、危房改造补助等都是严格按照文件要求，层层审核确定名单后，通过一卡通发放。</w:t>
      </w:r>
    </w:p>
    <w:p>
      <w:pPr>
        <w:pStyle w:val="4"/>
        <w:tabs>
          <w:tab w:val="left" w:pos="867"/>
          <w:tab w:val="center" w:pos="4422"/>
        </w:tabs>
        <w:spacing w:before="0" w:after="0" w:line="555" w:lineRule="atLeast"/>
        <w:ind w:firstLine="930" w:firstLineChars="300"/>
        <w:textAlignment w:val="center"/>
        <w:rPr>
          <w:rFonts w:ascii="仿宋_GB2312" w:eastAsia="仿宋_GB2312" w:cs="仿宋_GB2312"/>
          <w:kern w:val="2"/>
          <w:sz w:val="31"/>
          <w:szCs w:val="31"/>
        </w:rPr>
      </w:pPr>
      <w:r>
        <w:rPr>
          <w:rFonts w:hint="eastAsia" w:ascii="仿宋_GB2312" w:eastAsia="仿宋_GB2312" w:cs="仿宋_GB2312"/>
          <w:kern w:val="2"/>
          <w:sz w:val="31"/>
          <w:szCs w:val="31"/>
        </w:rPr>
        <w:t>二是机构评估，确保实效。残疾儿童康复项目和残疾人托养项目，长沙市残联统一安排第三方评估机构对定点服务机构进行评估，定期对服务对象进行电话回访或实地调查。项目完成后，我会根据长沙市残联第三方评估机构评估等级结果拨付经费。无障碍改造也是要求第三方机构或财政评审中心进行审核后才拨付经费。</w:t>
      </w:r>
    </w:p>
    <w:p>
      <w:pPr>
        <w:pStyle w:val="4"/>
        <w:tabs>
          <w:tab w:val="left" w:pos="867"/>
          <w:tab w:val="center" w:pos="4422"/>
        </w:tabs>
        <w:spacing w:before="0" w:after="0" w:line="555" w:lineRule="atLeast"/>
        <w:textAlignment w:val="center"/>
        <w:rPr>
          <w:rFonts w:ascii="仿宋_GB2312" w:eastAsia="仿宋_GB2312" w:cs="仿宋_GB2312"/>
          <w:kern w:val="2"/>
          <w:sz w:val="31"/>
          <w:szCs w:val="31"/>
        </w:rPr>
      </w:pPr>
      <w:r>
        <w:rPr>
          <w:rFonts w:hint="eastAsia" w:ascii="仿宋_GB2312" w:eastAsia="仿宋_GB2312" w:cs="仿宋_GB2312"/>
          <w:kern w:val="2"/>
          <w:sz w:val="31"/>
          <w:szCs w:val="31"/>
        </w:rPr>
        <w:t>（二）项目管理情况分析</w:t>
      </w:r>
      <w:r>
        <w:rPr>
          <w:rFonts w:hint="eastAsia" w:ascii="仿宋_GB2312" w:eastAsia="仿宋_GB2312" w:cs="仿宋_GB2312"/>
          <w:kern w:val="2"/>
          <w:sz w:val="31"/>
          <w:szCs w:val="31"/>
        </w:rPr>
        <w:tab/>
      </w:r>
    </w:p>
    <w:p>
      <w:pPr>
        <w:pStyle w:val="4"/>
        <w:tabs>
          <w:tab w:val="left" w:pos="867"/>
          <w:tab w:val="center" w:pos="4422"/>
        </w:tabs>
        <w:spacing w:before="0" w:after="0" w:line="555" w:lineRule="atLeast"/>
        <w:ind w:firstLine="930" w:firstLineChars="300"/>
        <w:textAlignment w:val="center"/>
        <w:rPr>
          <w:rFonts w:ascii="仿宋_GB2312" w:eastAsia="仿宋_GB2312" w:cs="仿宋_GB2312"/>
          <w:kern w:val="2"/>
          <w:sz w:val="31"/>
          <w:szCs w:val="31"/>
        </w:rPr>
      </w:pPr>
      <w:r>
        <w:rPr>
          <w:rFonts w:hint="eastAsia" w:ascii="仿宋_GB2312" w:eastAsia="仿宋_GB2312" w:cs="仿宋_GB2312"/>
          <w:kern w:val="2"/>
          <w:sz w:val="31"/>
          <w:szCs w:val="31"/>
        </w:rPr>
        <w:t>一是实地抽查，了解情况。残疾人康复项目、机构托养工作，都是通过指纹打卡进行考勤，我会每月不定期的对辖区内的康复、托养机构进行打卡考勤抽查。对于在其他区县的定点机构，每年不定时进行至少一次实地检查。创业扶持项目，乡镇收到申报者申报后核实资料的真实性并实地进行核查，汇总后交市残联。我市残联汇总所有申报者资料后对营业执照及其他资料进行初步核实，再上户逐一进行实地核查，长沙市残联对部分申报者进行抽查。 无障碍改造项目，深入到改造的残疾人家中，实地查看无障碍设施改造情况，及时掌握工程进度，根据现场条件和残疾人意愿确定具体改造方式，严格要求施工单位按照有关无障碍设计规范实施改造。</w:t>
      </w:r>
    </w:p>
    <w:p>
      <w:pPr>
        <w:pStyle w:val="4"/>
        <w:tabs>
          <w:tab w:val="left" w:pos="867"/>
          <w:tab w:val="center" w:pos="4422"/>
        </w:tabs>
        <w:spacing w:before="0" w:after="0" w:line="555" w:lineRule="atLeast"/>
        <w:ind w:firstLine="930" w:firstLineChars="300"/>
        <w:textAlignment w:val="center"/>
        <w:rPr>
          <w:rFonts w:ascii="仿宋_GB2312" w:eastAsia="仿宋_GB2312" w:cs="仿宋_GB2312"/>
          <w:kern w:val="2"/>
          <w:sz w:val="31"/>
          <w:szCs w:val="31"/>
        </w:rPr>
      </w:pPr>
      <w:r>
        <w:rPr>
          <w:rFonts w:hint="eastAsia" w:ascii="仿宋_GB2312" w:eastAsia="仿宋_GB2312" w:cs="仿宋_GB2312"/>
          <w:kern w:val="2"/>
          <w:sz w:val="31"/>
          <w:szCs w:val="31"/>
        </w:rPr>
        <w:t>二是电话回访，及时整改。我会不定期对康复儿童家长进行电话抽访，发现问题立马责令机构整改。“光明·关爱”视力救助项目实施过程中，我会跟进项目进度，对服务对象进行抽访，及时发现问题，解决问题；项目完成后，我会对所有服务对象进行回访，了解手术后相关情况。辅具发放过程中，我会密切联系乡镇（街道）残联，发现辅具质量问题及时联系辅具厂家进行补发换新；辅具发放完成后，我会要求乡镇、街道残联对所有对象进行回访，及时上报发现的问题，我会协调厂商尽快解决问题。</w:t>
      </w:r>
    </w:p>
    <w:p>
      <w:pPr>
        <w:pStyle w:val="4"/>
        <w:numPr>
          <w:ilvl w:val="0"/>
          <w:numId w:val="2"/>
        </w:numPr>
        <w:tabs>
          <w:tab w:val="left" w:pos="867"/>
          <w:tab w:val="center" w:pos="4422"/>
        </w:tabs>
        <w:spacing w:before="0" w:after="0" w:line="555" w:lineRule="atLeast"/>
        <w:ind w:firstLine="930" w:firstLineChars="300"/>
        <w:textAlignment w:val="center"/>
        <w:rPr>
          <w:rFonts w:ascii="黑体" w:eastAsia="黑体" w:cs="黑体"/>
          <w:sz w:val="31"/>
          <w:szCs w:val="31"/>
        </w:rPr>
      </w:pPr>
      <w:r>
        <w:rPr>
          <w:rFonts w:hint="eastAsia" w:ascii="黑体" w:eastAsia="黑体" w:cs="黑体"/>
          <w:sz w:val="31"/>
          <w:szCs w:val="31"/>
        </w:rPr>
        <w:t>资产管理情况</w:t>
      </w:r>
    </w:p>
    <w:p>
      <w:pPr>
        <w:pStyle w:val="4"/>
        <w:tabs>
          <w:tab w:val="left" w:pos="867"/>
          <w:tab w:val="center" w:pos="4422"/>
        </w:tabs>
        <w:spacing w:before="0" w:after="0" w:line="555" w:lineRule="atLeast"/>
        <w:ind w:left="630" w:leftChars="300" w:firstLine="0"/>
        <w:textAlignment w:val="center"/>
        <w:rPr>
          <w:rFonts w:ascii="仿宋_GB2312" w:eastAsia="仿宋_GB2312" w:cs="仿宋_GB2312"/>
          <w:kern w:val="2"/>
          <w:sz w:val="31"/>
          <w:szCs w:val="31"/>
        </w:rPr>
      </w:pPr>
      <w:r>
        <w:rPr>
          <w:rFonts w:hint="eastAsia" w:ascii="仿宋_GB2312" w:eastAsia="仿宋_GB2312" w:cs="仿宋_GB2312"/>
          <w:kern w:val="2"/>
          <w:sz w:val="31"/>
          <w:szCs w:val="31"/>
        </w:rPr>
        <w:t>（一）资产配置、管理、处置情况</w:t>
      </w:r>
    </w:p>
    <w:p>
      <w:pPr>
        <w:pStyle w:val="4"/>
        <w:tabs>
          <w:tab w:val="left" w:pos="867"/>
          <w:tab w:val="center" w:pos="4422"/>
        </w:tabs>
        <w:spacing w:before="0" w:after="0" w:line="555" w:lineRule="atLeast"/>
        <w:ind w:firstLine="930" w:firstLineChars="300"/>
        <w:textAlignment w:val="center"/>
        <w:rPr>
          <w:rFonts w:ascii="仿宋_GB2312" w:eastAsia="仿宋_GB2312" w:cs="仿宋_GB2312"/>
          <w:kern w:val="2"/>
          <w:sz w:val="31"/>
          <w:szCs w:val="31"/>
        </w:rPr>
      </w:pPr>
      <w:r>
        <w:rPr>
          <w:rFonts w:hint="eastAsia" w:ascii="仿宋_GB2312" w:eastAsia="仿宋_GB2312" w:cs="仿宋_GB2312"/>
          <w:kern w:val="2"/>
          <w:sz w:val="31"/>
          <w:szCs w:val="31"/>
        </w:rPr>
        <w:t>本单位加强国有资产管理，资产配置合理，使用和处置环节到位，</w:t>
      </w:r>
      <w:r>
        <w:rPr>
          <w:rFonts w:hint="eastAsia" w:ascii="仿宋_GB2312" w:eastAsia="仿宋_GB2312"/>
          <w:sz w:val="32"/>
          <w:szCs w:val="32"/>
        </w:rPr>
        <w:t>2020年的固定资产增加5.8万元，购买了残疾人证制卡打印机、复印机，601办公室安装了电子显示屏。</w:t>
      </w:r>
      <w:r>
        <w:rPr>
          <w:rFonts w:hint="eastAsia" w:ascii="仿宋_GB2312" w:eastAsia="仿宋_GB2312" w:cs="仿宋_GB2312"/>
          <w:kern w:val="2"/>
          <w:sz w:val="31"/>
          <w:szCs w:val="31"/>
        </w:rPr>
        <w:t>将残疾人综合服务中心2-4楼进行出租，充分利用了国有资产。单位资产都进行了编号，做到账、卡、物一致。</w:t>
      </w:r>
    </w:p>
    <w:p>
      <w:pPr>
        <w:pStyle w:val="4"/>
        <w:spacing w:before="0" w:after="0" w:line="555" w:lineRule="atLeast"/>
        <w:ind w:firstLine="645"/>
        <w:textAlignment w:val="center"/>
        <w:rPr>
          <w:szCs w:val="24"/>
        </w:rPr>
      </w:pPr>
      <w:r>
        <w:rPr>
          <w:rFonts w:hint="eastAsia" w:ascii="楷体" w:hAnsi="楷体" w:eastAsia="楷体" w:cs="楷体"/>
          <w:sz w:val="31"/>
          <w:szCs w:val="31"/>
        </w:rPr>
        <w:t>（二）资产管理措施</w:t>
      </w:r>
    </w:p>
    <w:p>
      <w:pPr>
        <w:pStyle w:val="4"/>
        <w:spacing w:before="0" w:after="0" w:line="555" w:lineRule="atLeast"/>
        <w:ind w:firstLine="645"/>
        <w:textAlignment w:val="center"/>
        <w:rPr>
          <w:szCs w:val="24"/>
        </w:rPr>
      </w:pPr>
      <w:r>
        <w:rPr>
          <w:rFonts w:hint="eastAsia" w:ascii="仿宋_GB2312" w:eastAsia="仿宋_GB2312" w:cs="仿宋_GB2312"/>
          <w:sz w:val="31"/>
          <w:szCs w:val="31"/>
        </w:rPr>
        <w:t>1.健全管理机制。制定国有资产管理制度，分管财经领导为资产管理负责人，办公室负责资产管理，财务室负责资产核算，明确使用人，保障资产安全和完整。</w:t>
      </w:r>
    </w:p>
    <w:p>
      <w:pPr>
        <w:widowControl/>
        <w:spacing w:line="600" w:lineRule="exact"/>
        <w:ind w:firstLine="620" w:firstLineChars="200"/>
        <w:jc w:val="left"/>
        <w:rPr>
          <w:rFonts w:ascii="仿宋_GB2312" w:hAnsi="宋体" w:eastAsia="仿宋_GB2312" w:cs="宋体"/>
          <w:kern w:val="0"/>
          <w:sz w:val="32"/>
          <w:szCs w:val="32"/>
        </w:rPr>
      </w:pPr>
      <w:r>
        <w:rPr>
          <w:rFonts w:hint="eastAsia" w:ascii="仿宋_GB2312" w:hAnsi="宋体" w:eastAsia="仿宋_GB2312" w:cs="仿宋_GB2312"/>
          <w:sz w:val="31"/>
          <w:szCs w:val="31"/>
        </w:rPr>
        <w:t>2.做好预算统筹。对资产购置做到年初有预算统筹安排，购置遵照政府采购规定执行，合理配置资产，提高资产使用效益，保障单位正常运转。</w:t>
      </w:r>
      <w:r>
        <w:rPr>
          <w:rFonts w:hint="eastAsia" w:ascii="仿宋_GB2312" w:hAnsi="宋体" w:eastAsia="仿宋_GB2312" w:cs="宋体"/>
          <w:kern w:val="0"/>
          <w:sz w:val="32"/>
          <w:szCs w:val="32"/>
        </w:rPr>
        <w:t>利用残疾人综合服务中心办公楼，为残疾儿童康复提供服务场地，促进康复民生实事项目发展。</w:t>
      </w:r>
    </w:p>
    <w:p>
      <w:pPr>
        <w:pStyle w:val="4"/>
        <w:spacing w:before="0" w:after="0" w:line="555" w:lineRule="atLeast"/>
        <w:ind w:firstLine="645"/>
        <w:textAlignment w:val="center"/>
        <w:rPr>
          <w:rFonts w:ascii="Times New Roman" w:hAnsi="Times New Roman" w:eastAsia="黑体"/>
          <w:bCs/>
          <w:sz w:val="32"/>
          <w:szCs w:val="32"/>
        </w:rPr>
      </w:pPr>
      <w:r>
        <w:rPr>
          <w:rFonts w:ascii="Times New Roman" w:hAnsi="Times New Roman" w:eastAsia="黑体"/>
          <w:bCs/>
          <w:sz w:val="32"/>
          <w:szCs w:val="32"/>
        </w:rPr>
        <w:t xml:space="preserve">五、部门整体支出绩效情况 </w:t>
      </w:r>
    </w:p>
    <w:p>
      <w:pPr>
        <w:tabs>
          <w:tab w:val="left" w:pos="387"/>
          <w:tab w:val="left" w:pos="537"/>
        </w:tabs>
        <w:spacing w:line="600" w:lineRule="exact"/>
        <w:ind w:firstLine="630" w:firstLineChars="196"/>
        <w:rPr>
          <w:rFonts w:ascii="楷体" w:hAnsi="楷体" w:eastAsia="楷体" w:cs="楷体"/>
          <w:b/>
          <w:sz w:val="32"/>
          <w:szCs w:val="32"/>
        </w:rPr>
      </w:pPr>
      <w:r>
        <w:rPr>
          <w:rFonts w:hint="eastAsia" w:eastAsia="黑体" w:cs="Arial"/>
          <w:b/>
          <w:kern w:val="0"/>
          <w:sz w:val="32"/>
          <w:szCs w:val="32"/>
        </w:rPr>
        <w:t>（</w:t>
      </w:r>
      <w:r>
        <w:rPr>
          <w:rFonts w:hint="eastAsia" w:ascii="楷体" w:hAnsi="楷体" w:eastAsia="楷体" w:cs="楷体"/>
          <w:b/>
          <w:kern w:val="0"/>
          <w:sz w:val="32"/>
          <w:szCs w:val="32"/>
        </w:rPr>
        <w:t>一）推进惠民实事，提升残疾</w:t>
      </w:r>
      <w:bookmarkStart w:id="0" w:name="_GoBack"/>
      <w:bookmarkEnd w:id="0"/>
      <w:r>
        <w:rPr>
          <w:rFonts w:hint="eastAsia" w:ascii="楷体" w:hAnsi="楷体" w:eastAsia="楷体" w:cs="楷体"/>
          <w:b/>
          <w:kern w:val="0"/>
          <w:sz w:val="32"/>
          <w:szCs w:val="32"/>
        </w:rPr>
        <w:t>群众幸福指数</w:t>
      </w:r>
    </w:p>
    <w:p>
      <w:pPr>
        <w:spacing w:line="600" w:lineRule="exact"/>
        <w:ind w:firstLine="640" w:firstLineChars="200"/>
        <w:rPr>
          <w:rFonts w:eastAsia="仿宋_GB2312"/>
          <w:sz w:val="32"/>
          <w:szCs w:val="32"/>
        </w:rPr>
      </w:pPr>
      <w:r>
        <w:rPr>
          <w:rFonts w:hint="eastAsia" w:eastAsia="仿宋_GB2312"/>
          <w:sz w:val="32"/>
          <w:szCs w:val="32"/>
        </w:rPr>
        <w:t>积极争取资金、争取项目，努力为残疾人融入社会、改善生活、发展生产创造条件，全年共计投入3500多万元，救助各类残疾人2万余人，残疾人事业发展成效明显。</w:t>
      </w:r>
    </w:p>
    <w:p>
      <w:pPr>
        <w:spacing w:line="600" w:lineRule="exact"/>
        <w:ind w:firstLine="643" w:firstLineChars="200"/>
        <w:rPr>
          <w:rFonts w:eastAsia="仿宋_GB2312"/>
          <w:sz w:val="32"/>
          <w:szCs w:val="32"/>
        </w:rPr>
      </w:pPr>
      <w:r>
        <w:rPr>
          <w:rFonts w:hint="eastAsia" w:eastAsia="楷体_GB2312"/>
          <w:b/>
          <w:sz w:val="32"/>
          <w:szCs w:val="32"/>
        </w:rPr>
        <w:t>一是加强康复服务。</w:t>
      </w:r>
      <w:r>
        <w:rPr>
          <w:rFonts w:hint="eastAsia" w:eastAsia="仿宋_GB2312"/>
          <w:sz w:val="32"/>
          <w:szCs w:val="32"/>
        </w:rPr>
        <w:t>“0-14”岁贫困残疾儿童抢救性康复”项目，免费为445名贫困残疾儿童提供了康复训练服务；“光明·关爱”工程，免费为235名低视力患者和白内障患者配发了助视器、实施了康复治疗手术；“义肢助残”项目，免费为87名肢体残疾人装配假肢、矫形器92例</w:t>
      </w:r>
      <w:r>
        <w:rPr>
          <w:rFonts w:hint="eastAsia" w:eastAsia="仿宋_GB2312" w:cs="宋体"/>
          <w:kern w:val="0"/>
          <w:sz w:val="32"/>
          <w:szCs w:val="32"/>
        </w:rPr>
        <w:t>；</w:t>
      </w:r>
      <w:r>
        <w:rPr>
          <w:rFonts w:hint="eastAsia" w:eastAsia="仿宋_GB2312"/>
          <w:sz w:val="32"/>
          <w:szCs w:val="32"/>
        </w:rPr>
        <w:t>辅具适配进家庭项目，免费为1906名残疾人家庭配备各类辅助器具1998件。</w:t>
      </w:r>
    </w:p>
    <w:p>
      <w:pPr>
        <w:spacing w:line="600" w:lineRule="exact"/>
        <w:ind w:firstLine="643" w:firstLineChars="200"/>
        <w:rPr>
          <w:rFonts w:eastAsia="仿宋_GB2312"/>
          <w:sz w:val="32"/>
          <w:szCs w:val="32"/>
        </w:rPr>
      </w:pPr>
      <w:r>
        <w:rPr>
          <w:rFonts w:hint="eastAsia" w:eastAsia="楷体_GB2312"/>
          <w:b/>
          <w:sz w:val="32"/>
          <w:szCs w:val="32"/>
        </w:rPr>
        <w:t>二是落实惠残政策。</w:t>
      </w:r>
      <w:r>
        <w:rPr>
          <w:rFonts w:hint="eastAsia" w:eastAsia="仿宋_GB2312"/>
          <w:sz w:val="32"/>
          <w:szCs w:val="32"/>
        </w:rPr>
        <w:t>推进按比例安排残疾人就业工作，全市用人单位共安置残疾人680多人。实施无障碍改造工程，投入550余万元，免费为856户残疾人家庭和2个社区服务中心进行了无障碍改造。</w:t>
      </w:r>
      <w:r>
        <w:rPr>
          <w:rFonts w:hint="eastAsia" w:hAnsi="仿宋_GB2312" w:eastAsia="仿宋_GB2312"/>
          <w:sz w:val="32"/>
          <w:szCs w:val="32"/>
        </w:rPr>
        <w:t>开展居家托养项目，投入</w:t>
      </w:r>
      <w:r>
        <w:rPr>
          <w:rFonts w:hint="eastAsia" w:eastAsia="仿宋_GB2312"/>
          <w:sz w:val="32"/>
          <w:szCs w:val="32"/>
        </w:rPr>
        <w:t>25.6</w:t>
      </w:r>
      <w:r>
        <w:rPr>
          <w:rFonts w:hint="eastAsia" w:hAnsi="仿宋_GB2312" w:eastAsia="仿宋_GB2312"/>
          <w:sz w:val="32"/>
          <w:szCs w:val="32"/>
        </w:rPr>
        <w:t>万元购买社会服务，免费为</w:t>
      </w:r>
      <w:r>
        <w:rPr>
          <w:rFonts w:hint="eastAsia" w:eastAsia="仿宋_GB2312"/>
          <w:sz w:val="32"/>
          <w:szCs w:val="32"/>
        </w:rPr>
        <w:t>80</w:t>
      </w:r>
      <w:r>
        <w:rPr>
          <w:rFonts w:hint="eastAsia" w:hAnsi="仿宋_GB2312" w:eastAsia="仿宋_GB2312"/>
          <w:sz w:val="32"/>
          <w:szCs w:val="32"/>
        </w:rPr>
        <w:t>名残疾人提供上门照料服务</w:t>
      </w:r>
      <w:r>
        <w:rPr>
          <w:rFonts w:hint="eastAsia" w:eastAsia="仿宋_GB2312"/>
          <w:sz w:val="32"/>
          <w:szCs w:val="32"/>
        </w:rPr>
        <w:t>6488</w:t>
      </w:r>
      <w:r>
        <w:rPr>
          <w:rFonts w:hint="eastAsia" w:hAnsi="仿宋_GB2312" w:eastAsia="仿宋_GB2312"/>
          <w:sz w:val="32"/>
          <w:szCs w:val="32"/>
        </w:rPr>
        <w:t>小时</w:t>
      </w:r>
      <w:r>
        <w:rPr>
          <w:rFonts w:hint="eastAsia" w:eastAsia="仿宋_GB2312" w:cs="宋体"/>
          <w:kern w:val="0"/>
          <w:sz w:val="32"/>
          <w:szCs w:val="32"/>
        </w:rPr>
        <w:t>。</w:t>
      </w:r>
      <w:r>
        <w:rPr>
          <w:rFonts w:hint="eastAsia" w:eastAsia="仿宋_GB2312"/>
          <w:sz w:val="32"/>
          <w:szCs w:val="32"/>
        </w:rPr>
        <w:t>落实残疾人危房改造户补贴政策，对 86 户符合条件的残疾人家庭给予了34.4万元资金补助。</w:t>
      </w:r>
      <w:r>
        <w:rPr>
          <w:rFonts w:hint="eastAsia" w:hAnsi="仿宋_GB2312" w:eastAsia="仿宋_GB2312"/>
          <w:sz w:val="32"/>
          <w:szCs w:val="32"/>
        </w:rPr>
        <w:t>落实创业扶持政策，共</w:t>
      </w:r>
      <w:r>
        <w:rPr>
          <w:rFonts w:hint="eastAsia" w:eastAsia="仿宋_GB2312"/>
          <w:sz w:val="32"/>
          <w:szCs w:val="32"/>
        </w:rPr>
        <w:t>为63名自主创业残疾人发</w:t>
      </w:r>
      <w:r>
        <w:rPr>
          <w:rFonts w:hint="eastAsia" w:eastAsia="仿宋_GB2312"/>
          <w:sz w:val="32"/>
          <w:szCs w:val="30"/>
        </w:rPr>
        <w:t>放</w:t>
      </w:r>
      <w:r>
        <w:rPr>
          <w:rFonts w:hint="eastAsia" w:eastAsia="仿宋_GB2312"/>
          <w:sz w:val="32"/>
          <w:szCs w:val="32"/>
        </w:rPr>
        <w:t>扶持资金66.64万元。</w:t>
      </w:r>
    </w:p>
    <w:p>
      <w:pPr>
        <w:spacing w:line="600" w:lineRule="exact"/>
        <w:ind w:firstLine="643" w:firstLineChars="200"/>
        <w:jc w:val="left"/>
        <w:rPr>
          <w:rFonts w:eastAsia="仿宋_GB2312"/>
          <w:sz w:val="32"/>
          <w:szCs w:val="32"/>
        </w:rPr>
      </w:pPr>
      <w:r>
        <w:rPr>
          <w:rFonts w:hint="eastAsia" w:eastAsia="楷体_GB2312"/>
          <w:b/>
          <w:sz w:val="32"/>
          <w:szCs w:val="32"/>
        </w:rPr>
        <w:t>三是加强权益维护。</w:t>
      </w:r>
      <w:r>
        <w:rPr>
          <w:rFonts w:hint="eastAsia" w:eastAsia="仿宋_GB2312"/>
          <w:sz w:val="32"/>
          <w:szCs w:val="32"/>
        </w:rPr>
        <w:t>加强残疾人证核发管理，组织残疾鉴定医师下乡为疑似残疾人进行评残鉴定，全年共办理各类残疾人证 3838本。做好残疾人机动车燃油补贴发放工作，为28名符合条件的残疾人发放补贴7280元。积极协调省残联，为</w:t>
      </w:r>
      <w:r>
        <w:rPr>
          <w:rFonts w:hint="eastAsia" w:eastAsia="仿宋_GB2312"/>
          <w:bCs/>
          <w:sz w:val="32"/>
          <w:szCs w:val="32"/>
        </w:rPr>
        <w:t>3名</w:t>
      </w:r>
      <w:r>
        <w:rPr>
          <w:rFonts w:hint="eastAsia" w:eastAsia="仿宋_GB2312"/>
          <w:sz w:val="32"/>
          <w:szCs w:val="32"/>
        </w:rPr>
        <w:t>符合条件的残疾人获取</w:t>
      </w:r>
      <w:r>
        <w:rPr>
          <w:rFonts w:hint="eastAsia" w:eastAsia="仿宋_GB2312"/>
          <w:bCs/>
          <w:sz w:val="32"/>
          <w:szCs w:val="32"/>
        </w:rPr>
        <w:t>免费</w:t>
      </w:r>
      <w:r>
        <w:rPr>
          <w:rFonts w:eastAsia="仿宋_GB2312"/>
          <w:bCs/>
          <w:sz w:val="32"/>
          <w:szCs w:val="32"/>
        </w:rPr>
        <w:t>C5</w:t>
      </w:r>
      <w:r>
        <w:rPr>
          <w:rFonts w:hint="eastAsia" w:eastAsia="仿宋_GB2312"/>
          <w:bCs/>
          <w:sz w:val="32"/>
          <w:szCs w:val="32"/>
        </w:rPr>
        <w:t>驾考培训资格。</w:t>
      </w:r>
      <w:r>
        <w:rPr>
          <w:rFonts w:hint="eastAsia" w:eastAsia="仿宋_GB2312" w:cs="宋体"/>
          <w:kern w:val="0"/>
          <w:sz w:val="32"/>
          <w:szCs w:val="32"/>
        </w:rPr>
        <w:t>推进</w:t>
      </w:r>
      <w:r>
        <w:rPr>
          <w:rFonts w:hint="eastAsia" w:eastAsia="仿宋_GB2312"/>
          <w:sz w:val="32"/>
          <w:szCs w:val="32"/>
        </w:rPr>
        <w:t>残疾人法律救助站规范化建设，全年为残疾人免费提供法律咨询236人次，提供法律救助57人次。12345市民热线进一步畅通了残疾人诉求反映渠道，协调解决了13起残疾人关注的事件。加强残疾人群体矛盾排查，及时化解纠纷，全年没有发生越级群访和涉残事件。</w:t>
      </w:r>
    </w:p>
    <w:p>
      <w:pPr>
        <w:spacing w:line="600" w:lineRule="exact"/>
        <w:ind w:firstLine="643" w:firstLineChars="200"/>
        <w:rPr>
          <w:rFonts w:eastAsia="仿宋_GB2312"/>
          <w:sz w:val="32"/>
          <w:szCs w:val="32"/>
        </w:rPr>
      </w:pPr>
      <w:r>
        <w:rPr>
          <w:rFonts w:hint="eastAsia" w:eastAsia="楷体_GB2312"/>
          <w:b/>
          <w:sz w:val="32"/>
          <w:szCs w:val="32"/>
        </w:rPr>
        <w:t>四是浓厚扶残氛围。</w:t>
      </w:r>
      <w:r>
        <w:rPr>
          <w:rFonts w:hint="eastAsia" w:eastAsia="仿宋_GB2312"/>
          <w:sz w:val="32"/>
          <w:szCs w:val="32"/>
        </w:rPr>
        <w:t>推介澄潭江镇残疾人专职委员林水英与残疾人自强模范刘传民、社港镇助残先进个人黄建平、龙伏镇“五心”学雷锋志愿服务队成功获评长沙市第八届学雷锋扶残助残“善行四十佳”。在全市机关事业单位倡导“一日工资助残”活动，收到捐款64万余元，将有效解决部分贫困残疾人的实际困难。积极指导为残疾服务机构开展各类助残活动20余场次，全市扶残助残氛围日趋浓厚。</w:t>
      </w:r>
    </w:p>
    <w:p>
      <w:pPr>
        <w:spacing w:line="600" w:lineRule="exact"/>
        <w:ind w:firstLine="640" w:firstLineChars="200"/>
        <w:rPr>
          <w:rFonts w:ascii="楷体" w:hAnsi="楷体" w:eastAsia="楷体" w:cs="楷体"/>
          <w:kern w:val="0"/>
          <w:sz w:val="32"/>
          <w:szCs w:val="32"/>
        </w:rPr>
      </w:pPr>
      <w:r>
        <w:rPr>
          <w:rFonts w:hint="eastAsia" w:ascii="楷体" w:hAnsi="楷体" w:eastAsia="楷体" w:cs="楷体"/>
          <w:sz w:val="32"/>
          <w:szCs w:val="32"/>
        </w:rPr>
        <w:t>（二）</w:t>
      </w:r>
      <w:r>
        <w:rPr>
          <w:rFonts w:hint="eastAsia" w:ascii="楷体" w:hAnsi="楷体" w:eastAsia="楷体" w:cs="楷体"/>
          <w:kern w:val="0"/>
          <w:sz w:val="32"/>
          <w:szCs w:val="32"/>
        </w:rPr>
        <w:t>抓实扶贫帮困，助力残疾人脱贫攻坚战</w:t>
      </w:r>
    </w:p>
    <w:p>
      <w:pPr>
        <w:pStyle w:val="4"/>
        <w:widowControl w:val="0"/>
        <w:spacing w:before="0" w:after="0"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2020年，全市共有建档立卡贫困残疾人口</w:t>
      </w:r>
      <w:r>
        <w:rPr>
          <w:rFonts w:hint="eastAsia" w:ascii="Times New Roman" w:hAnsi="Times New Roman" w:eastAsia="仿宋_GB2312" w:cs="Times New Roman"/>
          <w:kern w:val="2"/>
          <w:sz w:val="32"/>
          <w:szCs w:val="32"/>
        </w:rPr>
        <w:t>7669</w:t>
      </w:r>
      <w:r>
        <w:rPr>
          <w:rFonts w:hint="eastAsia" w:ascii="Times New Roman" w:hAnsi="Times New Roman" w:eastAsia="仿宋_GB2312"/>
          <w:sz w:val="32"/>
          <w:szCs w:val="32"/>
        </w:rPr>
        <w:t>人，是贫困人口中贫困程度最深、扶持难度最大、返贫率最高的群体。一年来，市残联积极开展各类扶贫项目，助力全市贫困残疾人口全部脱贫，省脱贫攻坚考核工作任务圆满完成。</w:t>
      </w:r>
    </w:p>
    <w:p>
      <w:pPr>
        <w:pStyle w:val="4"/>
        <w:widowControl w:val="0"/>
        <w:spacing w:before="0" w:after="0" w:line="600" w:lineRule="exact"/>
        <w:ind w:firstLine="643" w:firstLineChars="200"/>
        <w:rPr>
          <w:rFonts w:ascii="Times New Roman" w:hAnsi="Times New Roman" w:eastAsia="仿宋_GB2312"/>
          <w:sz w:val="32"/>
          <w:szCs w:val="32"/>
        </w:rPr>
      </w:pPr>
      <w:r>
        <w:rPr>
          <w:rFonts w:hint="eastAsia" w:ascii="Times New Roman" w:hAnsi="Times New Roman" w:eastAsia="楷体_GB2312" w:cs="Times New Roman"/>
          <w:b/>
          <w:kern w:val="2"/>
          <w:sz w:val="32"/>
          <w:szCs w:val="32"/>
        </w:rPr>
        <w:t>一是做好兜底保障。</w:t>
      </w:r>
      <w:r>
        <w:rPr>
          <w:rFonts w:hint="eastAsia" w:ascii="Times New Roman" w:eastAsia="仿宋_GB2312"/>
          <w:sz w:val="32"/>
          <w:szCs w:val="32"/>
        </w:rPr>
        <w:t>落实残疾人参加城乡居民医疗和重度残疾人参加基本养老保险由政府代缴政策，</w:t>
      </w:r>
      <w:r>
        <w:rPr>
          <w:rFonts w:hint="eastAsia" w:ascii="Times New Roman" w:hAnsi="Times New Roman" w:eastAsia="仿宋_GB2312"/>
          <w:sz w:val="32"/>
          <w:szCs w:val="32"/>
        </w:rPr>
        <w:t>“</w:t>
      </w:r>
      <w:r>
        <w:rPr>
          <w:rFonts w:hint="eastAsia" w:ascii="Times New Roman" w:eastAsia="仿宋_GB2312"/>
          <w:sz w:val="32"/>
          <w:szCs w:val="32"/>
        </w:rPr>
        <w:t>两险</w:t>
      </w:r>
      <w:r>
        <w:rPr>
          <w:rFonts w:hint="eastAsia" w:ascii="Times New Roman" w:hAnsi="Times New Roman" w:eastAsia="仿宋_GB2312"/>
          <w:sz w:val="32"/>
          <w:szCs w:val="32"/>
        </w:rPr>
        <w:t>”</w:t>
      </w:r>
      <w:r>
        <w:rPr>
          <w:rFonts w:hint="eastAsia" w:ascii="Times New Roman" w:eastAsia="仿宋_GB2312"/>
          <w:sz w:val="32"/>
          <w:szCs w:val="32"/>
        </w:rPr>
        <w:t>目标覆盖率</w:t>
      </w:r>
      <w:r>
        <w:rPr>
          <w:rFonts w:hint="eastAsia" w:ascii="Times New Roman" w:hAnsi="Times New Roman" w:eastAsia="仿宋_GB2312" w:cs="Times New Roman"/>
          <w:kern w:val="2"/>
          <w:sz w:val="32"/>
          <w:szCs w:val="32"/>
        </w:rPr>
        <w:t>100%</w:t>
      </w:r>
      <w:r>
        <w:rPr>
          <w:rFonts w:hint="eastAsia" w:ascii="Times New Roman" w:eastAsia="仿宋_GB2312"/>
          <w:sz w:val="32"/>
          <w:szCs w:val="32"/>
        </w:rPr>
        <w:t>。</w:t>
      </w:r>
      <w:r>
        <w:rPr>
          <w:rFonts w:hint="eastAsia" w:ascii="Times New Roman" w:hAnsi="Times New Roman" w:eastAsia="仿宋_GB2312"/>
          <w:sz w:val="32"/>
          <w:szCs w:val="30"/>
        </w:rPr>
        <w:t>加大对特困残疾人的临时救助力度，依托慈善助残基金，共为</w:t>
      </w:r>
      <w:r>
        <w:rPr>
          <w:rFonts w:hint="eastAsia" w:ascii="Times New Roman" w:hAnsi="Times New Roman" w:eastAsia="仿宋_GB2312" w:cs="Times New Roman"/>
          <w:kern w:val="2"/>
          <w:sz w:val="32"/>
          <w:szCs w:val="32"/>
        </w:rPr>
        <w:t>196</w:t>
      </w:r>
      <w:r>
        <w:rPr>
          <w:rFonts w:hint="eastAsia" w:ascii="Times New Roman" w:hAnsi="Times New Roman" w:eastAsia="仿宋_GB2312"/>
          <w:sz w:val="32"/>
          <w:szCs w:val="30"/>
        </w:rPr>
        <w:t>名贫困残疾人发放救助款</w:t>
      </w:r>
      <w:r>
        <w:rPr>
          <w:rFonts w:hint="eastAsia" w:ascii="Times New Roman" w:hAnsi="Times New Roman" w:eastAsia="仿宋_GB2312" w:cs="Times New Roman"/>
          <w:kern w:val="2"/>
          <w:sz w:val="32"/>
          <w:szCs w:val="32"/>
        </w:rPr>
        <w:t>33.13</w:t>
      </w:r>
      <w:r>
        <w:rPr>
          <w:rFonts w:hint="eastAsia" w:ascii="Times New Roman" w:hAnsi="Times New Roman" w:eastAsia="仿宋_GB2312"/>
          <w:sz w:val="32"/>
          <w:szCs w:val="30"/>
        </w:rPr>
        <w:t>万元。</w:t>
      </w:r>
    </w:p>
    <w:p>
      <w:pPr>
        <w:pStyle w:val="4"/>
        <w:widowControl w:val="0"/>
        <w:spacing w:before="0" w:after="0" w:line="600" w:lineRule="exact"/>
        <w:ind w:firstLine="643" w:firstLineChars="200"/>
        <w:rPr>
          <w:rFonts w:ascii="Times New Roman" w:hAnsi="Times New Roman" w:eastAsia="仿宋_GB2312"/>
          <w:sz w:val="32"/>
          <w:szCs w:val="32"/>
        </w:rPr>
      </w:pPr>
      <w:r>
        <w:rPr>
          <w:rFonts w:hint="eastAsia" w:ascii="Times New Roman" w:hAnsi="Times New Roman" w:eastAsia="楷体_GB2312" w:cs="Times New Roman"/>
          <w:b/>
          <w:kern w:val="2"/>
          <w:sz w:val="32"/>
          <w:szCs w:val="32"/>
        </w:rPr>
        <w:t>二是推进教育就业。</w:t>
      </w:r>
      <w:r>
        <w:rPr>
          <w:rFonts w:hint="eastAsia" w:ascii="Times New Roman" w:hAnsi="Times New Roman" w:eastAsia="仿宋_GB2312"/>
          <w:sz w:val="32"/>
          <w:szCs w:val="32"/>
        </w:rPr>
        <w:t>全面落实</w:t>
      </w:r>
      <w:r>
        <w:rPr>
          <w:rFonts w:hint="eastAsia" w:ascii="Times New Roman" w:hAnsi="Times New Roman" w:eastAsia="仿宋_GB2312"/>
          <w:sz w:val="32"/>
          <w:szCs w:val="30"/>
        </w:rPr>
        <w:t>残疾学生、贫困残疾人家庭子女专项助学政策，</w:t>
      </w:r>
      <w:r>
        <w:rPr>
          <w:rFonts w:hint="eastAsia" w:ascii="Times New Roman" w:hAnsi="Times New Roman" w:eastAsia="仿宋_GB2312"/>
          <w:sz w:val="32"/>
          <w:szCs w:val="32"/>
        </w:rPr>
        <w:t>为</w:t>
      </w:r>
      <w:r>
        <w:rPr>
          <w:rFonts w:hint="eastAsia" w:ascii="Times New Roman" w:hAnsi="Times New Roman" w:eastAsia="仿宋_GB2312" w:cs="Times New Roman"/>
          <w:kern w:val="2"/>
          <w:sz w:val="32"/>
          <w:szCs w:val="32"/>
        </w:rPr>
        <w:t>1502</w:t>
      </w:r>
      <w:r>
        <w:rPr>
          <w:rFonts w:hint="eastAsia" w:ascii="Times New Roman" w:hAnsi="Times New Roman" w:eastAsia="仿宋_GB2312"/>
          <w:sz w:val="32"/>
          <w:szCs w:val="32"/>
        </w:rPr>
        <w:t>名贫困残疾学生及贫困残疾人家庭学生发</w:t>
      </w:r>
      <w:r>
        <w:rPr>
          <w:rFonts w:hint="eastAsia" w:ascii="Times New Roman" w:hAnsi="Times New Roman" w:eastAsia="仿宋_GB2312"/>
          <w:sz w:val="32"/>
          <w:szCs w:val="30"/>
        </w:rPr>
        <w:t>放</w:t>
      </w:r>
      <w:r>
        <w:rPr>
          <w:rFonts w:hint="eastAsia" w:ascii="Times New Roman" w:hAnsi="Times New Roman" w:eastAsia="仿宋_GB2312"/>
          <w:sz w:val="32"/>
          <w:szCs w:val="32"/>
        </w:rPr>
        <w:t>补助</w:t>
      </w:r>
      <w:r>
        <w:rPr>
          <w:rFonts w:hint="eastAsia" w:ascii="Times New Roman" w:hAnsi="Times New Roman" w:eastAsia="仿宋_GB2312" w:cs="Times New Roman"/>
          <w:kern w:val="2"/>
          <w:sz w:val="32"/>
          <w:szCs w:val="32"/>
        </w:rPr>
        <w:t>319.98</w:t>
      </w:r>
      <w:r>
        <w:rPr>
          <w:rFonts w:hint="eastAsia" w:ascii="Times New Roman" w:hAnsi="Times New Roman" w:eastAsia="仿宋_GB2312"/>
          <w:sz w:val="32"/>
          <w:szCs w:val="32"/>
        </w:rPr>
        <w:t>万元。依托民办托养机构，为</w:t>
      </w:r>
      <w:r>
        <w:rPr>
          <w:rFonts w:hint="eastAsia" w:ascii="Times New Roman" w:hAnsi="Times New Roman" w:eastAsia="仿宋_GB2312" w:cs="Times New Roman"/>
          <w:kern w:val="2"/>
          <w:sz w:val="32"/>
          <w:szCs w:val="32"/>
        </w:rPr>
        <w:t>216</w:t>
      </w:r>
      <w:r>
        <w:rPr>
          <w:rFonts w:hint="eastAsia" w:ascii="Times New Roman" w:hAnsi="Times New Roman" w:eastAsia="仿宋_GB2312"/>
          <w:sz w:val="32"/>
          <w:szCs w:val="32"/>
        </w:rPr>
        <w:t>名贫困残疾人提供捆筒子、剥花生等庇护性就业手工活，人均年收入</w:t>
      </w:r>
      <w:r>
        <w:rPr>
          <w:rFonts w:hint="eastAsia" w:ascii="Times New Roman" w:hAnsi="Times New Roman" w:eastAsia="仿宋_GB2312" w:cs="Times New Roman"/>
          <w:kern w:val="2"/>
          <w:sz w:val="32"/>
          <w:szCs w:val="32"/>
        </w:rPr>
        <w:t>5000</w:t>
      </w:r>
      <w:r>
        <w:rPr>
          <w:rFonts w:hint="eastAsia" w:ascii="Times New Roman" w:hAnsi="Times New Roman" w:eastAsia="仿宋_GB2312"/>
          <w:sz w:val="32"/>
          <w:szCs w:val="32"/>
        </w:rPr>
        <w:t>余元，有效缓解家庭经济负担。实施“阳光增收”计划，按照每户</w:t>
      </w:r>
      <w:r>
        <w:rPr>
          <w:rFonts w:hint="eastAsia" w:ascii="Times New Roman" w:hAnsi="Times New Roman" w:eastAsia="仿宋_GB2312" w:cs="Times New Roman"/>
          <w:kern w:val="2"/>
          <w:sz w:val="32"/>
          <w:szCs w:val="32"/>
        </w:rPr>
        <w:t>2000</w:t>
      </w:r>
      <w:r>
        <w:rPr>
          <w:rFonts w:hint="eastAsia" w:ascii="Times New Roman" w:hAnsi="Times New Roman" w:eastAsia="仿宋_GB2312"/>
          <w:sz w:val="32"/>
          <w:szCs w:val="32"/>
        </w:rPr>
        <w:t>元的标准，为</w:t>
      </w:r>
      <w:r>
        <w:rPr>
          <w:rFonts w:hint="eastAsia" w:ascii="Times New Roman" w:hAnsi="Times New Roman" w:eastAsia="仿宋_GB2312" w:cs="Times New Roman"/>
          <w:kern w:val="2"/>
          <w:sz w:val="32"/>
          <w:szCs w:val="32"/>
        </w:rPr>
        <w:t>340</w:t>
      </w:r>
      <w:r>
        <w:rPr>
          <w:rFonts w:hint="eastAsia" w:ascii="Times New Roman" w:hAnsi="Times New Roman" w:eastAsia="仿宋_GB2312"/>
          <w:sz w:val="32"/>
          <w:szCs w:val="32"/>
        </w:rPr>
        <w:t>户贫困残疾人家庭免费提供了技术培训与生产资料扶持。</w:t>
      </w:r>
    </w:p>
    <w:p>
      <w:pPr>
        <w:spacing w:line="600" w:lineRule="exact"/>
        <w:ind w:firstLine="643" w:firstLineChars="200"/>
        <w:rPr>
          <w:rFonts w:eastAsia="仿宋_GB2312"/>
          <w:sz w:val="32"/>
          <w:szCs w:val="32"/>
        </w:rPr>
      </w:pPr>
      <w:r>
        <w:rPr>
          <w:rFonts w:hint="eastAsia" w:eastAsia="楷体_GB2312"/>
          <w:b/>
          <w:sz w:val="32"/>
          <w:szCs w:val="32"/>
        </w:rPr>
        <w:t>三是抓好驻村扶贫。</w:t>
      </w:r>
      <w:r>
        <w:rPr>
          <w:rFonts w:hint="eastAsia" w:eastAsia="仿宋_GB2312"/>
          <w:sz w:val="32"/>
          <w:szCs w:val="32"/>
        </w:rPr>
        <w:t>充分发挥机关党支部战斗堡垒作用和党员先锋表率作用，与永和镇佳成村党支部结对共建，在春节、七一、中秋等节日期间，组织党员干部走访慰问困难群众、老党员、老干部60余户。精准帮扶贫困户20户，提供帮扶资金6万元，有效改善了贫困群众的生产生活条件。</w:t>
      </w:r>
    </w:p>
    <w:p>
      <w:pPr>
        <w:spacing w:line="568" w:lineRule="exact"/>
        <w:ind w:firstLine="640" w:firstLineChars="200"/>
        <w:rPr>
          <w:rFonts w:ascii="Times New Roman" w:hAnsi="Times New Roman" w:eastAsia="黑体"/>
          <w:bCs/>
          <w:sz w:val="32"/>
          <w:szCs w:val="32"/>
        </w:rPr>
      </w:pPr>
      <w:r>
        <w:rPr>
          <w:rFonts w:ascii="Times New Roman" w:hAnsi="Times New Roman" w:eastAsia="黑体"/>
          <w:bCs/>
          <w:sz w:val="32"/>
          <w:szCs w:val="32"/>
        </w:rPr>
        <w:t xml:space="preserve">六、存在的主要问题 </w:t>
      </w:r>
    </w:p>
    <w:p>
      <w:pPr>
        <w:spacing w:line="56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残疾人实事项目的实施，有效改善了残疾人生活环境，提高了残疾人生活质量，让残疾人群体得到了实惠。但因资金有限，制约了项目的全面开展，难以满足残疾人的需求。另因残疾人就业保障金未纳入部门预算，预决算差异较大。</w:t>
      </w:r>
    </w:p>
    <w:p>
      <w:pPr>
        <w:spacing w:line="568" w:lineRule="exact"/>
        <w:ind w:firstLine="640" w:firstLineChars="200"/>
        <w:rPr>
          <w:rFonts w:ascii="Times New Roman" w:hAnsi="Times New Roman" w:eastAsia="黑体"/>
          <w:bCs/>
          <w:sz w:val="32"/>
          <w:szCs w:val="32"/>
        </w:rPr>
      </w:pPr>
      <w:r>
        <w:rPr>
          <w:rFonts w:ascii="Times New Roman" w:hAnsi="Times New Roman" w:eastAsia="黑体"/>
          <w:bCs/>
          <w:sz w:val="32"/>
          <w:szCs w:val="32"/>
        </w:rPr>
        <w:t xml:space="preserve">七、改进措施和有关建议 </w:t>
      </w:r>
    </w:p>
    <w:p>
      <w:pPr>
        <w:tabs>
          <w:tab w:val="left" w:pos="627"/>
        </w:tabs>
        <w:spacing w:line="56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ab/>
      </w:r>
      <w:r>
        <w:rPr>
          <w:rFonts w:hint="eastAsia" w:ascii="Times New Roman" w:hAnsi="Times New Roman" w:eastAsia="仿宋_GB2312"/>
          <w:sz w:val="32"/>
          <w:szCs w:val="32"/>
        </w:rPr>
        <w:t>今后将残疾人就业保障金纳入部门预算，减少预决算差异。加强预算管理，进一步注重预算控制率，提升资金使用绩效。</w:t>
      </w:r>
    </w:p>
    <w:p>
      <w:pPr>
        <w:tabs>
          <w:tab w:val="left" w:pos="627"/>
        </w:tabs>
        <w:spacing w:line="568"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八、</w:t>
      </w:r>
      <w:r>
        <w:rPr>
          <w:rFonts w:ascii="Times New Roman" w:hAnsi="Times New Roman" w:eastAsia="黑体"/>
          <w:bCs/>
          <w:sz w:val="32"/>
          <w:szCs w:val="32"/>
        </w:rPr>
        <w:t>单位在资金管理、项目管理等方面的先进经验及做法</w:t>
      </w:r>
      <w:r>
        <w:rPr>
          <w:rFonts w:hint="eastAsia" w:ascii="Times New Roman" w:hAnsi="Times New Roman" w:eastAsia="黑体"/>
          <w:bCs/>
          <w:sz w:val="32"/>
          <w:szCs w:val="32"/>
        </w:rPr>
        <w:tab/>
      </w:r>
    </w:p>
    <w:p>
      <w:pPr>
        <w:spacing w:line="560" w:lineRule="exact"/>
        <w:ind w:firstLine="640"/>
        <w:rPr>
          <w:rFonts w:ascii="仿宋_GB2312" w:hAnsi="仿宋" w:eastAsia="仿宋_GB2312"/>
          <w:sz w:val="32"/>
          <w:szCs w:val="32"/>
        </w:rPr>
      </w:pPr>
      <w:r>
        <w:rPr>
          <w:rFonts w:hint="eastAsia" w:ascii="仿宋_GB2312" w:hAnsi="楷体" w:eastAsia="仿宋_GB2312"/>
          <w:sz w:val="32"/>
          <w:szCs w:val="32"/>
        </w:rPr>
        <w:t>（一）完善机制，规范管理。</w:t>
      </w:r>
      <w:r>
        <w:rPr>
          <w:rFonts w:hint="eastAsia" w:ascii="仿宋_GB2312" w:hAnsi="仿宋" w:eastAsia="仿宋_GB2312"/>
          <w:sz w:val="32"/>
          <w:szCs w:val="32"/>
        </w:rPr>
        <w:t>为进一步加强残疾人事业专项资金管理，提高资金使用效益，市残联制定了相关政策措施，对残疾人康复、就业、教育、扶贫、社会保障等实施全覆盖，做到资金预算申请依据充分，资金使用范围明确、管理规范。</w:t>
      </w:r>
    </w:p>
    <w:p>
      <w:pPr>
        <w:spacing w:line="560" w:lineRule="exact"/>
        <w:ind w:firstLine="640"/>
        <w:rPr>
          <w:rFonts w:ascii="仿宋_GB2312" w:hAnsi="仿宋" w:eastAsia="仿宋_GB2312"/>
          <w:sz w:val="32"/>
          <w:szCs w:val="32"/>
        </w:rPr>
      </w:pPr>
      <w:r>
        <w:rPr>
          <w:rFonts w:hint="eastAsia" w:ascii="仿宋_GB2312" w:hAnsi="楷体" w:eastAsia="仿宋_GB2312"/>
          <w:sz w:val="32"/>
          <w:szCs w:val="32"/>
        </w:rPr>
        <w:t>（二）规范使用，严格把关。</w:t>
      </w:r>
      <w:r>
        <w:rPr>
          <w:rFonts w:hint="eastAsia" w:ascii="仿宋_GB2312" w:hAnsi="仿宋" w:eastAsia="仿宋_GB2312"/>
          <w:sz w:val="32"/>
          <w:szCs w:val="32"/>
        </w:rPr>
        <w:t>各专项资金严格按照相关文件规定要求，按照统筹安排、专款专用的原则进行科学管理和使用。资金申请程序科学、严密，审核拨付程序阳光、透明。部门负责人、分管领导、主管领导分级负责，逐级把关。属于 “三重一大”范围的项目，一律按规定程序上会研究。</w:t>
      </w:r>
    </w:p>
    <w:p>
      <w:pPr>
        <w:spacing w:line="560" w:lineRule="exact"/>
        <w:ind w:firstLine="640"/>
        <w:rPr>
          <w:rFonts w:ascii="仿宋_GB2312" w:hAnsi="仿宋" w:eastAsia="仿宋_GB2312"/>
          <w:sz w:val="32"/>
          <w:szCs w:val="32"/>
        </w:rPr>
      </w:pPr>
      <w:r>
        <w:rPr>
          <w:rFonts w:hint="eastAsia" w:ascii="仿宋_GB2312" w:hAnsi="楷体" w:eastAsia="仿宋_GB2312"/>
          <w:sz w:val="32"/>
          <w:szCs w:val="32"/>
        </w:rPr>
        <w:t>（三）突出重点，注重绩效。</w:t>
      </w:r>
      <w:r>
        <w:rPr>
          <w:rFonts w:hint="eastAsia" w:ascii="仿宋_GB2312" w:hAnsi="仿宋" w:eastAsia="仿宋_GB2312"/>
          <w:sz w:val="32"/>
          <w:szCs w:val="32"/>
        </w:rPr>
        <w:t>重点做好残疾人康复、就业、教育、扶贫、社会保障等领域的资金保障。根据残疾人需求，结合我市经济社会发展状况，逐步加大残疾人事业资金投入，提高残疾人社会保障水平。</w:t>
      </w:r>
    </w:p>
    <w:p>
      <w:pPr>
        <w:tabs>
          <w:tab w:val="left" w:pos="912"/>
        </w:tabs>
        <w:ind w:firstLine="640" w:firstLineChars="200"/>
        <w:rPr>
          <w:rFonts w:ascii="Times New Roman" w:hAnsi="Times New Roman" w:eastAsia="黑体"/>
          <w:bCs/>
          <w:sz w:val="32"/>
          <w:szCs w:val="32"/>
        </w:rPr>
      </w:pPr>
      <w:r>
        <w:rPr>
          <w:rFonts w:ascii="Times New Roman" w:hAnsi="Times New Roman" w:eastAsia="黑体"/>
          <w:bCs/>
          <w:sz w:val="32"/>
          <w:szCs w:val="32"/>
        </w:rPr>
        <w:t>九、部门整体支出绩效评价等级</w:t>
      </w:r>
    </w:p>
    <w:p>
      <w:pPr>
        <w:spacing w:line="56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根据部门整体支出绩效评价参考指标，我单位此次评价分为96分，等级为优，具体评价情况见附件1、2。</w:t>
      </w:r>
    </w:p>
    <w:p>
      <w:pPr>
        <w:spacing w:line="568" w:lineRule="exact"/>
        <w:ind w:firstLine="640" w:firstLineChars="200"/>
        <w:rPr>
          <w:rFonts w:ascii="Times New Roman" w:hAnsi="Times New Roman" w:eastAsia="仿宋_GB2312"/>
          <w:sz w:val="32"/>
          <w:szCs w:val="32"/>
        </w:rPr>
      </w:pPr>
    </w:p>
    <w:p>
      <w:pPr>
        <w:spacing w:line="568" w:lineRule="exact"/>
        <w:rPr>
          <w:rFonts w:ascii="Times New Roman" w:hAnsi="Times New Roman" w:eastAsia="黑体"/>
          <w:sz w:val="32"/>
          <w:szCs w:val="32"/>
        </w:rPr>
        <w:sectPr>
          <w:headerReference r:id="rId3" w:type="default"/>
          <w:footerReference r:id="rId4" w:type="default"/>
          <w:footerReference r:id="rId5" w:type="even"/>
          <w:pgSz w:w="11906" w:h="16838"/>
          <w:pgMar w:top="1701" w:right="1531" w:bottom="1418" w:left="1531" w:header="851" w:footer="992" w:gutter="0"/>
          <w:cols w:space="720" w:num="1"/>
          <w:titlePg/>
          <w:docGrid w:linePitch="312" w:charSpace="0"/>
        </w:sectPr>
      </w:pPr>
    </w:p>
    <w:p>
      <w:pPr>
        <w:spacing w:line="576" w:lineRule="exact"/>
        <w:rPr>
          <w:rFonts w:ascii="Times New Roman" w:hAnsi="Times New Roman" w:eastAsia="黑体"/>
          <w:color w:val="000000"/>
          <w:sz w:val="32"/>
          <w:szCs w:val="32"/>
        </w:rPr>
      </w:pPr>
      <w:r>
        <w:rPr>
          <w:rFonts w:ascii="Times New Roman" w:hAnsi="Times New Roman" w:eastAsia="黑体"/>
          <w:color w:val="000000"/>
          <w:sz w:val="32"/>
          <w:szCs w:val="32"/>
        </w:rPr>
        <w:t>附件</w:t>
      </w:r>
      <w:r>
        <w:rPr>
          <w:rFonts w:hint="eastAsia" w:ascii="Times New Roman" w:hAnsi="Times New Roman" w:eastAsia="黑体"/>
          <w:color w:val="000000"/>
          <w:sz w:val="32"/>
          <w:szCs w:val="32"/>
        </w:rPr>
        <w:t>1</w:t>
      </w:r>
      <w:r>
        <w:rPr>
          <w:rFonts w:ascii="Times New Roman" w:hAnsi="Times New Roman" w:eastAsia="黑体"/>
          <w:color w:val="000000"/>
          <w:sz w:val="32"/>
          <w:szCs w:val="32"/>
        </w:rPr>
        <w:tab/>
      </w:r>
    </w:p>
    <w:p>
      <w:pPr>
        <w:spacing w:line="576"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部门整体支出绩效</w:t>
      </w:r>
      <w:r>
        <w:rPr>
          <w:rFonts w:hint="eastAsia" w:ascii="Times New Roman" w:hAnsi="Times New Roman" w:eastAsia="方正小标宋简体"/>
          <w:color w:val="000000"/>
          <w:kern w:val="0"/>
          <w:sz w:val="44"/>
          <w:szCs w:val="44"/>
        </w:rPr>
        <w:t>自评</w:t>
      </w:r>
      <w:r>
        <w:rPr>
          <w:rFonts w:ascii="Times New Roman" w:hAnsi="Times New Roman" w:eastAsia="方正小标宋简体"/>
          <w:color w:val="000000"/>
          <w:kern w:val="0"/>
          <w:sz w:val="44"/>
          <w:szCs w:val="44"/>
        </w:rPr>
        <w:t>基础数据表</w:t>
      </w:r>
    </w:p>
    <w:p>
      <w:pPr>
        <w:tabs>
          <w:tab w:val="left" w:pos="838"/>
          <w:tab w:val="left" w:pos="4791"/>
          <w:tab w:val="left" w:pos="7071"/>
          <w:tab w:val="left" w:pos="9311"/>
        </w:tabs>
        <w:spacing w:line="360" w:lineRule="exact"/>
        <w:rPr>
          <w:rFonts w:ascii="Times New Roman" w:hAnsi="Times New Roman" w:eastAsia="仿宋_GB2312"/>
          <w:color w:val="000000"/>
          <w:kern w:val="0"/>
          <w:sz w:val="24"/>
        </w:rPr>
      </w:pPr>
      <w:r>
        <w:rPr>
          <w:rFonts w:hint="eastAsia" w:ascii="Times New Roman" w:hAnsi="Times New Roman" w:eastAsia="仿宋_GB2312"/>
          <w:color w:val="000000"/>
          <w:kern w:val="0"/>
          <w:sz w:val="24"/>
        </w:rPr>
        <w:tab/>
      </w:r>
      <w:r>
        <w:rPr>
          <w:rFonts w:ascii="Times New Roman" w:hAnsi="Times New Roman" w:eastAsia="仿宋_GB2312"/>
          <w:color w:val="000000"/>
          <w:kern w:val="0"/>
          <w:sz w:val="24"/>
        </w:rPr>
        <w:t>填报单位：</w:t>
      </w:r>
      <w:r>
        <w:rPr>
          <w:rFonts w:hint="eastAsia" w:ascii="Times New Roman" w:hAnsi="Times New Roman" w:eastAsia="仿宋_GB2312"/>
          <w:color w:val="000000"/>
          <w:kern w:val="0"/>
          <w:sz w:val="24"/>
        </w:rPr>
        <w:t>残联</w:t>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p>
    <w:tbl>
      <w:tblPr>
        <w:tblStyle w:val="5"/>
        <w:tblW w:w="0" w:type="auto"/>
        <w:jc w:val="center"/>
        <w:tblLayout w:type="fixed"/>
        <w:tblCellMar>
          <w:top w:w="0" w:type="dxa"/>
          <w:left w:w="108" w:type="dxa"/>
          <w:bottom w:w="0" w:type="dxa"/>
          <w:right w:w="108" w:type="dxa"/>
        </w:tblCellMar>
      </w:tblPr>
      <w:tblGrid>
        <w:gridCol w:w="3497"/>
        <w:gridCol w:w="1727"/>
        <w:gridCol w:w="2061"/>
        <w:gridCol w:w="1748"/>
      </w:tblGrid>
      <w:tr>
        <w:tblPrEx>
          <w:tblCellMar>
            <w:top w:w="0" w:type="dxa"/>
            <w:left w:w="108" w:type="dxa"/>
            <w:bottom w:w="0" w:type="dxa"/>
            <w:right w:w="108" w:type="dxa"/>
          </w:tblCellMar>
        </w:tblPrEx>
        <w:trPr>
          <w:trHeight w:val="388" w:hRule="atLeast"/>
          <w:jc w:val="center"/>
        </w:trPr>
        <w:tc>
          <w:tcPr>
            <w:tcW w:w="3497" w:type="dxa"/>
            <w:vMerge w:val="restar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财政供养人员情况</w:t>
            </w:r>
          </w:p>
        </w:tc>
        <w:tc>
          <w:tcPr>
            <w:tcW w:w="1727" w:type="dxa"/>
            <w:tcBorders>
              <w:top w:val="single" w:color="auto" w:sz="4" w:space="0"/>
              <w:left w:val="nil"/>
              <w:right w:val="single" w:color="auto" w:sz="4" w:space="0"/>
            </w:tcBorders>
            <w:noWrap/>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编制数</w:t>
            </w:r>
          </w:p>
        </w:tc>
        <w:tc>
          <w:tcPr>
            <w:tcW w:w="2061" w:type="dxa"/>
            <w:tcBorders>
              <w:top w:val="single" w:color="auto" w:sz="4" w:space="0"/>
              <w:left w:val="nil"/>
              <w:bottom w:val="single" w:color="auto" w:sz="4" w:space="0"/>
              <w:right w:val="single" w:color="auto" w:sz="4" w:space="0"/>
            </w:tcBorders>
            <w:noWrap/>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w:t>
            </w:r>
            <w:r>
              <w:rPr>
                <w:rFonts w:hint="eastAsia" w:ascii="Times New Roman" w:hAnsi="Times New Roman" w:eastAsia="仿宋_GB2312"/>
                <w:bCs/>
                <w:color w:val="000000"/>
                <w:kern w:val="0"/>
                <w:sz w:val="24"/>
              </w:rPr>
              <w:t>20</w:t>
            </w:r>
            <w:r>
              <w:rPr>
                <w:rFonts w:ascii="Times New Roman" w:hAnsi="Times New Roman" w:eastAsia="仿宋_GB2312"/>
                <w:bCs/>
                <w:color w:val="000000"/>
                <w:kern w:val="0"/>
                <w:sz w:val="24"/>
              </w:rPr>
              <w:t>年实际</w:t>
            </w:r>
          </w:p>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在职人数</w:t>
            </w:r>
          </w:p>
        </w:tc>
        <w:tc>
          <w:tcPr>
            <w:tcW w:w="1748" w:type="dxa"/>
            <w:tcBorders>
              <w:top w:val="single" w:color="auto" w:sz="4" w:space="0"/>
              <w:left w:val="nil"/>
              <w:bottom w:val="single" w:color="auto" w:sz="4" w:space="0"/>
              <w:right w:val="single" w:color="auto" w:sz="4" w:space="0"/>
            </w:tcBorders>
            <w:noWrap/>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控制率</w:t>
            </w:r>
          </w:p>
        </w:tc>
      </w:tr>
      <w:tr>
        <w:tblPrEx>
          <w:tblCellMar>
            <w:top w:w="0" w:type="dxa"/>
            <w:left w:w="108" w:type="dxa"/>
            <w:bottom w:w="0" w:type="dxa"/>
            <w:right w:w="108" w:type="dxa"/>
          </w:tblCellMar>
        </w:tblPrEx>
        <w:trPr>
          <w:trHeight w:val="388" w:hRule="atLeast"/>
          <w:jc w:val="center"/>
        </w:trPr>
        <w:tc>
          <w:tcPr>
            <w:tcW w:w="3497" w:type="dxa"/>
            <w:vMerge w:val="continue"/>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imes New Roman" w:hAnsi="Times New Roman" w:eastAsia="仿宋_GB2312"/>
                <w:color w:val="000000"/>
                <w:kern w:val="0"/>
                <w:sz w:val="24"/>
              </w:rPr>
            </w:pPr>
          </w:p>
        </w:tc>
        <w:tc>
          <w:tcPr>
            <w:tcW w:w="1727" w:type="dxa"/>
            <w:tcBorders>
              <w:top w:val="single" w:color="auto" w:sz="4" w:space="0"/>
              <w:left w:val="nil"/>
              <w:right w:val="single" w:color="auto" w:sz="4" w:space="0"/>
            </w:tcBorders>
            <w:noWrap/>
            <w:vAlign w:val="center"/>
          </w:tcPr>
          <w:p>
            <w:pPr>
              <w:spacing w:line="320" w:lineRule="exact"/>
              <w:jc w:val="center"/>
              <w:rPr>
                <w:rFonts w:ascii="Times New Roman" w:hAnsi="Times New Roman" w:eastAsia="仿宋_GB2312"/>
                <w:bCs/>
                <w:color w:val="000000"/>
                <w:kern w:val="0"/>
                <w:sz w:val="24"/>
              </w:rPr>
            </w:pPr>
            <w:r>
              <w:rPr>
                <w:rFonts w:hint="eastAsia" w:ascii="Times New Roman" w:hAnsi="Times New Roman" w:eastAsia="仿宋_GB2312"/>
                <w:bCs/>
                <w:color w:val="000000"/>
                <w:kern w:val="0"/>
                <w:sz w:val="24"/>
              </w:rPr>
              <w:t>11</w:t>
            </w:r>
          </w:p>
        </w:tc>
        <w:tc>
          <w:tcPr>
            <w:tcW w:w="2061" w:type="dxa"/>
            <w:vMerge w:val="restart"/>
            <w:tcBorders>
              <w:top w:val="single" w:color="auto" w:sz="4" w:space="0"/>
              <w:left w:val="nil"/>
              <w:right w:val="single" w:color="auto" w:sz="4" w:space="0"/>
            </w:tcBorders>
            <w:noWrap/>
            <w:vAlign w:val="center"/>
          </w:tcPr>
          <w:p>
            <w:pPr>
              <w:spacing w:line="320" w:lineRule="exact"/>
              <w:jc w:val="center"/>
              <w:rPr>
                <w:rFonts w:ascii="Times New Roman" w:hAnsi="Times New Roman" w:eastAsia="仿宋_GB2312"/>
                <w:bCs/>
                <w:color w:val="000000"/>
                <w:kern w:val="0"/>
                <w:sz w:val="24"/>
              </w:rPr>
            </w:pPr>
            <w:r>
              <w:rPr>
                <w:rFonts w:hint="eastAsia" w:ascii="Times New Roman" w:hAnsi="Times New Roman" w:eastAsia="仿宋_GB2312"/>
                <w:bCs/>
                <w:color w:val="000000"/>
                <w:kern w:val="0"/>
                <w:sz w:val="24"/>
              </w:rPr>
              <w:t>11</w:t>
            </w:r>
          </w:p>
        </w:tc>
        <w:tc>
          <w:tcPr>
            <w:tcW w:w="1748" w:type="dxa"/>
            <w:vMerge w:val="restart"/>
            <w:tcBorders>
              <w:top w:val="single" w:color="auto" w:sz="4" w:space="0"/>
              <w:left w:val="nil"/>
              <w:right w:val="single" w:color="auto" w:sz="4" w:space="0"/>
            </w:tcBorders>
            <w:noWrap/>
            <w:vAlign w:val="center"/>
          </w:tcPr>
          <w:p>
            <w:pPr>
              <w:spacing w:line="320" w:lineRule="exact"/>
              <w:jc w:val="center"/>
              <w:rPr>
                <w:rFonts w:ascii="Times New Roman" w:hAnsi="Times New Roman" w:eastAsia="仿宋_GB2312"/>
                <w:bCs/>
                <w:color w:val="000000"/>
                <w:kern w:val="0"/>
                <w:sz w:val="24"/>
              </w:rPr>
            </w:pPr>
            <w:r>
              <w:rPr>
                <w:rFonts w:hint="eastAsia" w:ascii="Times New Roman" w:hAnsi="Times New Roman" w:eastAsia="仿宋_GB2312"/>
                <w:bCs/>
                <w:color w:val="000000"/>
                <w:kern w:val="0"/>
                <w:sz w:val="24"/>
              </w:rPr>
              <w:t>100%</w:t>
            </w:r>
          </w:p>
        </w:tc>
      </w:tr>
      <w:tr>
        <w:tblPrEx>
          <w:tblCellMar>
            <w:top w:w="0" w:type="dxa"/>
            <w:left w:w="108" w:type="dxa"/>
            <w:bottom w:w="0" w:type="dxa"/>
            <w:right w:w="108" w:type="dxa"/>
          </w:tblCellMar>
        </w:tblPrEx>
        <w:trPr>
          <w:trHeight w:val="70" w:hRule="atLeast"/>
          <w:jc w:val="center"/>
        </w:trPr>
        <w:tc>
          <w:tcPr>
            <w:tcW w:w="3497" w:type="dxa"/>
            <w:vMerge w:val="continue"/>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imes New Roman" w:hAnsi="Times New Roman" w:eastAsia="仿宋_GB2312"/>
                <w:color w:val="000000"/>
                <w:kern w:val="0"/>
                <w:sz w:val="24"/>
              </w:rPr>
            </w:pPr>
          </w:p>
        </w:tc>
        <w:tc>
          <w:tcPr>
            <w:tcW w:w="1727" w:type="dxa"/>
            <w:tcBorders>
              <w:left w:val="nil"/>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p>
        </w:tc>
        <w:tc>
          <w:tcPr>
            <w:tcW w:w="2061" w:type="dxa"/>
            <w:vMerge w:val="continue"/>
            <w:tcBorders>
              <w:left w:val="nil"/>
              <w:bottom w:val="single" w:color="auto" w:sz="4" w:space="0"/>
              <w:right w:val="single" w:color="auto" w:sz="4" w:space="0"/>
            </w:tcBorders>
            <w:noWrap/>
            <w:vAlign w:val="center"/>
          </w:tcPr>
          <w:p>
            <w:pPr>
              <w:spacing w:line="320" w:lineRule="exact"/>
              <w:jc w:val="center"/>
              <w:rPr>
                <w:rFonts w:ascii="Times New Roman" w:hAnsi="Times New Roman" w:eastAsia="仿宋_GB2312"/>
                <w:color w:val="000000"/>
                <w:kern w:val="0"/>
                <w:sz w:val="24"/>
              </w:rPr>
            </w:pPr>
          </w:p>
        </w:tc>
        <w:tc>
          <w:tcPr>
            <w:tcW w:w="1748" w:type="dxa"/>
            <w:vMerge w:val="continue"/>
            <w:tcBorders>
              <w:left w:val="nil"/>
              <w:bottom w:val="single" w:color="auto" w:sz="4" w:space="0"/>
              <w:right w:val="single" w:color="auto" w:sz="4" w:space="0"/>
            </w:tcBorders>
            <w:noWrap/>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经费控制情况</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w:t>
            </w:r>
            <w:r>
              <w:rPr>
                <w:rFonts w:hint="eastAsia" w:ascii="Times New Roman" w:hAnsi="Times New Roman" w:eastAsia="仿宋_GB2312"/>
                <w:bCs/>
                <w:color w:val="000000"/>
                <w:kern w:val="0"/>
                <w:sz w:val="24"/>
              </w:rPr>
              <w:t>19</w:t>
            </w:r>
            <w:r>
              <w:rPr>
                <w:rFonts w:ascii="Times New Roman" w:hAnsi="Times New Roman" w:eastAsia="仿宋_GB2312"/>
                <w:bCs/>
                <w:color w:val="000000"/>
                <w:kern w:val="0"/>
                <w:sz w:val="24"/>
              </w:rPr>
              <w:t>年决算数</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w:t>
            </w:r>
            <w:r>
              <w:rPr>
                <w:rFonts w:hint="eastAsia" w:ascii="Times New Roman" w:hAnsi="Times New Roman" w:eastAsia="仿宋_GB2312"/>
                <w:bCs/>
                <w:color w:val="000000"/>
                <w:kern w:val="0"/>
                <w:sz w:val="24"/>
              </w:rPr>
              <w:t>20</w:t>
            </w:r>
            <w:r>
              <w:rPr>
                <w:rFonts w:ascii="Times New Roman" w:hAnsi="Times New Roman" w:eastAsia="仿宋_GB2312"/>
                <w:bCs/>
                <w:color w:val="000000"/>
                <w:kern w:val="0"/>
                <w:sz w:val="24"/>
              </w:rPr>
              <w:t>年预算数</w:t>
            </w: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w:t>
            </w:r>
            <w:r>
              <w:rPr>
                <w:rFonts w:hint="eastAsia" w:ascii="Times New Roman" w:hAnsi="Times New Roman" w:eastAsia="仿宋_GB2312"/>
                <w:bCs/>
                <w:color w:val="000000"/>
                <w:kern w:val="0"/>
                <w:sz w:val="24"/>
              </w:rPr>
              <w:t>20</w:t>
            </w:r>
            <w:r>
              <w:rPr>
                <w:rFonts w:ascii="Times New Roman" w:hAnsi="Times New Roman" w:eastAsia="仿宋_GB2312"/>
                <w:bCs/>
                <w:color w:val="000000"/>
                <w:kern w:val="0"/>
                <w:sz w:val="24"/>
              </w:rPr>
              <w:t>年决算数</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三公经费</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2.19</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2.25</w:t>
            </w:r>
          </w:p>
        </w:tc>
        <w:tc>
          <w:tcPr>
            <w:tcW w:w="1748" w:type="dxa"/>
            <w:tcBorders>
              <w:top w:val="single" w:color="auto" w:sz="4" w:space="0"/>
              <w:left w:val="nil"/>
              <w:bottom w:val="single" w:color="auto" w:sz="4" w:space="0"/>
              <w:right w:val="single" w:color="000000" w:sz="4" w:space="0"/>
            </w:tcBorders>
            <w:noWrap/>
            <w:vAlign w:val="center"/>
          </w:tcPr>
          <w:p>
            <w:pPr>
              <w:tabs>
                <w:tab w:val="center" w:pos="766"/>
              </w:tabs>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2.2</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1、公务用车购置和维护经费</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1.99</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1.8</w:t>
            </w: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1.7</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其中：公车购置</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公车运行维护</w:t>
            </w:r>
          </w:p>
        </w:tc>
        <w:tc>
          <w:tcPr>
            <w:tcW w:w="1727" w:type="dxa"/>
            <w:tcBorders>
              <w:top w:val="single" w:color="auto" w:sz="4" w:space="0"/>
              <w:left w:val="nil"/>
              <w:bottom w:val="single" w:color="auto" w:sz="4" w:space="0"/>
              <w:right w:val="single" w:color="000000" w:sz="4" w:space="0"/>
            </w:tcBorders>
            <w:noWrap/>
            <w:vAlign w:val="center"/>
          </w:tcPr>
          <w:p>
            <w:pPr>
              <w:tabs>
                <w:tab w:val="left" w:pos="552"/>
              </w:tabs>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1.99</w:t>
            </w:r>
          </w:p>
        </w:tc>
        <w:tc>
          <w:tcPr>
            <w:tcW w:w="2061" w:type="dxa"/>
            <w:tcBorders>
              <w:top w:val="single" w:color="auto" w:sz="4" w:space="0"/>
              <w:left w:val="nil"/>
              <w:bottom w:val="single" w:color="auto" w:sz="4" w:space="0"/>
              <w:right w:val="single" w:color="000000" w:sz="4" w:space="0"/>
            </w:tcBorders>
            <w:noWrap/>
            <w:vAlign w:val="center"/>
          </w:tcPr>
          <w:p>
            <w:pPr>
              <w:tabs>
                <w:tab w:val="center" w:pos="922"/>
              </w:tabs>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1.8</w:t>
            </w:r>
          </w:p>
        </w:tc>
        <w:tc>
          <w:tcPr>
            <w:tcW w:w="1748" w:type="dxa"/>
            <w:tcBorders>
              <w:top w:val="single" w:color="auto" w:sz="4" w:space="0"/>
              <w:left w:val="nil"/>
              <w:bottom w:val="single" w:color="auto" w:sz="4" w:space="0"/>
              <w:right w:val="single" w:color="000000" w:sz="4" w:space="0"/>
            </w:tcBorders>
            <w:noWrap/>
            <w:vAlign w:val="center"/>
          </w:tcPr>
          <w:p>
            <w:pPr>
              <w:tabs>
                <w:tab w:val="left" w:pos="424"/>
              </w:tabs>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1.7</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2、出国经费</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0"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3、公务接待</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0.2</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0.45</w:t>
            </w: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0.5</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项目支出：</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2351.7</w:t>
            </w:r>
          </w:p>
        </w:tc>
        <w:tc>
          <w:tcPr>
            <w:tcW w:w="2061" w:type="dxa"/>
            <w:tcBorders>
              <w:top w:val="single" w:color="auto" w:sz="4" w:space="0"/>
              <w:left w:val="nil"/>
              <w:bottom w:val="single" w:color="auto" w:sz="4" w:space="0"/>
              <w:right w:val="single" w:color="000000" w:sz="4" w:space="0"/>
            </w:tcBorders>
            <w:noWrap/>
            <w:vAlign w:val="center"/>
          </w:tcPr>
          <w:p>
            <w:pPr>
              <w:tabs>
                <w:tab w:val="center" w:pos="922"/>
              </w:tabs>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46.7</w:t>
            </w:r>
          </w:p>
        </w:tc>
        <w:tc>
          <w:tcPr>
            <w:tcW w:w="1748" w:type="dxa"/>
            <w:tcBorders>
              <w:top w:val="single" w:color="auto" w:sz="4" w:space="0"/>
              <w:left w:val="nil"/>
              <w:bottom w:val="single" w:color="auto" w:sz="4" w:space="0"/>
              <w:right w:val="single" w:color="000000" w:sz="4" w:space="0"/>
            </w:tcBorders>
            <w:noWrap/>
            <w:vAlign w:val="center"/>
          </w:tcPr>
          <w:p>
            <w:pPr>
              <w:tabs>
                <w:tab w:val="left" w:pos="559"/>
              </w:tabs>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2061.69</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1、业务工作专项</w:t>
            </w:r>
          </w:p>
        </w:tc>
        <w:tc>
          <w:tcPr>
            <w:tcW w:w="1727" w:type="dxa"/>
            <w:tcBorders>
              <w:top w:val="single" w:color="auto" w:sz="4" w:space="0"/>
              <w:left w:val="nil"/>
              <w:bottom w:val="single" w:color="auto" w:sz="4" w:space="0"/>
              <w:right w:val="single" w:color="000000" w:sz="4" w:space="0"/>
            </w:tcBorders>
            <w:noWrap/>
            <w:vAlign w:val="center"/>
          </w:tcPr>
          <w:p>
            <w:pPr>
              <w:tabs>
                <w:tab w:val="left" w:pos="597"/>
              </w:tabs>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ign w:val="center"/>
          </w:tcPr>
          <w:p>
            <w:pPr>
              <w:tabs>
                <w:tab w:val="center" w:pos="766"/>
              </w:tabs>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2008.23</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2、运行维护专项</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53.46</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公用经费</w:t>
            </w:r>
          </w:p>
        </w:tc>
        <w:tc>
          <w:tcPr>
            <w:tcW w:w="1727" w:type="dxa"/>
            <w:tcBorders>
              <w:top w:val="single" w:color="auto" w:sz="4" w:space="0"/>
              <w:left w:val="nil"/>
              <w:bottom w:val="single" w:color="auto" w:sz="4" w:space="0"/>
              <w:right w:val="single" w:color="000000" w:sz="4" w:space="0"/>
            </w:tcBorders>
            <w:noWrap/>
            <w:vAlign w:val="center"/>
          </w:tcPr>
          <w:p>
            <w:pPr>
              <w:tabs>
                <w:tab w:val="center" w:pos="755"/>
              </w:tabs>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21.12</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10</w:t>
            </w:r>
          </w:p>
        </w:tc>
        <w:tc>
          <w:tcPr>
            <w:tcW w:w="1748" w:type="dxa"/>
            <w:tcBorders>
              <w:top w:val="single" w:color="auto" w:sz="4" w:space="0"/>
              <w:left w:val="nil"/>
              <w:bottom w:val="single" w:color="auto" w:sz="4" w:space="0"/>
              <w:right w:val="single" w:color="000000" w:sz="4" w:space="0"/>
            </w:tcBorders>
            <w:noWrap/>
            <w:vAlign w:val="center"/>
          </w:tcPr>
          <w:p>
            <w:pPr>
              <w:tabs>
                <w:tab w:val="left" w:pos="364"/>
              </w:tabs>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14.98</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其中：</w:t>
            </w:r>
            <w:r>
              <w:rPr>
                <w:rFonts w:hint="eastAsia" w:ascii="Times New Roman" w:hAnsi="Times New Roman" w:eastAsia="仿宋_GB2312"/>
                <w:color w:val="000000"/>
                <w:kern w:val="0"/>
                <w:sz w:val="24"/>
              </w:rPr>
              <w:t>工会</w:t>
            </w:r>
            <w:r>
              <w:rPr>
                <w:rFonts w:ascii="Times New Roman" w:hAnsi="Times New Roman" w:eastAsia="仿宋_GB2312"/>
                <w:color w:val="000000"/>
                <w:kern w:val="0"/>
                <w:sz w:val="24"/>
              </w:rPr>
              <w:t>经费</w:t>
            </w:r>
            <w:r>
              <w:rPr>
                <w:rFonts w:hint="eastAsia" w:ascii="Times New Roman" w:hAnsi="Times New Roman" w:eastAsia="仿宋_GB2312"/>
                <w:color w:val="000000"/>
                <w:kern w:val="0"/>
                <w:sz w:val="24"/>
              </w:rPr>
              <w:t>福利费</w:t>
            </w:r>
          </w:p>
        </w:tc>
        <w:tc>
          <w:tcPr>
            <w:tcW w:w="1727" w:type="dxa"/>
            <w:tcBorders>
              <w:top w:val="single" w:color="auto" w:sz="4" w:space="0"/>
              <w:left w:val="nil"/>
              <w:bottom w:val="single" w:color="auto" w:sz="4" w:space="0"/>
              <w:right w:val="single" w:color="000000" w:sz="4" w:space="0"/>
            </w:tcBorders>
            <w:noWrap/>
            <w:vAlign w:val="center"/>
          </w:tcPr>
          <w:p>
            <w:pPr>
              <w:tabs>
                <w:tab w:val="center" w:pos="755"/>
              </w:tabs>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6.39</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hint="eastAsia" w:ascii="Times New Roman" w:hAnsi="Times New Roman" w:eastAsia="仿宋_GB2312"/>
                <w:color w:val="000000"/>
                <w:kern w:val="0"/>
                <w:sz w:val="24"/>
              </w:rPr>
              <w:t>其他交通</w:t>
            </w:r>
            <w:r>
              <w:rPr>
                <w:rFonts w:ascii="Times New Roman" w:hAnsi="Times New Roman" w:eastAsia="仿宋_GB2312"/>
                <w:color w:val="000000"/>
                <w:kern w:val="0"/>
                <w:sz w:val="24"/>
              </w:rPr>
              <w:t>费</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ign w:val="center"/>
          </w:tcPr>
          <w:p>
            <w:pPr>
              <w:tabs>
                <w:tab w:val="left" w:pos="274"/>
                <w:tab w:val="center" w:pos="946"/>
              </w:tabs>
              <w:spacing w:line="320" w:lineRule="exact"/>
              <w:ind w:firstLine="480" w:firstLineChars="200"/>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ab/>
            </w:r>
            <w:r>
              <w:rPr>
                <w:rFonts w:hint="eastAsia" w:ascii="Times New Roman" w:hAnsi="Times New Roman" w:eastAsia="仿宋_GB2312"/>
                <w:color w:val="000000"/>
                <w:kern w:val="0"/>
                <w:sz w:val="24"/>
              </w:rPr>
              <w:t>7.93</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hint="eastAsia" w:ascii="Times New Roman" w:hAnsi="Times New Roman" w:eastAsia="仿宋_GB2312"/>
                <w:color w:val="000000"/>
                <w:kern w:val="0"/>
                <w:sz w:val="24"/>
              </w:rPr>
              <w:t>公务接待</w:t>
            </w:r>
            <w:r>
              <w:rPr>
                <w:rFonts w:ascii="Times New Roman" w:hAnsi="Times New Roman" w:eastAsia="仿宋_GB2312"/>
                <w:color w:val="000000"/>
                <w:kern w:val="0"/>
                <w:sz w:val="24"/>
              </w:rPr>
              <w:t>费</w:t>
            </w:r>
            <w:r>
              <w:rPr>
                <w:rFonts w:hint="eastAsia" w:ascii="Times New Roman" w:hAnsi="Times New Roman" w:eastAsia="仿宋_GB2312"/>
                <w:color w:val="000000"/>
                <w:kern w:val="0"/>
                <w:sz w:val="24"/>
              </w:rPr>
              <w:t>等费用</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ign w:val="center"/>
          </w:tcPr>
          <w:p>
            <w:pPr>
              <w:tabs>
                <w:tab w:val="center" w:pos="766"/>
              </w:tabs>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0.66</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政府采购金额</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2061" w:type="dxa"/>
            <w:tcBorders>
              <w:top w:val="single" w:color="auto" w:sz="4" w:space="0"/>
              <w:left w:val="nil"/>
              <w:bottom w:val="single" w:color="auto" w:sz="4" w:space="0"/>
              <w:right w:val="single" w:color="000000" w:sz="4" w:space="0"/>
            </w:tcBorders>
            <w:noWrap/>
            <w:vAlign w:val="center"/>
          </w:tcPr>
          <w:p>
            <w:pPr>
              <w:tabs>
                <w:tab w:val="center" w:pos="922"/>
              </w:tabs>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rPr>
              <w:tab/>
            </w:r>
            <w:r>
              <w:rPr>
                <w:rFonts w:hint="eastAsia" w:ascii="Times New Roman" w:hAnsi="Times New Roman" w:eastAsia="仿宋_GB2312"/>
                <w:color w:val="000000"/>
                <w:kern w:val="0"/>
                <w:sz w:val="24"/>
              </w:rPr>
              <w:t>43.1</w:t>
            </w: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74.11</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部门整体支出预算调整 </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2061" w:type="dxa"/>
            <w:tcBorders>
              <w:top w:val="single" w:color="auto" w:sz="4" w:space="0"/>
              <w:left w:val="nil"/>
              <w:bottom w:val="single" w:color="auto" w:sz="4" w:space="0"/>
              <w:right w:val="single" w:color="000000" w:sz="4" w:space="0"/>
            </w:tcBorders>
            <w:noWrap/>
            <w:vAlign w:val="center"/>
          </w:tcPr>
          <w:p>
            <w:pPr>
              <w:tabs>
                <w:tab w:val="center" w:pos="922"/>
              </w:tabs>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rPr>
              <w:tab/>
            </w:r>
            <w:r>
              <w:rPr>
                <w:rFonts w:hint="eastAsia" w:ascii="Times New Roman" w:hAnsi="Times New Roman" w:eastAsia="仿宋_GB2312"/>
                <w:color w:val="000000"/>
                <w:kern w:val="0"/>
                <w:sz w:val="24"/>
              </w:rPr>
              <w:t>207.53</w:t>
            </w:r>
          </w:p>
        </w:tc>
        <w:tc>
          <w:tcPr>
            <w:tcW w:w="1748" w:type="dxa"/>
            <w:tcBorders>
              <w:top w:val="single" w:color="auto" w:sz="4" w:space="0"/>
              <w:left w:val="nil"/>
              <w:bottom w:val="single" w:color="auto" w:sz="4" w:space="0"/>
              <w:right w:val="single" w:color="000000" w:sz="4" w:space="0"/>
            </w:tcBorders>
            <w:noWrap/>
            <w:vAlign w:val="center"/>
          </w:tcPr>
          <w:p>
            <w:pPr>
              <w:tabs>
                <w:tab w:val="center" w:pos="766"/>
              </w:tabs>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1222.07</w:t>
            </w:r>
          </w:p>
        </w:tc>
      </w:tr>
      <w:tr>
        <w:tblPrEx>
          <w:tblCellMar>
            <w:top w:w="0" w:type="dxa"/>
            <w:left w:w="108" w:type="dxa"/>
            <w:bottom w:w="0" w:type="dxa"/>
            <w:right w:w="108" w:type="dxa"/>
          </w:tblCellMar>
        </w:tblPrEx>
        <w:trPr>
          <w:trHeight w:val="1693"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厉行节约保障措施</w:t>
            </w:r>
          </w:p>
        </w:tc>
        <w:tc>
          <w:tcPr>
            <w:tcW w:w="5536" w:type="dxa"/>
            <w:gridSpan w:val="3"/>
            <w:tcBorders>
              <w:top w:val="single" w:color="auto" w:sz="4" w:space="0"/>
              <w:left w:val="nil"/>
              <w:bottom w:val="single" w:color="auto" w:sz="4" w:space="0"/>
              <w:right w:val="single" w:color="000000"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eastAsia="仿宋_GB2312"/>
                <w:color w:val="000000"/>
                <w:kern w:val="0"/>
                <w:sz w:val="24"/>
              </w:rPr>
              <w:t>健全了相关制定，严格按照要求执行</w:t>
            </w:r>
          </w:p>
        </w:tc>
      </w:tr>
    </w:tbl>
    <w:p>
      <w:pPr>
        <w:spacing w:line="360" w:lineRule="exact"/>
        <w:rPr>
          <w:rFonts w:ascii="Times New Roman" w:hAnsi="Times New Roman" w:eastAsia="仿宋_GB2312"/>
          <w:color w:val="000000"/>
          <w:kern w:val="0"/>
          <w:sz w:val="24"/>
        </w:rPr>
      </w:pPr>
      <w:r>
        <w:rPr>
          <w:rFonts w:ascii="Times New Roman" w:hAnsi="Times New Roman" w:eastAsia="仿宋_GB2312"/>
          <w:color w:val="000000"/>
          <w:kern w:val="0"/>
          <w:sz w:val="24"/>
        </w:rPr>
        <w:t>说明：“项目支出”需要填报除</w:t>
      </w:r>
      <w:r>
        <w:rPr>
          <w:rFonts w:hint="eastAsia" w:ascii="Times New Roman" w:hAnsi="Times New Roman" w:eastAsia="仿宋_GB2312"/>
          <w:color w:val="000000"/>
          <w:kern w:val="0"/>
          <w:sz w:val="24"/>
        </w:rPr>
        <w:t>公共</w:t>
      </w:r>
      <w:r>
        <w:rPr>
          <w:rFonts w:ascii="Times New Roman" w:hAnsi="Times New Roman" w:eastAsia="仿宋_GB2312"/>
          <w:color w:val="000000"/>
          <w:kern w:val="0"/>
          <w:sz w:val="24"/>
        </w:rPr>
        <w:t>专项资金和基本支出以外的所有项目情况，包括业务工作项目、运行维护项目等；“公用经费”填报基本支出中的一般商品和服务支出。</w:t>
      </w:r>
    </w:p>
    <w:p>
      <w:pPr>
        <w:adjustRightInd w:val="0"/>
        <w:snapToGrid w:val="0"/>
        <w:spacing w:line="600" w:lineRule="exact"/>
        <w:rPr>
          <w:rFonts w:eastAsia="黑体"/>
          <w:sz w:val="32"/>
          <w:szCs w:val="32"/>
        </w:rPr>
      </w:pPr>
    </w:p>
    <w:p>
      <w:pPr>
        <w:adjustRightInd w:val="0"/>
        <w:snapToGrid w:val="0"/>
        <w:spacing w:line="600" w:lineRule="exact"/>
        <w:rPr>
          <w:rFonts w:eastAsia="黑体"/>
          <w:sz w:val="32"/>
          <w:szCs w:val="32"/>
        </w:rPr>
      </w:pPr>
      <w:r>
        <w:rPr>
          <w:rFonts w:eastAsia="黑体"/>
          <w:sz w:val="32"/>
          <w:szCs w:val="32"/>
        </w:rPr>
        <w:t>附件</w:t>
      </w:r>
      <w:r>
        <w:rPr>
          <w:rFonts w:hint="eastAsia" w:eastAsia="黑体"/>
          <w:sz w:val="32"/>
          <w:szCs w:val="32"/>
        </w:rPr>
        <w:t>2</w:t>
      </w:r>
    </w:p>
    <w:p>
      <w:pPr>
        <w:adjustRightInd w:val="0"/>
        <w:snapToGrid w:val="0"/>
        <w:spacing w:line="600" w:lineRule="exact"/>
        <w:jc w:val="center"/>
        <w:rPr>
          <w:rFonts w:ascii="Times New Roman" w:hAnsi="Times New Roman" w:eastAsia="方正小标宋简体"/>
          <w:color w:val="000000"/>
          <w:kern w:val="0"/>
          <w:sz w:val="44"/>
          <w:szCs w:val="44"/>
        </w:rPr>
      </w:pPr>
      <w:r>
        <w:rPr>
          <w:rFonts w:hint="eastAsia" w:ascii="Times New Roman" w:hAnsi="Times New Roman" w:eastAsia="方正小标宋简体"/>
          <w:color w:val="000000"/>
          <w:kern w:val="0"/>
          <w:sz w:val="44"/>
          <w:szCs w:val="44"/>
        </w:rPr>
        <w:t>2020年</w:t>
      </w:r>
      <w:r>
        <w:rPr>
          <w:rFonts w:ascii="Times New Roman" w:hAnsi="Times New Roman" w:eastAsia="方正小标宋简体"/>
          <w:color w:val="000000"/>
          <w:kern w:val="0"/>
          <w:sz w:val="44"/>
          <w:szCs w:val="44"/>
        </w:rPr>
        <w:t>部门整体支出绩效自评表</w:t>
      </w:r>
    </w:p>
    <w:tbl>
      <w:tblPr>
        <w:tblStyle w:val="5"/>
        <w:tblW w:w="937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071"/>
        <w:gridCol w:w="580"/>
        <w:gridCol w:w="2112"/>
        <w:gridCol w:w="1760"/>
        <w:gridCol w:w="1380"/>
        <w:gridCol w:w="99"/>
        <w:gridCol w:w="878"/>
        <w:gridCol w:w="708"/>
        <w:gridCol w:w="79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42" w:hRule="atLeast"/>
          <w:jc w:val="center"/>
        </w:trPr>
        <w:tc>
          <w:tcPr>
            <w:tcW w:w="1651" w:type="dxa"/>
            <w:gridSpan w:val="2"/>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部门（单位）名称</w:t>
            </w:r>
          </w:p>
        </w:tc>
        <w:tc>
          <w:tcPr>
            <w:tcW w:w="7728" w:type="dxa"/>
            <w:gridSpan w:val="7"/>
            <w:noWrap/>
            <w:tcMar>
              <w:top w:w="15" w:type="dxa"/>
              <w:left w:w="15" w:type="dxa"/>
              <w:bottom w:w="0" w:type="dxa"/>
              <w:right w:w="15" w:type="dxa"/>
            </w:tcMar>
            <w:vAlign w:val="center"/>
          </w:tcPr>
          <w:p>
            <w:pPr>
              <w:tabs>
                <w:tab w:val="left" w:pos="960"/>
                <w:tab w:val="center" w:pos="4084"/>
              </w:tabs>
              <w:spacing w:line="250" w:lineRule="exact"/>
              <w:jc w:val="left"/>
              <w:rPr>
                <w:color w:val="000000"/>
                <w:sz w:val="18"/>
                <w:szCs w:val="18"/>
              </w:rPr>
            </w:pPr>
            <w:r>
              <w:rPr>
                <w:rFonts w:hint="eastAsia"/>
                <w:color w:val="000000"/>
                <w:sz w:val="18"/>
                <w:szCs w:val="18"/>
              </w:rPr>
              <w:tab/>
            </w:r>
            <w:r>
              <w:rPr>
                <w:rFonts w:hint="eastAsia"/>
                <w:color w:val="000000"/>
                <w:sz w:val="18"/>
                <w:szCs w:val="18"/>
              </w:rPr>
              <w:t>残联</w:t>
            </w:r>
            <w:r>
              <w:rPr>
                <w:rFonts w:hint="eastAsia"/>
                <w:color w:val="000000"/>
                <w:sz w:val="18"/>
                <w:szCs w:val="18"/>
              </w:rPr>
              <w:tab/>
            </w: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restart"/>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整体支出规模</w:t>
            </w:r>
          </w:p>
        </w:tc>
        <w:tc>
          <w:tcPr>
            <w:tcW w:w="2112"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c>
          <w:tcPr>
            <w:tcW w:w="3140" w:type="dxa"/>
            <w:gridSpan w:val="2"/>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全年预算数</w:t>
            </w:r>
          </w:p>
        </w:tc>
        <w:tc>
          <w:tcPr>
            <w:tcW w:w="1685" w:type="dxa"/>
            <w:gridSpan w:val="3"/>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全年执行数</w:t>
            </w:r>
          </w:p>
        </w:tc>
        <w:tc>
          <w:tcPr>
            <w:tcW w:w="791" w:type="dxa"/>
            <w:noWrap/>
            <w:tcMar>
              <w:top w:w="15" w:type="dxa"/>
              <w:left w:w="15" w:type="dxa"/>
              <w:bottom w:w="0" w:type="dxa"/>
              <w:right w:w="15" w:type="dxa"/>
            </w:tcMar>
            <w:vAlign w:val="center"/>
          </w:tcPr>
          <w:p>
            <w:pPr>
              <w:spacing w:line="250" w:lineRule="exact"/>
              <w:rPr>
                <w:color w:val="000000"/>
                <w:sz w:val="18"/>
                <w:szCs w:val="18"/>
              </w:rPr>
            </w:pPr>
            <w:r>
              <w:rPr>
                <w:color w:val="000000"/>
                <w:sz w:val="18"/>
                <w:szCs w:val="18"/>
              </w:rPr>
              <w:t>执行率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continue"/>
            <w:noWrap/>
            <w:vAlign w:val="center"/>
          </w:tcPr>
          <w:p>
            <w:pPr>
              <w:spacing w:line="250" w:lineRule="exact"/>
              <w:rPr>
                <w:color w:val="000000"/>
                <w:sz w:val="18"/>
                <w:szCs w:val="18"/>
              </w:rPr>
            </w:pPr>
          </w:p>
        </w:tc>
        <w:tc>
          <w:tcPr>
            <w:tcW w:w="2112"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资金来源：（1）财政拨款</w:t>
            </w:r>
          </w:p>
        </w:tc>
        <w:tc>
          <w:tcPr>
            <w:tcW w:w="3140" w:type="dxa"/>
            <w:gridSpan w:val="2"/>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207.53</w:t>
            </w:r>
            <w:r>
              <w:rPr>
                <w:color w:val="000000"/>
                <w:sz w:val="18"/>
                <w:szCs w:val="18"/>
              </w:rPr>
              <w:t>　</w:t>
            </w:r>
          </w:p>
        </w:tc>
        <w:tc>
          <w:tcPr>
            <w:tcW w:w="1685" w:type="dxa"/>
            <w:gridSpan w:val="3"/>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1222.07</w:t>
            </w:r>
            <w:r>
              <w:rPr>
                <w:color w:val="000000"/>
                <w:sz w:val="18"/>
                <w:szCs w:val="18"/>
              </w:rPr>
              <w:t>　</w:t>
            </w:r>
          </w:p>
        </w:tc>
        <w:tc>
          <w:tcPr>
            <w:tcW w:w="791" w:type="dxa"/>
            <w:noWrap/>
            <w:tcMar>
              <w:top w:w="15" w:type="dxa"/>
              <w:left w:w="15" w:type="dxa"/>
              <w:bottom w:w="0" w:type="dxa"/>
              <w:right w:w="15" w:type="dxa"/>
            </w:tcMar>
            <w:vAlign w:val="center"/>
          </w:tcPr>
          <w:p>
            <w:pPr>
              <w:spacing w:line="250" w:lineRule="exact"/>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continue"/>
            <w:noWrap/>
            <w:vAlign w:val="center"/>
          </w:tcPr>
          <w:p>
            <w:pPr>
              <w:spacing w:line="250" w:lineRule="exact"/>
              <w:rPr>
                <w:color w:val="000000"/>
                <w:sz w:val="18"/>
                <w:szCs w:val="18"/>
              </w:rPr>
            </w:pPr>
          </w:p>
        </w:tc>
        <w:tc>
          <w:tcPr>
            <w:tcW w:w="2112"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xml:space="preserve">         （2）其他资金</w:t>
            </w:r>
          </w:p>
        </w:tc>
        <w:tc>
          <w:tcPr>
            <w:tcW w:w="3140" w:type="dxa"/>
            <w:gridSpan w:val="2"/>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c>
          <w:tcPr>
            <w:tcW w:w="1685" w:type="dxa"/>
            <w:gridSpan w:val="3"/>
            <w:noWrap/>
            <w:tcMar>
              <w:top w:w="15" w:type="dxa"/>
              <w:left w:w="15" w:type="dxa"/>
              <w:bottom w:w="0" w:type="dxa"/>
              <w:right w:w="15" w:type="dxa"/>
            </w:tcMar>
            <w:vAlign w:val="center"/>
          </w:tcPr>
          <w:p>
            <w:pPr>
              <w:tabs>
                <w:tab w:val="left" w:pos="540"/>
                <w:tab w:val="center" w:pos="997"/>
              </w:tabs>
              <w:spacing w:line="250" w:lineRule="exact"/>
              <w:jc w:val="left"/>
              <w:rPr>
                <w:color w:val="000000"/>
                <w:sz w:val="18"/>
                <w:szCs w:val="18"/>
              </w:rPr>
            </w:pPr>
            <w:r>
              <w:rPr>
                <w:rFonts w:hint="eastAsia"/>
                <w:color w:val="000000"/>
                <w:sz w:val="18"/>
                <w:szCs w:val="18"/>
              </w:rPr>
              <w:tab/>
            </w:r>
            <w:r>
              <w:rPr>
                <w:rFonts w:hint="eastAsia"/>
                <w:color w:val="000000"/>
                <w:sz w:val="18"/>
                <w:szCs w:val="18"/>
              </w:rPr>
              <w:t>779.67</w:t>
            </w:r>
            <w:r>
              <w:rPr>
                <w:rFonts w:hint="eastAsia"/>
                <w:color w:val="000000"/>
                <w:sz w:val="18"/>
                <w:szCs w:val="18"/>
              </w:rPr>
              <w:tab/>
            </w:r>
            <w:r>
              <w:rPr>
                <w:color w:val="000000"/>
                <w:sz w:val="18"/>
                <w:szCs w:val="18"/>
              </w:rPr>
              <w:t>　</w:t>
            </w:r>
          </w:p>
        </w:tc>
        <w:tc>
          <w:tcPr>
            <w:tcW w:w="791" w:type="dxa"/>
            <w:noWrap/>
            <w:tcMar>
              <w:top w:w="15" w:type="dxa"/>
              <w:left w:w="15" w:type="dxa"/>
              <w:bottom w:w="0" w:type="dxa"/>
              <w:right w:w="15" w:type="dxa"/>
            </w:tcMar>
            <w:vAlign w:val="center"/>
          </w:tcPr>
          <w:p>
            <w:pPr>
              <w:spacing w:line="250" w:lineRule="exact"/>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continue"/>
            <w:noWrap/>
            <w:vAlign w:val="center"/>
          </w:tcPr>
          <w:p>
            <w:pPr>
              <w:spacing w:line="250" w:lineRule="exact"/>
              <w:rPr>
                <w:color w:val="000000"/>
                <w:sz w:val="18"/>
                <w:szCs w:val="18"/>
              </w:rPr>
            </w:pPr>
          </w:p>
        </w:tc>
        <w:tc>
          <w:tcPr>
            <w:tcW w:w="2112"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资金结构：（1）基本支出</w:t>
            </w:r>
          </w:p>
        </w:tc>
        <w:tc>
          <w:tcPr>
            <w:tcW w:w="3140" w:type="dxa"/>
            <w:gridSpan w:val="2"/>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r>
              <w:rPr>
                <w:rFonts w:hint="eastAsia"/>
                <w:color w:val="000000"/>
                <w:sz w:val="18"/>
                <w:szCs w:val="18"/>
              </w:rPr>
              <w:t>160.83</w:t>
            </w:r>
          </w:p>
        </w:tc>
        <w:tc>
          <w:tcPr>
            <w:tcW w:w="1685" w:type="dxa"/>
            <w:gridSpan w:val="3"/>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176.29</w:t>
            </w:r>
          </w:p>
        </w:tc>
        <w:tc>
          <w:tcPr>
            <w:tcW w:w="791" w:type="dxa"/>
            <w:noWrap/>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continue"/>
            <w:noWrap/>
            <w:vAlign w:val="center"/>
          </w:tcPr>
          <w:p>
            <w:pPr>
              <w:spacing w:line="250" w:lineRule="exact"/>
              <w:rPr>
                <w:color w:val="000000"/>
                <w:sz w:val="18"/>
                <w:szCs w:val="18"/>
              </w:rPr>
            </w:pPr>
          </w:p>
        </w:tc>
        <w:tc>
          <w:tcPr>
            <w:tcW w:w="2112"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xml:space="preserve">         （2）项目支出</w:t>
            </w:r>
          </w:p>
        </w:tc>
        <w:tc>
          <w:tcPr>
            <w:tcW w:w="3140" w:type="dxa"/>
            <w:gridSpan w:val="2"/>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r>
              <w:rPr>
                <w:rFonts w:hint="eastAsia"/>
                <w:color w:val="000000"/>
                <w:sz w:val="18"/>
                <w:szCs w:val="18"/>
              </w:rPr>
              <w:t>46.7</w:t>
            </w:r>
          </w:p>
        </w:tc>
        <w:tc>
          <w:tcPr>
            <w:tcW w:w="1685" w:type="dxa"/>
            <w:gridSpan w:val="3"/>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2061.69</w:t>
            </w:r>
            <w:r>
              <w:rPr>
                <w:color w:val="000000"/>
                <w:sz w:val="18"/>
                <w:szCs w:val="18"/>
              </w:rPr>
              <w:t>　</w:t>
            </w:r>
          </w:p>
        </w:tc>
        <w:tc>
          <w:tcPr>
            <w:tcW w:w="791" w:type="dxa"/>
            <w:noWrap/>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restart"/>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年度总</w:t>
            </w:r>
          </w:p>
          <w:p>
            <w:pPr>
              <w:spacing w:line="250" w:lineRule="exact"/>
              <w:jc w:val="center"/>
              <w:rPr>
                <w:color w:val="000000"/>
                <w:sz w:val="18"/>
                <w:szCs w:val="18"/>
              </w:rPr>
            </w:pPr>
            <w:r>
              <w:rPr>
                <w:color w:val="000000"/>
                <w:sz w:val="18"/>
                <w:szCs w:val="18"/>
              </w:rPr>
              <w:t>体目标</w:t>
            </w:r>
          </w:p>
        </w:tc>
        <w:tc>
          <w:tcPr>
            <w:tcW w:w="4452" w:type="dxa"/>
            <w:gridSpan w:val="3"/>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年初设定目标</w:t>
            </w:r>
          </w:p>
        </w:tc>
        <w:tc>
          <w:tcPr>
            <w:tcW w:w="3856" w:type="dxa"/>
            <w:gridSpan w:val="5"/>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全年完成情况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ign w:val="center"/>
          </w:tcPr>
          <w:p>
            <w:pPr>
              <w:spacing w:line="250" w:lineRule="exact"/>
              <w:rPr>
                <w:color w:val="000000"/>
                <w:sz w:val="18"/>
                <w:szCs w:val="18"/>
              </w:rPr>
            </w:pPr>
          </w:p>
        </w:tc>
        <w:tc>
          <w:tcPr>
            <w:tcW w:w="4452" w:type="dxa"/>
            <w:gridSpan w:val="3"/>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c>
          <w:tcPr>
            <w:tcW w:w="3856" w:type="dxa"/>
            <w:gridSpan w:val="5"/>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全面完成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9379" w:type="dxa"/>
            <w:gridSpan w:val="9"/>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分解目标自评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restart"/>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一级指标</w:t>
            </w:r>
          </w:p>
        </w:tc>
        <w:tc>
          <w:tcPr>
            <w:tcW w:w="580" w:type="dxa"/>
            <w:vMerge w:val="restart"/>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30</w:t>
            </w:r>
          </w:p>
        </w:tc>
        <w:tc>
          <w:tcPr>
            <w:tcW w:w="2112" w:type="dxa"/>
            <w:vMerge w:val="restart"/>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二级指标</w:t>
            </w:r>
          </w:p>
        </w:tc>
        <w:tc>
          <w:tcPr>
            <w:tcW w:w="1760" w:type="dxa"/>
            <w:vMerge w:val="restart"/>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三级指标</w:t>
            </w:r>
          </w:p>
        </w:tc>
        <w:tc>
          <w:tcPr>
            <w:tcW w:w="1479" w:type="dxa"/>
            <w:gridSpan w:val="2"/>
            <w:vMerge w:val="restart"/>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年度指标值</w:t>
            </w:r>
          </w:p>
        </w:tc>
        <w:tc>
          <w:tcPr>
            <w:tcW w:w="878" w:type="dxa"/>
            <w:vMerge w:val="restart"/>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全年</w:t>
            </w:r>
          </w:p>
          <w:p>
            <w:pPr>
              <w:spacing w:line="250" w:lineRule="exact"/>
              <w:jc w:val="center"/>
              <w:rPr>
                <w:color w:val="000000"/>
                <w:sz w:val="18"/>
                <w:szCs w:val="18"/>
              </w:rPr>
            </w:pPr>
            <w:r>
              <w:rPr>
                <w:color w:val="000000"/>
                <w:sz w:val="18"/>
                <w:szCs w:val="18"/>
              </w:rPr>
              <w:t>完成值</w:t>
            </w:r>
          </w:p>
        </w:tc>
        <w:tc>
          <w:tcPr>
            <w:tcW w:w="708" w:type="dxa"/>
            <w:vMerge w:val="restart"/>
            <w:noWrap/>
            <w:vAlign w:val="center"/>
          </w:tcPr>
          <w:p>
            <w:pPr>
              <w:spacing w:line="250" w:lineRule="exact"/>
              <w:jc w:val="center"/>
              <w:rPr>
                <w:color w:val="000000"/>
                <w:sz w:val="18"/>
                <w:szCs w:val="18"/>
              </w:rPr>
            </w:pPr>
            <w:r>
              <w:rPr>
                <w:color w:val="000000"/>
                <w:sz w:val="18"/>
                <w:szCs w:val="18"/>
              </w:rPr>
              <w:t>自评</w:t>
            </w:r>
          </w:p>
          <w:p>
            <w:pPr>
              <w:spacing w:line="250" w:lineRule="exact"/>
              <w:jc w:val="center"/>
              <w:rPr>
                <w:color w:val="000000"/>
                <w:sz w:val="18"/>
                <w:szCs w:val="18"/>
              </w:rPr>
            </w:pPr>
            <w:r>
              <w:rPr>
                <w:color w:val="000000"/>
                <w:sz w:val="18"/>
                <w:szCs w:val="18"/>
              </w:rPr>
              <w:t>得分</w:t>
            </w:r>
          </w:p>
        </w:tc>
        <w:tc>
          <w:tcPr>
            <w:tcW w:w="791" w:type="dxa"/>
            <w:vMerge w:val="restart"/>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偏差及</w:t>
            </w:r>
          </w:p>
          <w:p>
            <w:pPr>
              <w:spacing w:line="250" w:lineRule="exact"/>
              <w:jc w:val="center"/>
              <w:rPr>
                <w:color w:val="000000"/>
                <w:sz w:val="18"/>
                <w:szCs w:val="18"/>
              </w:rPr>
            </w:pPr>
            <w:r>
              <w:rPr>
                <w:color w:val="000000"/>
                <w:sz w:val="18"/>
                <w:szCs w:val="18"/>
              </w:rPr>
              <w:t>原因分析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3" w:hRule="atLeast"/>
          <w:jc w:val="center"/>
        </w:trPr>
        <w:tc>
          <w:tcPr>
            <w:tcW w:w="1071" w:type="dxa"/>
            <w:vMerge w:val="continue"/>
            <w:noWrap/>
            <w:vAlign w:val="center"/>
          </w:tcPr>
          <w:p>
            <w:pPr>
              <w:spacing w:line="250" w:lineRule="exact"/>
              <w:rPr>
                <w:color w:val="000000"/>
                <w:sz w:val="18"/>
                <w:szCs w:val="18"/>
              </w:rPr>
            </w:pPr>
          </w:p>
        </w:tc>
        <w:tc>
          <w:tcPr>
            <w:tcW w:w="580" w:type="dxa"/>
            <w:vMerge w:val="continue"/>
            <w:noWrap/>
            <w:vAlign w:val="center"/>
          </w:tcPr>
          <w:p>
            <w:pPr>
              <w:spacing w:line="250" w:lineRule="exact"/>
              <w:rPr>
                <w:color w:val="000000"/>
                <w:sz w:val="18"/>
                <w:szCs w:val="18"/>
              </w:rPr>
            </w:pPr>
          </w:p>
        </w:tc>
        <w:tc>
          <w:tcPr>
            <w:tcW w:w="2112" w:type="dxa"/>
            <w:vMerge w:val="continue"/>
            <w:noWrap/>
            <w:vAlign w:val="center"/>
          </w:tcPr>
          <w:p>
            <w:pPr>
              <w:spacing w:line="250" w:lineRule="exact"/>
              <w:rPr>
                <w:color w:val="000000"/>
                <w:sz w:val="18"/>
                <w:szCs w:val="18"/>
              </w:rPr>
            </w:pPr>
          </w:p>
        </w:tc>
        <w:tc>
          <w:tcPr>
            <w:tcW w:w="1760" w:type="dxa"/>
            <w:vMerge w:val="continue"/>
            <w:noWrap/>
            <w:vAlign w:val="center"/>
          </w:tcPr>
          <w:p>
            <w:pPr>
              <w:spacing w:line="250" w:lineRule="exact"/>
              <w:rPr>
                <w:color w:val="000000"/>
                <w:sz w:val="18"/>
                <w:szCs w:val="18"/>
              </w:rPr>
            </w:pPr>
          </w:p>
        </w:tc>
        <w:tc>
          <w:tcPr>
            <w:tcW w:w="1479" w:type="dxa"/>
            <w:gridSpan w:val="2"/>
            <w:vMerge w:val="continue"/>
            <w:noWrap/>
            <w:vAlign w:val="center"/>
          </w:tcPr>
          <w:p>
            <w:pPr>
              <w:spacing w:line="250" w:lineRule="exact"/>
              <w:rPr>
                <w:color w:val="000000"/>
                <w:sz w:val="18"/>
                <w:szCs w:val="18"/>
              </w:rPr>
            </w:pPr>
          </w:p>
        </w:tc>
        <w:tc>
          <w:tcPr>
            <w:tcW w:w="878" w:type="dxa"/>
            <w:vMerge w:val="continue"/>
            <w:noWrap/>
            <w:vAlign w:val="center"/>
          </w:tcPr>
          <w:p>
            <w:pPr>
              <w:spacing w:line="250" w:lineRule="exact"/>
              <w:rPr>
                <w:color w:val="000000"/>
                <w:sz w:val="18"/>
                <w:szCs w:val="18"/>
              </w:rPr>
            </w:pPr>
          </w:p>
        </w:tc>
        <w:tc>
          <w:tcPr>
            <w:tcW w:w="708" w:type="dxa"/>
            <w:vMerge w:val="continue"/>
            <w:noWrap/>
            <w:vAlign w:val="center"/>
          </w:tcPr>
          <w:p>
            <w:pPr>
              <w:spacing w:line="250" w:lineRule="exact"/>
              <w:rPr>
                <w:color w:val="000000"/>
                <w:sz w:val="18"/>
                <w:szCs w:val="18"/>
              </w:rPr>
            </w:pPr>
          </w:p>
        </w:tc>
        <w:tc>
          <w:tcPr>
            <w:tcW w:w="791" w:type="dxa"/>
            <w:vMerge w:val="continue"/>
            <w:noWrap/>
            <w:vAlign w:val="center"/>
          </w:tcPr>
          <w:p>
            <w:pPr>
              <w:spacing w:line="250" w:lineRule="exact"/>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ign w:val="center"/>
          </w:tcPr>
          <w:p>
            <w:pPr>
              <w:spacing w:line="250" w:lineRule="exact"/>
              <w:rPr>
                <w:color w:val="000000"/>
                <w:sz w:val="18"/>
                <w:szCs w:val="18"/>
              </w:rPr>
            </w:pPr>
          </w:p>
        </w:tc>
        <w:tc>
          <w:tcPr>
            <w:tcW w:w="580" w:type="dxa"/>
            <w:vMerge w:val="continue"/>
            <w:noWrap/>
            <w:vAlign w:val="center"/>
          </w:tcPr>
          <w:p>
            <w:pPr>
              <w:spacing w:line="250" w:lineRule="exact"/>
              <w:rPr>
                <w:color w:val="000000"/>
                <w:sz w:val="18"/>
                <w:szCs w:val="18"/>
              </w:rPr>
            </w:pPr>
          </w:p>
        </w:tc>
        <w:tc>
          <w:tcPr>
            <w:tcW w:w="2112"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预算执行管理</w:t>
            </w:r>
            <w:r>
              <w:rPr>
                <w:rFonts w:hint="eastAsia"/>
                <w:color w:val="000000"/>
                <w:sz w:val="18"/>
                <w:szCs w:val="18"/>
              </w:rPr>
              <w:t>（4）</w:t>
            </w:r>
          </w:p>
        </w:tc>
        <w:tc>
          <w:tcPr>
            <w:tcW w:w="3239" w:type="dxa"/>
            <w:gridSpan w:val="3"/>
            <w:vMerge w:val="restart"/>
            <w:noWrap/>
            <w:tcMar>
              <w:top w:w="15" w:type="dxa"/>
              <w:left w:w="15" w:type="dxa"/>
              <w:bottom w:w="0" w:type="dxa"/>
              <w:right w:w="15" w:type="dxa"/>
            </w:tcMar>
            <w:vAlign w:val="center"/>
          </w:tcPr>
          <w:p>
            <w:pPr>
              <w:spacing w:line="250" w:lineRule="exact"/>
              <w:rPr>
                <w:color w:val="000000"/>
                <w:sz w:val="18"/>
                <w:szCs w:val="18"/>
              </w:rPr>
            </w:pPr>
          </w:p>
        </w:tc>
        <w:tc>
          <w:tcPr>
            <w:tcW w:w="878" w:type="dxa"/>
            <w:noWrap/>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708" w:type="dxa"/>
            <w:noWrap/>
            <w:vAlign w:val="center"/>
          </w:tcPr>
          <w:p>
            <w:pPr>
              <w:tabs>
                <w:tab w:val="left" w:pos="540"/>
                <w:tab w:val="center" w:pos="997"/>
              </w:tabs>
              <w:spacing w:line="250" w:lineRule="exact"/>
              <w:jc w:val="center"/>
              <w:rPr>
                <w:color w:val="000000"/>
                <w:sz w:val="18"/>
                <w:szCs w:val="18"/>
              </w:rPr>
            </w:pPr>
            <w:r>
              <w:rPr>
                <w:rFonts w:hint="eastAsia"/>
                <w:color w:val="000000"/>
                <w:sz w:val="18"/>
                <w:szCs w:val="18"/>
              </w:rPr>
              <w:t>2</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ign w:val="center"/>
          </w:tcPr>
          <w:p>
            <w:pPr>
              <w:spacing w:line="250" w:lineRule="exact"/>
              <w:rPr>
                <w:color w:val="000000"/>
                <w:sz w:val="18"/>
                <w:szCs w:val="18"/>
              </w:rPr>
            </w:pPr>
          </w:p>
        </w:tc>
        <w:tc>
          <w:tcPr>
            <w:tcW w:w="580" w:type="dxa"/>
            <w:vMerge w:val="continue"/>
            <w:noWrap/>
            <w:vAlign w:val="center"/>
          </w:tcPr>
          <w:p>
            <w:pPr>
              <w:spacing w:line="250" w:lineRule="exact"/>
              <w:rPr>
                <w:color w:val="000000"/>
                <w:sz w:val="18"/>
                <w:szCs w:val="18"/>
              </w:rPr>
            </w:pPr>
          </w:p>
        </w:tc>
        <w:tc>
          <w:tcPr>
            <w:tcW w:w="2112"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部门结转结余资金管理</w:t>
            </w:r>
            <w:r>
              <w:rPr>
                <w:rFonts w:hint="eastAsia"/>
                <w:color w:val="000000"/>
                <w:sz w:val="18"/>
                <w:szCs w:val="18"/>
              </w:rPr>
              <w:t>（4）</w:t>
            </w:r>
          </w:p>
        </w:tc>
        <w:tc>
          <w:tcPr>
            <w:tcW w:w="3239" w:type="dxa"/>
            <w:gridSpan w:val="3"/>
            <w:vMerge w:val="continue"/>
            <w:noWrap/>
            <w:tcMar>
              <w:top w:w="15" w:type="dxa"/>
              <w:left w:w="15" w:type="dxa"/>
              <w:bottom w:w="0" w:type="dxa"/>
              <w:right w:w="15" w:type="dxa"/>
            </w:tcMar>
            <w:vAlign w:val="center"/>
          </w:tcPr>
          <w:p>
            <w:pPr>
              <w:spacing w:line="250" w:lineRule="exact"/>
              <w:rPr>
                <w:color w:val="000000"/>
                <w:sz w:val="18"/>
                <w:szCs w:val="18"/>
              </w:rPr>
            </w:pPr>
          </w:p>
        </w:tc>
        <w:tc>
          <w:tcPr>
            <w:tcW w:w="878" w:type="dxa"/>
            <w:noWrap/>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708" w:type="dxa"/>
            <w:noWrap/>
            <w:vAlign w:val="center"/>
          </w:tcPr>
          <w:p>
            <w:pPr>
              <w:tabs>
                <w:tab w:val="left" w:pos="540"/>
                <w:tab w:val="center" w:pos="997"/>
              </w:tabs>
              <w:spacing w:line="250" w:lineRule="exact"/>
              <w:jc w:val="center"/>
              <w:rPr>
                <w:color w:val="000000"/>
                <w:sz w:val="18"/>
                <w:szCs w:val="18"/>
              </w:rPr>
            </w:pPr>
            <w:r>
              <w:rPr>
                <w:rFonts w:hint="eastAsia"/>
                <w:color w:val="000000"/>
                <w:sz w:val="18"/>
                <w:szCs w:val="18"/>
              </w:rPr>
              <w:t>4</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ign w:val="center"/>
          </w:tcPr>
          <w:p>
            <w:pPr>
              <w:spacing w:line="250" w:lineRule="exact"/>
              <w:rPr>
                <w:color w:val="000000"/>
                <w:sz w:val="18"/>
                <w:szCs w:val="18"/>
              </w:rPr>
            </w:pPr>
          </w:p>
        </w:tc>
        <w:tc>
          <w:tcPr>
            <w:tcW w:w="580" w:type="dxa"/>
            <w:vMerge w:val="continue"/>
            <w:noWrap/>
            <w:vAlign w:val="center"/>
          </w:tcPr>
          <w:p>
            <w:pPr>
              <w:spacing w:line="250" w:lineRule="exact"/>
              <w:rPr>
                <w:color w:val="000000"/>
                <w:sz w:val="18"/>
                <w:szCs w:val="18"/>
              </w:rPr>
            </w:pPr>
          </w:p>
        </w:tc>
        <w:tc>
          <w:tcPr>
            <w:tcW w:w="2112"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预算绩效管理</w:t>
            </w:r>
            <w:r>
              <w:rPr>
                <w:rFonts w:hint="eastAsia"/>
                <w:color w:val="000000"/>
                <w:sz w:val="18"/>
                <w:szCs w:val="18"/>
              </w:rPr>
              <w:t>（5）</w:t>
            </w:r>
          </w:p>
        </w:tc>
        <w:tc>
          <w:tcPr>
            <w:tcW w:w="3239" w:type="dxa"/>
            <w:gridSpan w:val="3"/>
            <w:vMerge w:val="continue"/>
            <w:noWrap/>
            <w:tcMar>
              <w:top w:w="15" w:type="dxa"/>
              <w:left w:w="15" w:type="dxa"/>
              <w:bottom w:w="0" w:type="dxa"/>
              <w:right w:w="15" w:type="dxa"/>
            </w:tcMar>
            <w:vAlign w:val="center"/>
          </w:tcPr>
          <w:p>
            <w:pPr>
              <w:spacing w:line="250" w:lineRule="exact"/>
              <w:rPr>
                <w:color w:val="000000"/>
                <w:sz w:val="18"/>
                <w:szCs w:val="18"/>
              </w:rPr>
            </w:pPr>
          </w:p>
        </w:tc>
        <w:tc>
          <w:tcPr>
            <w:tcW w:w="878" w:type="dxa"/>
            <w:noWrap/>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708" w:type="dxa"/>
            <w:noWrap/>
            <w:vAlign w:val="center"/>
          </w:tcPr>
          <w:p>
            <w:pPr>
              <w:tabs>
                <w:tab w:val="left" w:pos="540"/>
                <w:tab w:val="center" w:pos="997"/>
              </w:tabs>
              <w:spacing w:line="250" w:lineRule="exact"/>
              <w:jc w:val="center"/>
              <w:rPr>
                <w:color w:val="000000"/>
                <w:sz w:val="18"/>
                <w:szCs w:val="18"/>
              </w:rPr>
            </w:pPr>
            <w:r>
              <w:rPr>
                <w:rFonts w:hint="eastAsia"/>
                <w:color w:val="000000"/>
                <w:sz w:val="18"/>
                <w:szCs w:val="18"/>
              </w:rPr>
              <w:t>4</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ign w:val="center"/>
          </w:tcPr>
          <w:p>
            <w:pPr>
              <w:spacing w:line="250" w:lineRule="exact"/>
              <w:rPr>
                <w:color w:val="000000"/>
                <w:sz w:val="18"/>
                <w:szCs w:val="18"/>
              </w:rPr>
            </w:pPr>
          </w:p>
        </w:tc>
        <w:tc>
          <w:tcPr>
            <w:tcW w:w="580" w:type="dxa"/>
            <w:vMerge w:val="continue"/>
            <w:noWrap/>
            <w:vAlign w:val="center"/>
          </w:tcPr>
          <w:p>
            <w:pPr>
              <w:spacing w:line="250" w:lineRule="exact"/>
              <w:rPr>
                <w:color w:val="000000"/>
                <w:sz w:val="18"/>
                <w:szCs w:val="18"/>
              </w:rPr>
            </w:pPr>
          </w:p>
        </w:tc>
        <w:tc>
          <w:tcPr>
            <w:tcW w:w="2112"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预决算信息公开管理</w:t>
            </w:r>
            <w:r>
              <w:rPr>
                <w:rFonts w:hint="eastAsia"/>
                <w:color w:val="000000"/>
                <w:sz w:val="18"/>
                <w:szCs w:val="18"/>
              </w:rPr>
              <w:t>（4）</w:t>
            </w:r>
          </w:p>
        </w:tc>
        <w:tc>
          <w:tcPr>
            <w:tcW w:w="3239" w:type="dxa"/>
            <w:gridSpan w:val="3"/>
            <w:vMerge w:val="continue"/>
            <w:noWrap/>
            <w:tcMar>
              <w:top w:w="15" w:type="dxa"/>
              <w:left w:w="15" w:type="dxa"/>
              <w:bottom w:w="0" w:type="dxa"/>
              <w:right w:w="15" w:type="dxa"/>
            </w:tcMar>
            <w:vAlign w:val="center"/>
          </w:tcPr>
          <w:p>
            <w:pPr>
              <w:spacing w:line="250" w:lineRule="exact"/>
              <w:rPr>
                <w:color w:val="000000"/>
                <w:sz w:val="18"/>
                <w:szCs w:val="18"/>
              </w:rPr>
            </w:pPr>
          </w:p>
        </w:tc>
        <w:tc>
          <w:tcPr>
            <w:tcW w:w="878" w:type="dxa"/>
            <w:noWrap/>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708" w:type="dxa"/>
            <w:noWrap/>
            <w:vAlign w:val="center"/>
          </w:tcPr>
          <w:p>
            <w:pPr>
              <w:tabs>
                <w:tab w:val="left" w:pos="540"/>
                <w:tab w:val="center" w:pos="997"/>
              </w:tabs>
              <w:spacing w:line="250" w:lineRule="exact"/>
              <w:jc w:val="center"/>
              <w:rPr>
                <w:color w:val="000000"/>
                <w:sz w:val="18"/>
                <w:szCs w:val="18"/>
              </w:rPr>
            </w:pPr>
            <w:r>
              <w:rPr>
                <w:rFonts w:hint="eastAsia"/>
                <w:color w:val="000000"/>
                <w:sz w:val="18"/>
                <w:szCs w:val="18"/>
              </w:rPr>
              <w:t>4</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ign w:val="center"/>
          </w:tcPr>
          <w:p>
            <w:pPr>
              <w:spacing w:line="250" w:lineRule="exact"/>
              <w:rPr>
                <w:color w:val="000000"/>
                <w:sz w:val="18"/>
                <w:szCs w:val="18"/>
              </w:rPr>
            </w:pPr>
          </w:p>
        </w:tc>
        <w:tc>
          <w:tcPr>
            <w:tcW w:w="580" w:type="dxa"/>
            <w:vMerge w:val="continue"/>
            <w:noWrap/>
            <w:vAlign w:val="center"/>
          </w:tcPr>
          <w:p>
            <w:pPr>
              <w:spacing w:line="250" w:lineRule="exact"/>
              <w:rPr>
                <w:color w:val="000000"/>
                <w:sz w:val="18"/>
                <w:szCs w:val="18"/>
              </w:rPr>
            </w:pPr>
          </w:p>
        </w:tc>
        <w:tc>
          <w:tcPr>
            <w:tcW w:w="2112"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财政监督管理</w:t>
            </w:r>
            <w:r>
              <w:rPr>
                <w:rFonts w:hint="eastAsia"/>
                <w:color w:val="000000"/>
                <w:sz w:val="18"/>
                <w:szCs w:val="18"/>
              </w:rPr>
              <w:t>（3）</w:t>
            </w:r>
          </w:p>
        </w:tc>
        <w:tc>
          <w:tcPr>
            <w:tcW w:w="3239" w:type="dxa"/>
            <w:gridSpan w:val="3"/>
            <w:vMerge w:val="continue"/>
            <w:noWrap/>
            <w:tcMar>
              <w:top w:w="15" w:type="dxa"/>
              <w:left w:w="15" w:type="dxa"/>
              <w:bottom w:w="0" w:type="dxa"/>
              <w:right w:w="15" w:type="dxa"/>
            </w:tcMar>
            <w:vAlign w:val="center"/>
          </w:tcPr>
          <w:p>
            <w:pPr>
              <w:spacing w:line="250" w:lineRule="exact"/>
              <w:rPr>
                <w:color w:val="000000"/>
                <w:sz w:val="18"/>
                <w:szCs w:val="18"/>
              </w:rPr>
            </w:pPr>
          </w:p>
        </w:tc>
        <w:tc>
          <w:tcPr>
            <w:tcW w:w="878" w:type="dxa"/>
            <w:noWrap/>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708" w:type="dxa"/>
            <w:noWrap/>
            <w:vAlign w:val="center"/>
          </w:tcPr>
          <w:p>
            <w:pPr>
              <w:tabs>
                <w:tab w:val="left" w:pos="540"/>
                <w:tab w:val="center" w:pos="997"/>
              </w:tabs>
              <w:spacing w:line="250" w:lineRule="exact"/>
              <w:jc w:val="center"/>
              <w:rPr>
                <w:color w:val="000000"/>
                <w:sz w:val="18"/>
                <w:szCs w:val="18"/>
              </w:rPr>
            </w:pPr>
            <w:r>
              <w:rPr>
                <w:rFonts w:hint="eastAsia"/>
                <w:color w:val="000000"/>
                <w:sz w:val="18"/>
                <w:szCs w:val="18"/>
              </w:rPr>
              <w:t>4</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ign w:val="center"/>
          </w:tcPr>
          <w:p>
            <w:pPr>
              <w:spacing w:line="250" w:lineRule="exact"/>
              <w:rPr>
                <w:color w:val="000000"/>
                <w:sz w:val="18"/>
                <w:szCs w:val="18"/>
              </w:rPr>
            </w:pPr>
          </w:p>
        </w:tc>
        <w:tc>
          <w:tcPr>
            <w:tcW w:w="580" w:type="dxa"/>
            <w:vMerge w:val="continue"/>
            <w:noWrap/>
            <w:vAlign w:val="center"/>
          </w:tcPr>
          <w:p>
            <w:pPr>
              <w:spacing w:line="250" w:lineRule="exact"/>
              <w:rPr>
                <w:color w:val="000000"/>
                <w:sz w:val="18"/>
                <w:szCs w:val="18"/>
              </w:rPr>
            </w:pPr>
          </w:p>
        </w:tc>
        <w:tc>
          <w:tcPr>
            <w:tcW w:w="2112"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政府采购管理</w:t>
            </w:r>
            <w:r>
              <w:rPr>
                <w:rFonts w:hint="eastAsia"/>
                <w:color w:val="000000"/>
                <w:sz w:val="18"/>
                <w:szCs w:val="18"/>
              </w:rPr>
              <w:t>（3）</w:t>
            </w:r>
          </w:p>
        </w:tc>
        <w:tc>
          <w:tcPr>
            <w:tcW w:w="3239" w:type="dxa"/>
            <w:gridSpan w:val="3"/>
            <w:vMerge w:val="continue"/>
            <w:noWrap/>
            <w:tcMar>
              <w:top w:w="15" w:type="dxa"/>
              <w:left w:w="15" w:type="dxa"/>
              <w:bottom w:w="0" w:type="dxa"/>
              <w:right w:w="15" w:type="dxa"/>
            </w:tcMar>
            <w:vAlign w:val="center"/>
          </w:tcPr>
          <w:p>
            <w:pPr>
              <w:spacing w:line="250" w:lineRule="exact"/>
              <w:rPr>
                <w:color w:val="000000"/>
                <w:sz w:val="18"/>
                <w:szCs w:val="18"/>
              </w:rPr>
            </w:pPr>
          </w:p>
        </w:tc>
        <w:tc>
          <w:tcPr>
            <w:tcW w:w="878" w:type="dxa"/>
            <w:noWrap/>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708" w:type="dxa"/>
            <w:noWrap/>
            <w:vAlign w:val="center"/>
          </w:tcPr>
          <w:p>
            <w:pPr>
              <w:tabs>
                <w:tab w:val="left" w:pos="540"/>
                <w:tab w:val="center" w:pos="997"/>
              </w:tabs>
              <w:spacing w:line="250" w:lineRule="exact"/>
              <w:jc w:val="center"/>
              <w:rPr>
                <w:color w:val="000000"/>
                <w:sz w:val="18"/>
                <w:szCs w:val="18"/>
              </w:rPr>
            </w:pPr>
            <w:r>
              <w:rPr>
                <w:rFonts w:hint="eastAsia"/>
                <w:color w:val="000000"/>
                <w:sz w:val="18"/>
                <w:szCs w:val="18"/>
              </w:rPr>
              <w:t>4</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ign w:val="center"/>
          </w:tcPr>
          <w:p>
            <w:pPr>
              <w:spacing w:line="250" w:lineRule="exact"/>
              <w:rPr>
                <w:color w:val="000000"/>
                <w:sz w:val="18"/>
                <w:szCs w:val="18"/>
              </w:rPr>
            </w:pPr>
          </w:p>
        </w:tc>
        <w:tc>
          <w:tcPr>
            <w:tcW w:w="580" w:type="dxa"/>
            <w:vMerge w:val="continue"/>
            <w:noWrap/>
            <w:vAlign w:val="center"/>
          </w:tcPr>
          <w:p>
            <w:pPr>
              <w:spacing w:line="250" w:lineRule="exact"/>
              <w:rPr>
                <w:color w:val="000000"/>
                <w:sz w:val="18"/>
                <w:szCs w:val="18"/>
              </w:rPr>
            </w:pPr>
          </w:p>
        </w:tc>
        <w:tc>
          <w:tcPr>
            <w:tcW w:w="2112"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资产管理</w:t>
            </w:r>
            <w:r>
              <w:rPr>
                <w:rFonts w:hint="eastAsia"/>
                <w:color w:val="000000"/>
                <w:sz w:val="18"/>
                <w:szCs w:val="18"/>
              </w:rPr>
              <w:t>（4）</w:t>
            </w:r>
          </w:p>
        </w:tc>
        <w:tc>
          <w:tcPr>
            <w:tcW w:w="3239" w:type="dxa"/>
            <w:gridSpan w:val="3"/>
            <w:vMerge w:val="continue"/>
            <w:noWrap/>
            <w:tcMar>
              <w:top w:w="15" w:type="dxa"/>
              <w:left w:w="15" w:type="dxa"/>
              <w:bottom w:w="0" w:type="dxa"/>
              <w:right w:w="15" w:type="dxa"/>
            </w:tcMar>
            <w:vAlign w:val="center"/>
          </w:tcPr>
          <w:p>
            <w:pPr>
              <w:spacing w:line="250" w:lineRule="exact"/>
              <w:rPr>
                <w:color w:val="000000"/>
                <w:sz w:val="18"/>
                <w:szCs w:val="18"/>
              </w:rPr>
            </w:pPr>
          </w:p>
        </w:tc>
        <w:tc>
          <w:tcPr>
            <w:tcW w:w="878" w:type="dxa"/>
            <w:noWrap/>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708" w:type="dxa"/>
            <w:noWrap/>
            <w:vAlign w:val="center"/>
          </w:tcPr>
          <w:p>
            <w:pPr>
              <w:tabs>
                <w:tab w:val="left" w:pos="540"/>
                <w:tab w:val="center" w:pos="997"/>
              </w:tabs>
              <w:spacing w:line="250" w:lineRule="exact"/>
              <w:jc w:val="center"/>
              <w:rPr>
                <w:color w:val="000000"/>
                <w:sz w:val="18"/>
                <w:szCs w:val="18"/>
              </w:rPr>
            </w:pPr>
            <w:r>
              <w:rPr>
                <w:rFonts w:hint="eastAsia"/>
                <w:color w:val="000000"/>
                <w:sz w:val="18"/>
                <w:szCs w:val="18"/>
              </w:rPr>
              <w:t>4</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restart"/>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产出指标</w:t>
            </w:r>
          </w:p>
        </w:tc>
        <w:tc>
          <w:tcPr>
            <w:tcW w:w="580" w:type="dxa"/>
            <w:vMerge w:val="restart"/>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40</w:t>
            </w:r>
          </w:p>
        </w:tc>
        <w:tc>
          <w:tcPr>
            <w:tcW w:w="2112" w:type="dxa"/>
            <w:vMerge w:val="restart"/>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数量指标</w:t>
            </w:r>
            <w:r>
              <w:rPr>
                <w:rFonts w:hint="eastAsia"/>
                <w:color w:val="000000"/>
                <w:sz w:val="18"/>
                <w:szCs w:val="18"/>
              </w:rPr>
              <w:t>（20）</w:t>
            </w:r>
          </w:p>
        </w:tc>
        <w:tc>
          <w:tcPr>
            <w:tcW w:w="1760" w:type="dxa"/>
            <w:noWrap/>
            <w:tcMar>
              <w:top w:w="15" w:type="dxa"/>
              <w:left w:w="15" w:type="dxa"/>
              <w:bottom w:w="0" w:type="dxa"/>
              <w:right w:w="15" w:type="dxa"/>
            </w:tcMar>
            <w:vAlign w:val="center"/>
          </w:tcPr>
          <w:p>
            <w:pPr>
              <w:spacing w:line="250" w:lineRule="exact"/>
              <w:rPr>
                <w:color w:val="000000"/>
                <w:sz w:val="18"/>
                <w:szCs w:val="18"/>
              </w:rPr>
            </w:pPr>
            <w:r>
              <w:rPr>
                <w:rFonts w:hint="eastAsia"/>
                <w:color w:val="000000"/>
                <w:sz w:val="18"/>
                <w:szCs w:val="18"/>
              </w:rPr>
              <w:t>残疾儿童康复人数</w:t>
            </w:r>
          </w:p>
        </w:tc>
        <w:tc>
          <w:tcPr>
            <w:tcW w:w="1479" w:type="dxa"/>
            <w:gridSpan w:val="2"/>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r>
              <w:rPr>
                <w:rFonts w:hint="eastAsia"/>
                <w:color w:val="000000"/>
                <w:sz w:val="18"/>
                <w:szCs w:val="18"/>
              </w:rPr>
              <w:t>360</w:t>
            </w:r>
          </w:p>
        </w:tc>
        <w:tc>
          <w:tcPr>
            <w:tcW w:w="878" w:type="dxa"/>
            <w:noWrap/>
            <w:tcMar>
              <w:top w:w="15" w:type="dxa"/>
              <w:left w:w="15" w:type="dxa"/>
              <w:bottom w:w="0" w:type="dxa"/>
              <w:right w:w="15" w:type="dxa"/>
            </w:tcMar>
            <w:vAlign w:val="center"/>
          </w:tcPr>
          <w:p>
            <w:pPr>
              <w:tabs>
                <w:tab w:val="left" w:pos="406"/>
              </w:tabs>
              <w:spacing w:line="250" w:lineRule="exact"/>
              <w:jc w:val="center"/>
              <w:rPr>
                <w:color w:val="000000"/>
                <w:sz w:val="18"/>
                <w:szCs w:val="18"/>
              </w:rPr>
            </w:pPr>
            <w:r>
              <w:rPr>
                <w:rFonts w:hint="eastAsia"/>
                <w:color w:val="000000"/>
                <w:sz w:val="18"/>
                <w:szCs w:val="18"/>
              </w:rPr>
              <w:t>445</w:t>
            </w:r>
          </w:p>
        </w:tc>
        <w:tc>
          <w:tcPr>
            <w:tcW w:w="708" w:type="dxa"/>
            <w:noWrap/>
            <w:vAlign w:val="center"/>
          </w:tcPr>
          <w:p>
            <w:pPr>
              <w:tabs>
                <w:tab w:val="left" w:pos="540"/>
                <w:tab w:val="center" w:pos="997"/>
              </w:tabs>
              <w:spacing w:line="250" w:lineRule="exact"/>
              <w:jc w:val="center"/>
              <w:rPr>
                <w:color w:val="000000"/>
                <w:sz w:val="18"/>
                <w:szCs w:val="18"/>
              </w:rPr>
            </w:pPr>
            <w:r>
              <w:rPr>
                <w:rFonts w:hint="eastAsia"/>
                <w:color w:val="000000"/>
                <w:sz w:val="18"/>
                <w:szCs w:val="18"/>
              </w:rPr>
              <w:t>7</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ign w:val="center"/>
          </w:tcPr>
          <w:p>
            <w:pPr>
              <w:spacing w:line="250" w:lineRule="exact"/>
              <w:rPr>
                <w:color w:val="000000"/>
                <w:sz w:val="18"/>
                <w:szCs w:val="18"/>
              </w:rPr>
            </w:pPr>
          </w:p>
        </w:tc>
        <w:tc>
          <w:tcPr>
            <w:tcW w:w="580" w:type="dxa"/>
            <w:vMerge w:val="continue"/>
            <w:noWrap/>
            <w:vAlign w:val="center"/>
          </w:tcPr>
          <w:p>
            <w:pPr>
              <w:spacing w:line="250" w:lineRule="exact"/>
              <w:rPr>
                <w:color w:val="000000"/>
                <w:sz w:val="18"/>
                <w:szCs w:val="18"/>
              </w:rPr>
            </w:pPr>
          </w:p>
        </w:tc>
        <w:tc>
          <w:tcPr>
            <w:tcW w:w="2112" w:type="dxa"/>
            <w:vMerge w:val="continue"/>
            <w:noWrap/>
            <w:vAlign w:val="center"/>
          </w:tcPr>
          <w:p>
            <w:pPr>
              <w:spacing w:line="250" w:lineRule="exact"/>
              <w:rPr>
                <w:color w:val="000000"/>
                <w:sz w:val="18"/>
                <w:szCs w:val="18"/>
              </w:rPr>
            </w:pPr>
          </w:p>
        </w:tc>
        <w:tc>
          <w:tcPr>
            <w:tcW w:w="1760" w:type="dxa"/>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残疾人培训</w:t>
            </w:r>
          </w:p>
        </w:tc>
        <w:tc>
          <w:tcPr>
            <w:tcW w:w="1479" w:type="dxa"/>
            <w:gridSpan w:val="2"/>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340</w:t>
            </w:r>
          </w:p>
        </w:tc>
        <w:tc>
          <w:tcPr>
            <w:tcW w:w="878" w:type="dxa"/>
            <w:noWrap/>
            <w:tcMar>
              <w:top w:w="15" w:type="dxa"/>
              <w:left w:w="15" w:type="dxa"/>
              <w:bottom w:w="0" w:type="dxa"/>
              <w:right w:w="15" w:type="dxa"/>
            </w:tcMar>
            <w:vAlign w:val="center"/>
          </w:tcPr>
          <w:p>
            <w:pPr>
              <w:tabs>
                <w:tab w:val="center" w:pos="435"/>
              </w:tabs>
              <w:spacing w:line="250" w:lineRule="exact"/>
              <w:jc w:val="center"/>
              <w:rPr>
                <w:color w:val="000000"/>
                <w:sz w:val="18"/>
                <w:szCs w:val="18"/>
              </w:rPr>
            </w:pPr>
            <w:r>
              <w:rPr>
                <w:rFonts w:hint="eastAsia"/>
                <w:color w:val="000000"/>
                <w:sz w:val="18"/>
                <w:szCs w:val="18"/>
              </w:rPr>
              <w:t>340</w:t>
            </w:r>
          </w:p>
        </w:tc>
        <w:tc>
          <w:tcPr>
            <w:tcW w:w="708" w:type="dxa"/>
            <w:noWrap/>
            <w:vAlign w:val="center"/>
          </w:tcPr>
          <w:p>
            <w:pPr>
              <w:tabs>
                <w:tab w:val="left" w:pos="540"/>
                <w:tab w:val="center" w:pos="997"/>
              </w:tabs>
              <w:spacing w:line="250" w:lineRule="exact"/>
              <w:jc w:val="center"/>
              <w:rPr>
                <w:color w:val="000000"/>
                <w:sz w:val="18"/>
                <w:szCs w:val="18"/>
              </w:rPr>
            </w:pPr>
            <w:r>
              <w:rPr>
                <w:rFonts w:hint="eastAsia"/>
                <w:color w:val="000000"/>
                <w:sz w:val="18"/>
                <w:szCs w:val="18"/>
              </w:rPr>
              <w:t>6</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ign w:val="center"/>
          </w:tcPr>
          <w:p>
            <w:pPr>
              <w:spacing w:line="250" w:lineRule="exact"/>
              <w:rPr>
                <w:color w:val="000000"/>
                <w:sz w:val="18"/>
                <w:szCs w:val="18"/>
              </w:rPr>
            </w:pPr>
          </w:p>
        </w:tc>
        <w:tc>
          <w:tcPr>
            <w:tcW w:w="580" w:type="dxa"/>
            <w:vMerge w:val="continue"/>
            <w:noWrap/>
            <w:vAlign w:val="center"/>
          </w:tcPr>
          <w:p>
            <w:pPr>
              <w:spacing w:line="250" w:lineRule="exact"/>
              <w:rPr>
                <w:color w:val="000000"/>
                <w:sz w:val="18"/>
                <w:szCs w:val="18"/>
              </w:rPr>
            </w:pPr>
          </w:p>
        </w:tc>
        <w:tc>
          <w:tcPr>
            <w:tcW w:w="2112" w:type="dxa"/>
            <w:vMerge w:val="continue"/>
            <w:noWrap/>
            <w:vAlign w:val="center"/>
          </w:tcPr>
          <w:p>
            <w:pPr>
              <w:spacing w:line="250" w:lineRule="exact"/>
              <w:rPr>
                <w:color w:val="000000"/>
                <w:sz w:val="18"/>
                <w:szCs w:val="18"/>
              </w:rPr>
            </w:pPr>
          </w:p>
        </w:tc>
        <w:tc>
          <w:tcPr>
            <w:tcW w:w="1760" w:type="dxa"/>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托养服务人数</w:t>
            </w:r>
          </w:p>
        </w:tc>
        <w:tc>
          <w:tcPr>
            <w:tcW w:w="1479" w:type="dxa"/>
            <w:gridSpan w:val="2"/>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280</w:t>
            </w:r>
            <w:r>
              <w:rPr>
                <w:color w:val="000000"/>
                <w:sz w:val="18"/>
                <w:szCs w:val="18"/>
              </w:rPr>
              <w:t>　</w:t>
            </w:r>
          </w:p>
        </w:tc>
        <w:tc>
          <w:tcPr>
            <w:tcW w:w="878" w:type="dxa"/>
            <w:noWrap/>
            <w:tcMar>
              <w:top w:w="15" w:type="dxa"/>
              <w:left w:w="15" w:type="dxa"/>
              <w:bottom w:w="0" w:type="dxa"/>
              <w:right w:w="15" w:type="dxa"/>
            </w:tcMar>
            <w:vAlign w:val="center"/>
          </w:tcPr>
          <w:p>
            <w:pPr>
              <w:tabs>
                <w:tab w:val="left" w:pos="301"/>
              </w:tabs>
              <w:spacing w:line="250" w:lineRule="exact"/>
              <w:jc w:val="center"/>
              <w:rPr>
                <w:color w:val="000000"/>
                <w:sz w:val="18"/>
                <w:szCs w:val="18"/>
              </w:rPr>
            </w:pPr>
            <w:r>
              <w:rPr>
                <w:rFonts w:hint="eastAsia"/>
                <w:color w:val="000000"/>
                <w:sz w:val="18"/>
                <w:szCs w:val="18"/>
              </w:rPr>
              <w:t>286</w:t>
            </w:r>
          </w:p>
        </w:tc>
        <w:tc>
          <w:tcPr>
            <w:tcW w:w="708" w:type="dxa"/>
            <w:noWrap/>
            <w:vAlign w:val="center"/>
          </w:tcPr>
          <w:p>
            <w:pPr>
              <w:tabs>
                <w:tab w:val="left" w:pos="540"/>
                <w:tab w:val="center" w:pos="997"/>
              </w:tabs>
              <w:spacing w:line="250" w:lineRule="exact"/>
              <w:jc w:val="center"/>
              <w:rPr>
                <w:color w:val="000000"/>
                <w:sz w:val="18"/>
                <w:szCs w:val="18"/>
              </w:rPr>
            </w:pPr>
            <w:r>
              <w:rPr>
                <w:rFonts w:hint="eastAsia"/>
                <w:color w:val="000000"/>
                <w:sz w:val="18"/>
                <w:szCs w:val="18"/>
              </w:rPr>
              <w:t>6</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ign w:val="center"/>
          </w:tcPr>
          <w:p>
            <w:pPr>
              <w:spacing w:line="250" w:lineRule="exact"/>
              <w:rPr>
                <w:color w:val="000000"/>
                <w:sz w:val="18"/>
                <w:szCs w:val="18"/>
              </w:rPr>
            </w:pPr>
          </w:p>
        </w:tc>
        <w:tc>
          <w:tcPr>
            <w:tcW w:w="580" w:type="dxa"/>
            <w:vMerge w:val="continue"/>
            <w:noWrap/>
            <w:vAlign w:val="center"/>
          </w:tcPr>
          <w:p>
            <w:pPr>
              <w:spacing w:line="250" w:lineRule="exact"/>
              <w:rPr>
                <w:color w:val="000000"/>
                <w:sz w:val="18"/>
                <w:szCs w:val="18"/>
              </w:rPr>
            </w:pPr>
          </w:p>
        </w:tc>
        <w:tc>
          <w:tcPr>
            <w:tcW w:w="2112" w:type="dxa"/>
            <w:vMerge w:val="restart"/>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质量指标</w:t>
            </w:r>
            <w:r>
              <w:rPr>
                <w:rFonts w:hint="eastAsia"/>
                <w:color w:val="000000"/>
                <w:sz w:val="18"/>
                <w:szCs w:val="18"/>
              </w:rPr>
              <w:t>（10）</w:t>
            </w:r>
          </w:p>
        </w:tc>
        <w:tc>
          <w:tcPr>
            <w:tcW w:w="1760" w:type="dxa"/>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康复训练有效率</w:t>
            </w:r>
          </w:p>
        </w:tc>
        <w:tc>
          <w:tcPr>
            <w:tcW w:w="1479" w:type="dxa"/>
            <w:gridSpan w:val="2"/>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r>
              <w:rPr>
                <w:rFonts w:hint="eastAsia"/>
                <w:color w:val="000000"/>
                <w:sz w:val="18"/>
                <w:szCs w:val="18"/>
              </w:rPr>
              <w:t>85%</w:t>
            </w:r>
          </w:p>
        </w:tc>
        <w:tc>
          <w:tcPr>
            <w:tcW w:w="878" w:type="dxa"/>
            <w:noWrap/>
            <w:tcMar>
              <w:top w:w="15" w:type="dxa"/>
              <w:left w:w="15" w:type="dxa"/>
              <w:bottom w:w="0" w:type="dxa"/>
              <w:right w:w="15" w:type="dxa"/>
            </w:tcMar>
            <w:vAlign w:val="center"/>
          </w:tcPr>
          <w:p>
            <w:pPr>
              <w:tabs>
                <w:tab w:val="left" w:pos="456"/>
              </w:tabs>
              <w:spacing w:line="250" w:lineRule="exact"/>
              <w:jc w:val="center"/>
              <w:rPr>
                <w:color w:val="000000"/>
                <w:sz w:val="18"/>
                <w:szCs w:val="18"/>
              </w:rPr>
            </w:pPr>
            <w:r>
              <w:rPr>
                <w:rFonts w:hint="eastAsia"/>
                <w:color w:val="000000"/>
                <w:sz w:val="18"/>
                <w:szCs w:val="18"/>
              </w:rPr>
              <w:t>95%</w:t>
            </w:r>
          </w:p>
        </w:tc>
        <w:tc>
          <w:tcPr>
            <w:tcW w:w="708" w:type="dxa"/>
            <w:noWrap/>
            <w:vAlign w:val="center"/>
          </w:tcPr>
          <w:p>
            <w:pPr>
              <w:tabs>
                <w:tab w:val="left" w:pos="540"/>
                <w:tab w:val="center" w:pos="997"/>
              </w:tabs>
              <w:spacing w:line="250" w:lineRule="exact"/>
              <w:jc w:val="center"/>
              <w:rPr>
                <w:color w:val="000000"/>
                <w:sz w:val="18"/>
                <w:szCs w:val="18"/>
              </w:rPr>
            </w:pPr>
            <w:r>
              <w:rPr>
                <w:rFonts w:hint="eastAsia"/>
                <w:color w:val="000000"/>
                <w:sz w:val="18"/>
                <w:szCs w:val="18"/>
              </w:rPr>
              <w:t>5</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ign w:val="center"/>
          </w:tcPr>
          <w:p>
            <w:pPr>
              <w:spacing w:line="250" w:lineRule="exact"/>
              <w:rPr>
                <w:color w:val="000000"/>
                <w:sz w:val="18"/>
                <w:szCs w:val="18"/>
              </w:rPr>
            </w:pPr>
          </w:p>
        </w:tc>
        <w:tc>
          <w:tcPr>
            <w:tcW w:w="580" w:type="dxa"/>
            <w:vMerge w:val="continue"/>
            <w:noWrap/>
            <w:vAlign w:val="center"/>
          </w:tcPr>
          <w:p>
            <w:pPr>
              <w:spacing w:line="250" w:lineRule="exact"/>
              <w:rPr>
                <w:color w:val="000000"/>
                <w:sz w:val="18"/>
                <w:szCs w:val="18"/>
              </w:rPr>
            </w:pPr>
          </w:p>
        </w:tc>
        <w:tc>
          <w:tcPr>
            <w:tcW w:w="2112" w:type="dxa"/>
            <w:vMerge w:val="continue"/>
            <w:noWrap/>
            <w:vAlign w:val="center"/>
          </w:tcPr>
          <w:p>
            <w:pPr>
              <w:spacing w:line="250" w:lineRule="exact"/>
              <w:rPr>
                <w:color w:val="000000"/>
                <w:sz w:val="18"/>
                <w:szCs w:val="18"/>
              </w:rPr>
            </w:pPr>
          </w:p>
        </w:tc>
        <w:tc>
          <w:tcPr>
            <w:tcW w:w="1760" w:type="dxa"/>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kern w:val="0"/>
                <w:sz w:val="18"/>
                <w:szCs w:val="18"/>
              </w:rPr>
              <w:t>辅助器具合格率</w:t>
            </w:r>
          </w:p>
        </w:tc>
        <w:tc>
          <w:tcPr>
            <w:tcW w:w="1479" w:type="dxa"/>
            <w:gridSpan w:val="2"/>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95%</w:t>
            </w:r>
            <w:r>
              <w:rPr>
                <w:color w:val="000000"/>
                <w:sz w:val="18"/>
                <w:szCs w:val="18"/>
              </w:rPr>
              <w:t>　</w:t>
            </w:r>
          </w:p>
        </w:tc>
        <w:tc>
          <w:tcPr>
            <w:tcW w:w="878" w:type="dxa"/>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98%</w:t>
            </w:r>
          </w:p>
        </w:tc>
        <w:tc>
          <w:tcPr>
            <w:tcW w:w="708" w:type="dxa"/>
            <w:noWrap/>
            <w:vAlign w:val="center"/>
          </w:tcPr>
          <w:p>
            <w:pPr>
              <w:tabs>
                <w:tab w:val="left" w:pos="540"/>
                <w:tab w:val="center" w:pos="997"/>
              </w:tabs>
              <w:spacing w:line="250" w:lineRule="exact"/>
              <w:jc w:val="center"/>
              <w:rPr>
                <w:color w:val="000000"/>
                <w:sz w:val="18"/>
                <w:szCs w:val="18"/>
              </w:rPr>
            </w:pPr>
            <w:r>
              <w:rPr>
                <w:rFonts w:hint="eastAsia"/>
                <w:color w:val="000000"/>
                <w:sz w:val="18"/>
                <w:szCs w:val="18"/>
              </w:rPr>
              <w:t>5</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ign w:val="center"/>
          </w:tcPr>
          <w:p>
            <w:pPr>
              <w:spacing w:line="250" w:lineRule="exact"/>
              <w:rPr>
                <w:color w:val="000000"/>
                <w:sz w:val="18"/>
                <w:szCs w:val="18"/>
              </w:rPr>
            </w:pPr>
          </w:p>
        </w:tc>
        <w:tc>
          <w:tcPr>
            <w:tcW w:w="580" w:type="dxa"/>
            <w:vMerge w:val="continue"/>
            <w:noWrap/>
            <w:vAlign w:val="center"/>
          </w:tcPr>
          <w:p>
            <w:pPr>
              <w:spacing w:line="250" w:lineRule="exact"/>
              <w:rPr>
                <w:color w:val="000000"/>
                <w:sz w:val="18"/>
                <w:szCs w:val="18"/>
              </w:rPr>
            </w:pPr>
          </w:p>
        </w:tc>
        <w:tc>
          <w:tcPr>
            <w:tcW w:w="2112" w:type="dxa"/>
            <w:vMerge w:val="restart"/>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时效指标</w:t>
            </w:r>
            <w:r>
              <w:rPr>
                <w:rFonts w:hint="eastAsia"/>
                <w:color w:val="000000"/>
                <w:sz w:val="18"/>
                <w:szCs w:val="18"/>
              </w:rPr>
              <w:t>（10）</w:t>
            </w:r>
          </w:p>
        </w:tc>
        <w:tc>
          <w:tcPr>
            <w:tcW w:w="1760" w:type="dxa"/>
            <w:noWrap/>
            <w:tcMar>
              <w:top w:w="15" w:type="dxa"/>
              <w:left w:w="15" w:type="dxa"/>
              <w:bottom w:w="0" w:type="dxa"/>
              <w:right w:w="15" w:type="dxa"/>
            </w:tcMar>
            <w:vAlign w:val="center"/>
          </w:tcPr>
          <w:p>
            <w:pPr>
              <w:spacing w:line="250" w:lineRule="exact"/>
              <w:rPr>
                <w:color w:val="000000"/>
                <w:sz w:val="18"/>
                <w:szCs w:val="18"/>
              </w:rPr>
            </w:pPr>
            <w:r>
              <w:rPr>
                <w:rFonts w:hint="eastAsia"/>
                <w:color w:val="000000"/>
                <w:sz w:val="18"/>
                <w:szCs w:val="18"/>
              </w:rPr>
              <w:t>无障碍改造完成时间</w:t>
            </w:r>
          </w:p>
        </w:tc>
        <w:tc>
          <w:tcPr>
            <w:tcW w:w="1479" w:type="dxa"/>
            <w:gridSpan w:val="2"/>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10月底</w:t>
            </w:r>
          </w:p>
        </w:tc>
        <w:tc>
          <w:tcPr>
            <w:tcW w:w="878" w:type="dxa"/>
            <w:noWrap/>
            <w:tcMar>
              <w:top w:w="15" w:type="dxa"/>
              <w:left w:w="15" w:type="dxa"/>
              <w:bottom w:w="0" w:type="dxa"/>
              <w:right w:w="15" w:type="dxa"/>
            </w:tcMar>
            <w:vAlign w:val="center"/>
          </w:tcPr>
          <w:p>
            <w:pPr>
              <w:tabs>
                <w:tab w:val="left" w:pos="316"/>
              </w:tabs>
              <w:spacing w:line="250" w:lineRule="exact"/>
              <w:jc w:val="center"/>
              <w:rPr>
                <w:color w:val="000000"/>
                <w:sz w:val="18"/>
                <w:szCs w:val="18"/>
              </w:rPr>
            </w:pPr>
            <w:r>
              <w:rPr>
                <w:rFonts w:hint="eastAsia"/>
                <w:color w:val="000000"/>
                <w:sz w:val="18"/>
                <w:szCs w:val="18"/>
              </w:rPr>
              <w:t>完成</w:t>
            </w:r>
          </w:p>
        </w:tc>
        <w:tc>
          <w:tcPr>
            <w:tcW w:w="708" w:type="dxa"/>
            <w:noWrap/>
            <w:vAlign w:val="center"/>
          </w:tcPr>
          <w:p>
            <w:pPr>
              <w:tabs>
                <w:tab w:val="left" w:pos="540"/>
                <w:tab w:val="center" w:pos="997"/>
              </w:tabs>
              <w:spacing w:line="250" w:lineRule="exact"/>
              <w:jc w:val="center"/>
              <w:rPr>
                <w:color w:val="000000"/>
                <w:sz w:val="18"/>
                <w:szCs w:val="18"/>
              </w:rPr>
            </w:pPr>
            <w:r>
              <w:rPr>
                <w:rFonts w:hint="eastAsia"/>
                <w:color w:val="000000"/>
                <w:sz w:val="18"/>
                <w:szCs w:val="18"/>
              </w:rPr>
              <w:t>3</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ign w:val="center"/>
          </w:tcPr>
          <w:p>
            <w:pPr>
              <w:spacing w:line="250" w:lineRule="exact"/>
              <w:rPr>
                <w:color w:val="000000"/>
                <w:sz w:val="18"/>
                <w:szCs w:val="18"/>
              </w:rPr>
            </w:pPr>
          </w:p>
        </w:tc>
        <w:tc>
          <w:tcPr>
            <w:tcW w:w="580" w:type="dxa"/>
            <w:vMerge w:val="continue"/>
            <w:noWrap/>
            <w:vAlign w:val="center"/>
          </w:tcPr>
          <w:p>
            <w:pPr>
              <w:spacing w:line="250" w:lineRule="exact"/>
              <w:rPr>
                <w:color w:val="000000"/>
                <w:sz w:val="18"/>
                <w:szCs w:val="18"/>
              </w:rPr>
            </w:pPr>
          </w:p>
        </w:tc>
        <w:tc>
          <w:tcPr>
            <w:tcW w:w="2112" w:type="dxa"/>
            <w:vMerge w:val="continue"/>
            <w:noWrap/>
            <w:vAlign w:val="center"/>
          </w:tcPr>
          <w:p>
            <w:pPr>
              <w:spacing w:line="250" w:lineRule="exact"/>
              <w:rPr>
                <w:color w:val="000000"/>
                <w:sz w:val="18"/>
                <w:szCs w:val="18"/>
              </w:rPr>
            </w:pPr>
          </w:p>
        </w:tc>
        <w:tc>
          <w:tcPr>
            <w:tcW w:w="1760" w:type="dxa"/>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助学金按时发放</w:t>
            </w:r>
          </w:p>
        </w:tc>
        <w:tc>
          <w:tcPr>
            <w:tcW w:w="1479" w:type="dxa"/>
            <w:gridSpan w:val="2"/>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11月底</w:t>
            </w:r>
          </w:p>
        </w:tc>
        <w:tc>
          <w:tcPr>
            <w:tcW w:w="878" w:type="dxa"/>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完成</w:t>
            </w:r>
          </w:p>
        </w:tc>
        <w:tc>
          <w:tcPr>
            <w:tcW w:w="708" w:type="dxa"/>
            <w:noWrap/>
            <w:vAlign w:val="center"/>
          </w:tcPr>
          <w:p>
            <w:pPr>
              <w:tabs>
                <w:tab w:val="left" w:pos="540"/>
                <w:tab w:val="center" w:pos="997"/>
              </w:tabs>
              <w:spacing w:line="250" w:lineRule="exact"/>
              <w:jc w:val="center"/>
              <w:rPr>
                <w:color w:val="000000"/>
                <w:sz w:val="18"/>
                <w:szCs w:val="18"/>
              </w:rPr>
            </w:pPr>
            <w:r>
              <w:rPr>
                <w:rFonts w:hint="eastAsia"/>
                <w:color w:val="000000"/>
                <w:sz w:val="18"/>
                <w:szCs w:val="18"/>
              </w:rPr>
              <w:t>3</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tcBorders>
              <w:bottom w:val="single" w:color="auto" w:sz="6" w:space="0"/>
            </w:tcBorders>
            <w:noWrap/>
            <w:vAlign w:val="center"/>
          </w:tcPr>
          <w:p>
            <w:pPr>
              <w:spacing w:line="250" w:lineRule="exact"/>
              <w:rPr>
                <w:color w:val="000000"/>
                <w:sz w:val="18"/>
                <w:szCs w:val="18"/>
              </w:rPr>
            </w:pPr>
          </w:p>
        </w:tc>
        <w:tc>
          <w:tcPr>
            <w:tcW w:w="580" w:type="dxa"/>
            <w:vMerge w:val="continue"/>
            <w:tcBorders>
              <w:bottom w:val="single" w:color="auto" w:sz="6" w:space="0"/>
            </w:tcBorders>
            <w:noWrap/>
            <w:vAlign w:val="center"/>
          </w:tcPr>
          <w:p>
            <w:pPr>
              <w:spacing w:line="250" w:lineRule="exact"/>
              <w:rPr>
                <w:color w:val="000000"/>
                <w:sz w:val="18"/>
                <w:szCs w:val="18"/>
              </w:rPr>
            </w:pPr>
          </w:p>
        </w:tc>
        <w:tc>
          <w:tcPr>
            <w:tcW w:w="2112" w:type="dxa"/>
            <w:vMerge w:val="continue"/>
            <w:tcBorders>
              <w:bottom w:val="single" w:color="auto" w:sz="4" w:space="0"/>
            </w:tcBorders>
            <w:noWrap/>
            <w:tcMar>
              <w:top w:w="15" w:type="dxa"/>
              <w:left w:w="15" w:type="dxa"/>
              <w:bottom w:w="0" w:type="dxa"/>
              <w:right w:w="15" w:type="dxa"/>
            </w:tcMar>
            <w:vAlign w:val="center"/>
          </w:tcPr>
          <w:p>
            <w:pPr>
              <w:spacing w:line="250" w:lineRule="exact"/>
              <w:jc w:val="center"/>
              <w:rPr>
                <w:color w:val="000000"/>
                <w:sz w:val="18"/>
                <w:szCs w:val="18"/>
              </w:rPr>
            </w:pPr>
          </w:p>
        </w:tc>
        <w:tc>
          <w:tcPr>
            <w:tcW w:w="1760" w:type="dxa"/>
            <w:noWrap/>
            <w:tcMar>
              <w:top w:w="15" w:type="dxa"/>
              <w:left w:w="15" w:type="dxa"/>
              <w:bottom w:w="0" w:type="dxa"/>
              <w:right w:w="15" w:type="dxa"/>
            </w:tcMar>
            <w:vAlign w:val="center"/>
          </w:tcPr>
          <w:p>
            <w:pPr>
              <w:spacing w:line="250" w:lineRule="exact"/>
              <w:rPr>
                <w:color w:val="000000"/>
                <w:kern w:val="0"/>
                <w:sz w:val="18"/>
                <w:szCs w:val="18"/>
              </w:rPr>
            </w:pPr>
            <w:r>
              <w:rPr>
                <w:rFonts w:hint="eastAsia"/>
                <w:color w:val="000000"/>
                <w:kern w:val="0"/>
                <w:sz w:val="18"/>
                <w:szCs w:val="18"/>
              </w:rPr>
              <w:t>康复补助按时发放</w:t>
            </w:r>
          </w:p>
        </w:tc>
        <w:tc>
          <w:tcPr>
            <w:tcW w:w="1479" w:type="dxa"/>
            <w:gridSpan w:val="2"/>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12月底</w:t>
            </w:r>
          </w:p>
        </w:tc>
        <w:tc>
          <w:tcPr>
            <w:tcW w:w="878" w:type="dxa"/>
            <w:noWrap/>
            <w:tcMar>
              <w:top w:w="15" w:type="dxa"/>
              <w:left w:w="15" w:type="dxa"/>
              <w:bottom w:w="0" w:type="dxa"/>
              <w:right w:w="15" w:type="dxa"/>
            </w:tcMar>
            <w:vAlign w:val="center"/>
          </w:tcPr>
          <w:p>
            <w:pPr>
              <w:tabs>
                <w:tab w:val="center" w:pos="437"/>
              </w:tabs>
              <w:spacing w:line="250" w:lineRule="exact"/>
              <w:jc w:val="center"/>
              <w:rPr>
                <w:color w:val="000000"/>
                <w:sz w:val="18"/>
                <w:szCs w:val="18"/>
              </w:rPr>
            </w:pPr>
            <w:r>
              <w:rPr>
                <w:rFonts w:hint="eastAsia"/>
                <w:color w:val="000000"/>
                <w:sz w:val="18"/>
                <w:szCs w:val="18"/>
              </w:rPr>
              <w:t>完成</w:t>
            </w:r>
          </w:p>
        </w:tc>
        <w:tc>
          <w:tcPr>
            <w:tcW w:w="708" w:type="dxa"/>
            <w:noWrap/>
            <w:vAlign w:val="center"/>
          </w:tcPr>
          <w:p>
            <w:pPr>
              <w:tabs>
                <w:tab w:val="left" w:pos="540"/>
                <w:tab w:val="center" w:pos="997"/>
              </w:tabs>
              <w:spacing w:line="250" w:lineRule="exact"/>
              <w:jc w:val="center"/>
              <w:rPr>
                <w:color w:val="000000"/>
                <w:sz w:val="18"/>
                <w:szCs w:val="18"/>
              </w:rPr>
            </w:pPr>
            <w:r>
              <w:rPr>
                <w:rFonts w:hint="eastAsia"/>
                <w:color w:val="000000"/>
                <w:sz w:val="18"/>
                <w:szCs w:val="18"/>
              </w:rPr>
              <w:t>4</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restart"/>
            <w:tcBorders>
              <w:top w:val="single" w:color="auto" w:sz="6" w:space="0"/>
              <w:left w:val="single" w:color="auto" w:sz="6" w:space="0"/>
              <w:right w:val="single" w:color="auto" w:sz="6" w:space="0"/>
            </w:tcBorders>
            <w:noWrap/>
            <w:vAlign w:val="center"/>
          </w:tcPr>
          <w:p>
            <w:pPr>
              <w:spacing w:line="250" w:lineRule="exact"/>
              <w:jc w:val="center"/>
              <w:rPr>
                <w:color w:val="000000"/>
                <w:sz w:val="18"/>
                <w:szCs w:val="18"/>
              </w:rPr>
            </w:pPr>
            <w:r>
              <w:rPr>
                <w:rFonts w:hint="eastAsia"/>
                <w:color w:val="000000"/>
                <w:sz w:val="18"/>
                <w:szCs w:val="18"/>
              </w:rPr>
              <w:t>效益指标</w:t>
            </w:r>
          </w:p>
        </w:tc>
        <w:tc>
          <w:tcPr>
            <w:tcW w:w="580" w:type="dxa"/>
            <w:vMerge w:val="restart"/>
            <w:tcBorders>
              <w:top w:val="single" w:color="auto" w:sz="6" w:space="0"/>
              <w:left w:val="single" w:color="auto" w:sz="6" w:space="0"/>
            </w:tcBorders>
            <w:noWrap/>
            <w:vAlign w:val="center"/>
          </w:tcPr>
          <w:p>
            <w:pPr>
              <w:tabs>
                <w:tab w:val="left" w:pos="217"/>
              </w:tabs>
              <w:spacing w:line="250" w:lineRule="exact"/>
              <w:jc w:val="left"/>
              <w:rPr>
                <w:color w:val="000000"/>
                <w:sz w:val="18"/>
                <w:szCs w:val="18"/>
              </w:rPr>
            </w:pPr>
            <w:r>
              <w:rPr>
                <w:rFonts w:hint="eastAsia"/>
                <w:color w:val="000000"/>
                <w:sz w:val="18"/>
                <w:szCs w:val="18"/>
              </w:rPr>
              <w:tab/>
            </w:r>
            <w:r>
              <w:rPr>
                <w:rFonts w:hint="eastAsia"/>
                <w:color w:val="000000"/>
                <w:sz w:val="18"/>
                <w:szCs w:val="18"/>
              </w:rPr>
              <w:t>30</w:t>
            </w:r>
          </w:p>
        </w:tc>
        <w:tc>
          <w:tcPr>
            <w:tcW w:w="2112" w:type="dxa"/>
            <w:vMerge w:val="restart"/>
            <w:tcBorders>
              <w:top w:val="single" w:color="auto" w:sz="4" w:space="0"/>
              <w:bottom w:val="single" w:color="auto" w:sz="4" w:space="0"/>
            </w:tcBorders>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社会效益指标</w:t>
            </w:r>
            <w:r>
              <w:rPr>
                <w:rFonts w:hint="eastAsia"/>
                <w:color w:val="000000"/>
                <w:sz w:val="18"/>
                <w:szCs w:val="18"/>
              </w:rPr>
              <w:t>（10）</w:t>
            </w:r>
          </w:p>
        </w:tc>
        <w:tc>
          <w:tcPr>
            <w:tcW w:w="1760" w:type="dxa"/>
            <w:noWrap/>
            <w:tcMar>
              <w:top w:w="15" w:type="dxa"/>
              <w:left w:w="15" w:type="dxa"/>
              <w:bottom w:w="0" w:type="dxa"/>
              <w:right w:w="15" w:type="dxa"/>
            </w:tcMar>
            <w:vAlign w:val="center"/>
          </w:tcPr>
          <w:p>
            <w:pPr>
              <w:jc w:val="center"/>
            </w:pPr>
            <w:r>
              <w:rPr>
                <w:rFonts w:hint="eastAsia"/>
                <w:color w:val="000000"/>
                <w:sz w:val="18"/>
                <w:szCs w:val="18"/>
              </w:rPr>
              <w:t>残疾人就业能力提高</w:t>
            </w:r>
          </w:p>
        </w:tc>
        <w:tc>
          <w:tcPr>
            <w:tcW w:w="1479" w:type="dxa"/>
            <w:gridSpan w:val="2"/>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有所提高</w:t>
            </w:r>
          </w:p>
        </w:tc>
        <w:tc>
          <w:tcPr>
            <w:tcW w:w="878" w:type="dxa"/>
            <w:noWrap/>
            <w:tcMar>
              <w:top w:w="15" w:type="dxa"/>
              <w:left w:w="15" w:type="dxa"/>
              <w:bottom w:w="0" w:type="dxa"/>
              <w:right w:w="15" w:type="dxa"/>
            </w:tcMar>
            <w:vAlign w:val="center"/>
          </w:tcPr>
          <w:p>
            <w:pPr>
              <w:tabs>
                <w:tab w:val="left" w:pos="471"/>
              </w:tabs>
              <w:spacing w:line="250" w:lineRule="exact"/>
              <w:jc w:val="center"/>
              <w:rPr>
                <w:color w:val="000000"/>
                <w:sz w:val="18"/>
                <w:szCs w:val="18"/>
              </w:rPr>
            </w:pPr>
            <w:r>
              <w:rPr>
                <w:rFonts w:hint="eastAsia"/>
                <w:color w:val="000000"/>
                <w:sz w:val="18"/>
                <w:szCs w:val="18"/>
              </w:rPr>
              <w:t>完成</w:t>
            </w:r>
          </w:p>
        </w:tc>
        <w:tc>
          <w:tcPr>
            <w:tcW w:w="708" w:type="dxa"/>
            <w:noWrap/>
            <w:vAlign w:val="center"/>
          </w:tcPr>
          <w:p>
            <w:pPr>
              <w:tabs>
                <w:tab w:val="left" w:pos="540"/>
                <w:tab w:val="center" w:pos="997"/>
              </w:tabs>
              <w:spacing w:line="250" w:lineRule="exact"/>
              <w:jc w:val="center"/>
              <w:rPr>
                <w:color w:val="000000"/>
                <w:sz w:val="18"/>
                <w:szCs w:val="18"/>
              </w:rPr>
            </w:pPr>
            <w:r>
              <w:rPr>
                <w:rFonts w:hint="eastAsia"/>
                <w:color w:val="000000"/>
                <w:sz w:val="18"/>
                <w:szCs w:val="18"/>
              </w:rPr>
              <w:t>4</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continue"/>
            <w:tcBorders>
              <w:left w:val="single" w:color="auto" w:sz="6" w:space="0"/>
              <w:right w:val="single" w:color="auto" w:sz="6" w:space="0"/>
            </w:tcBorders>
            <w:noWrap/>
            <w:vAlign w:val="center"/>
          </w:tcPr>
          <w:p>
            <w:pPr>
              <w:spacing w:line="250" w:lineRule="exact"/>
              <w:jc w:val="center"/>
              <w:rPr>
                <w:color w:val="000000"/>
                <w:sz w:val="18"/>
                <w:szCs w:val="18"/>
              </w:rPr>
            </w:pPr>
          </w:p>
        </w:tc>
        <w:tc>
          <w:tcPr>
            <w:tcW w:w="580" w:type="dxa"/>
            <w:vMerge w:val="continue"/>
            <w:tcBorders>
              <w:left w:val="single" w:color="auto" w:sz="6" w:space="0"/>
            </w:tcBorders>
            <w:noWrap/>
            <w:vAlign w:val="center"/>
          </w:tcPr>
          <w:p>
            <w:pPr>
              <w:spacing w:line="250" w:lineRule="exact"/>
              <w:jc w:val="center"/>
              <w:rPr>
                <w:color w:val="000000"/>
                <w:sz w:val="18"/>
                <w:szCs w:val="18"/>
              </w:rPr>
            </w:pPr>
          </w:p>
        </w:tc>
        <w:tc>
          <w:tcPr>
            <w:tcW w:w="2112" w:type="dxa"/>
            <w:vMerge w:val="continue"/>
            <w:tcBorders>
              <w:top w:val="single" w:color="auto" w:sz="4" w:space="0"/>
              <w:bottom w:val="single" w:color="auto" w:sz="4" w:space="0"/>
            </w:tcBorders>
            <w:noWrap/>
            <w:vAlign w:val="center"/>
          </w:tcPr>
          <w:p>
            <w:pPr>
              <w:spacing w:line="250" w:lineRule="exact"/>
              <w:rPr>
                <w:color w:val="000000"/>
                <w:sz w:val="18"/>
                <w:szCs w:val="18"/>
              </w:rPr>
            </w:pPr>
          </w:p>
        </w:tc>
        <w:tc>
          <w:tcPr>
            <w:tcW w:w="1760" w:type="dxa"/>
            <w:noWrap/>
            <w:tcMar>
              <w:top w:w="15" w:type="dxa"/>
              <w:left w:w="15" w:type="dxa"/>
              <w:bottom w:w="0" w:type="dxa"/>
              <w:right w:w="15" w:type="dxa"/>
            </w:tcMar>
            <w:vAlign w:val="center"/>
          </w:tcPr>
          <w:p>
            <w:pPr>
              <w:jc w:val="center"/>
            </w:pPr>
            <w:r>
              <w:rPr>
                <w:rFonts w:hint="eastAsia"/>
                <w:color w:val="000000"/>
                <w:sz w:val="18"/>
                <w:szCs w:val="18"/>
              </w:rPr>
              <w:t>出行便利程度</w:t>
            </w:r>
          </w:p>
        </w:tc>
        <w:tc>
          <w:tcPr>
            <w:tcW w:w="1479" w:type="dxa"/>
            <w:gridSpan w:val="2"/>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有所提高</w:t>
            </w:r>
            <w:r>
              <w:rPr>
                <w:color w:val="000000"/>
                <w:sz w:val="18"/>
                <w:szCs w:val="18"/>
              </w:rPr>
              <w:t>　</w:t>
            </w:r>
          </w:p>
        </w:tc>
        <w:tc>
          <w:tcPr>
            <w:tcW w:w="878" w:type="dxa"/>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完成</w:t>
            </w:r>
          </w:p>
        </w:tc>
        <w:tc>
          <w:tcPr>
            <w:tcW w:w="708" w:type="dxa"/>
            <w:noWrap/>
            <w:vAlign w:val="center"/>
          </w:tcPr>
          <w:p>
            <w:pPr>
              <w:tabs>
                <w:tab w:val="left" w:pos="540"/>
                <w:tab w:val="center" w:pos="997"/>
              </w:tabs>
              <w:spacing w:line="250" w:lineRule="exact"/>
              <w:jc w:val="center"/>
              <w:rPr>
                <w:color w:val="000000"/>
                <w:sz w:val="18"/>
                <w:szCs w:val="18"/>
              </w:rPr>
            </w:pPr>
            <w:r>
              <w:rPr>
                <w:rFonts w:hint="eastAsia"/>
                <w:color w:val="000000"/>
                <w:sz w:val="18"/>
                <w:szCs w:val="18"/>
              </w:rPr>
              <w:t>4</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continue"/>
            <w:tcBorders>
              <w:left w:val="single" w:color="auto" w:sz="6" w:space="0"/>
              <w:right w:val="single" w:color="auto" w:sz="6" w:space="0"/>
            </w:tcBorders>
            <w:noWrap/>
            <w:tcMar>
              <w:top w:w="15" w:type="dxa"/>
              <w:left w:w="15" w:type="dxa"/>
              <w:bottom w:w="0" w:type="dxa"/>
              <w:right w:w="15" w:type="dxa"/>
            </w:tcMar>
            <w:vAlign w:val="center"/>
          </w:tcPr>
          <w:p>
            <w:pPr>
              <w:spacing w:line="250" w:lineRule="exact"/>
              <w:jc w:val="center"/>
              <w:rPr>
                <w:color w:val="000000"/>
                <w:sz w:val="18"/>
                <w:szCs w:val="18"/>
              </w:rPr>
            </w:pPr>
          </w:p>
        </w:tc>
        <w:tc>
          <w:tcPr>
            <w:tcW w:w="580" w:type="dxa"/>
            <w:vMerge w:val="continue"/>
            <w:tcBorders>
              <w:left w:val="single" w:color="auto" w:sz="6" w:space="0"/>
            </w:tcBorders>
            <w:noWrap/>
            <w:tcMar>
              <w:top w:w="15" w:type="dxa"/>
              <w:left w:w="15" w:type="dxa"/>
              <w:bottom w:w="0" w:type="dxa"/>
              <w:right w:w="15" w:type="dxa"/>
            </w:tcMar>
            <w:vAlign w:val="center"/>
          </w:tcPr>
          <w:p>
            <w:pPr>
              <w:spacing w:line="250" w:lineRule="exact"/>
              <w:jc w:val="center"/>
              <w:rPr>
                <w:color w:val="000000"/>
                <w:sz w:val="18"/>
                <w:szCs w:val="18"/>
              </w:rPr>
            </w:pPr>
          </w:p>
        </w:tc>
        <w:tc>
          <w:tcPr>
            <w:tcW w:w="2112" w:type="dxa"/>
            <w:tcBorders>
              <w:top w:val="single" w:color="auto" w:sz="4" w:space="0"/>
            </w:tcBorders>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经济效益指标</w:t>
            </w:r>
            <w:r>
              <w:rPr>
                <w:rFonts w:hint="eastAsia"/>
                <w:color w:val="000000"/>
                <w:sz w:val="18"/>
                <w:szCs w:val="18"/>
              </w:rPr>
              <w:t>（10</w:t>
            </w:r>
          </w:p>
        </w:tc>
        <w:tc>
          <w:tcPr>
            <w:tcW w:w="1760" w:type="dxa"/>
            <w:noWrap/>
            <w:tcMar>
              <w:top w:w="15" w:type="dxa"/>
              <w:left w:w="15" w:type="dxa"/>
              <w:bottom w:w="0" w:type="dxa"/>
              <w:right w:w="15" w:type="dxa"/>
            </w:tcMar>
            <w:vAlign w:val="center"/>
          </w:tcPr>
          <w:p>
            <w:pPr>
              <w:tabs>
                <w:tab w:val="left" w:pos="597"/>
              </w:tabs>
              <w:jc w:val="left"/>
              <w:rPr>
                <w:color w:val="000000"/>
                <w:sz w:val="18"/>
                <w:szCs w:val="18"/>
              </w:rPr>
            </w:pPr>
            <w:r>
              <w:rPr>
                <w:rFonts w:hint="eastAsia"/>
                <w:color w:val="000000"/>
                <w:sz w:val="18"/>
                <w:szCs w:val="18"/>
              </w:rPr>
              <w:t>残疾人生活水平</w:t>
            </w:r>
          </w:p>
        </w:tc>
        <w:tc>
          <w:tcPr>
            <w:tcW w:w="1479" w:type="dxa"/>
            <w:gridSpan w:val="2"/>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有所提高</w:t>
            </w:r>
          </w:p>
        </w:tc>
        <w:tc>
          <w:tcPr>
            <w:tcW w:w="878" w:type="dxa"/>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完成</w:t>
            </w:r>
          </w:p>
        </w:tc>
        <w:tc>
          <w:tcPr>
            <w:tcW w:w="708" w:type="dxa"/>
            <w:noWrap/>
            <w:vAlign w:val="center"/>
          </w:tcPr>
          <w:p>
            <w:pPr>
              <w:tabs>
                <w:tab w:val="left" w:pos="540"/>
                <w:tab w:val="center" w:pos="997"/>
              </w:tabs>
              <w:spacing w:line="250" w:lineRule="exact"/>
              <w:jc w:val="center"/>
              <w:rPr>
                <w:color w:val="000000"/>
                <w:sz w:val="18"/>
                <w:szCs w:val="18"/>
              </w:rPr>
            </w:pPr>
            <w:r>
              <w:rPr>
                <w:rFonts w:hint="eastAsia"/>
                <w:color w:val="000000"/>
                <w:sz w:val="18"/>
                <w:szCs w:val="18"/>
              </w:rPr>
              <w:t>10</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continue"/>
            <w:tcBorders>
              <w:left w:val="single" w:color="auto" w:sz="6" w:space="0"/>
              <w:bottom w:val="nil"/>
              <w:right w:val="single" w:color="auto" w:sz="6" w:space="0"/>
            </w:tcBorders>
            <w:noWrap/>
            <w:tcMar>
              <w:top w:w="15" w:type="dxa"/>
              <w:left w:w="15" w:type="dxa"/>
              <w:bottom w:w="0" w:type="dxa"/>
              <w:right w:w="15" w:type="dxa"/>
            </w:tcMar>
            <w:vAlign w:val="center"/>
          </w:tcPr>
          <w:p>
            <w:pPr>
              <w:spacing w:line="250" w:lineRule="exact"/>
              <w:jc w:val="center"/>
              <w:rPr>
                <w:color w:val="000000"/>
                <w:sz w:val="18"/>
                <w:szCs w:val="18"/>
              </w:rPr>
            </w:pPr>
          </w:p>
        </w:tc>
        <w:tc>
          <w:tcPr>
            <w:tcW w:w="580" w:type="dxa"/>
            <w:vMerge w:val="continue"/>
            <w:tcBorders>
              <w:left w:val="single" w:color="auto" w:sz="6" w:space="0"/>
            </w:tcBorders>
            <w:noWrap/>
            <w:tcMar>
              <w:top w:w="15" w:type="dxa"/>
              <w:left w:w="15" w:type="dxa"/>
              <w:bottom w:w="0" w:type="dxa"/>
              <w:right w:w="15" w:type="dxa"/>
            </w:tcMar>
            <w:vAlign w:val="center"/>
          </w:tcPr>
          <w:p>
            <w:pPr>
              <w:spacing w:line="250" w:lineRule="exact"/>
              <w:jc w:val="center"/>
              <w:rPr>
                <w:color w:val="000000"/>
                <w:sz w:val="18"/>
                <w:szCs w:val="18"/>
              </w:rPr>
            </w:pPr>
          </w:p>
        </w:tc>
        <w:tc>
          <w:tcPr>
            <w:tcW w:w="2112" w:type="dxa"/>
            <w:tcBorders>
              <w:top w:val="single" w:color="auto" w:sz="4" w:space="0"/>
            </w:tcBorders>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满意度指标</w:t>
            </w:r>
            <w:r>
              <w:rPr>
                <w:rFonts w:hint="eastAsia"/>
                <w:color w:val="000000"/>
                <w:sz w:val="18"/>
                <w:szCs w:val="18"/>
              </w:rPr>
              <w:t>（10）</w:t>
            </w:r>
          </w:p>
        </w:tc>
        <w:tc>
          <w:tcPr>
            <w:tcW w:w="1760" w:type="dxa"/>
            <w:noWrap/>
            <w:tcMar>
              <w:top w:w="15" w:type="dxa"/>
              <w:left w:w="15" w:type="dxa"/>
              <w:bottom w:w="0" w:type="dxa"/>
              <w:right w:w="15" w:type="dxa"/>
            </w:tcMar>
            <w:vAlign w:val="center"/>
          </w:tcPr>
          <w:p>
            <w:pPr>
              <w:jc w:val="center"/>
            </w:pPr>
            <w:r>
              <w:rPr>
                <w:rFonts w:hint="eastAsia"/>
                <w:color w:val="000000"/>
                <w:sz w:val="18"/>
                <w:szCs w:val="18"/>
              </w:rPr>
              <w:t>残疾人满意度</w:t>
            </w:r>
          </w:p>
        </w:tc>
        <w:tc>
          <w:tcPr>
            <w:tcW w:w="1479" w:type="dxa"/>
            <w:gridSpan w:val="2"/>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90%</w:t>
            </w:r>
          </w:p>
        </w:tc>
        <w:tc>
          <w:tcPr>
            <w:tcW w:w="878" w:type="dxa"/>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92%</w:t>
            </w:r>
          </w:p>
        </w:tc>
        <w:tc>
          <w:tcPr>
            <w:tcW w:w="708" w:type="dxa"/>
            <w:noWrap/>
            <w:vAlign w:val="center"/>
          </w:tcPr>
          <w:p>
            <w:pPr>
              <w:tabs>
                <w:tab w:val="left" w:pos="540"/>
                <w:tab w:val="center" w:pos="997"/>
              </w:tabs>
              <w:spacing w:line="250" w:lineRule="exact"/>
              <w:jc w:val="center"/>
              <w:rPr>
                <w:color w:val="000000"/>
                <w:sz w:val="18"/>
                <w:szCs w:val="18"/>
              </w:rPr>
            </w:pPr>
            <w:r>
              <w:rPr>
                <w:rFonts w:hint="eastAsia"/>
                <w:color w:val="000000"/>
                <w:sz w:val="18"/>
                <w:szCs w:val="18"/>
              </w:rPr>
              <w:t>10</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763" w:type="dxa"/>
            <w:gridSpan w:val="3"/>
            <w:noWrap/>
            <w:vAlign w:val="center"/>
          </w:tcPr>
          <w:p>
            <w:pPr>
              <w:spacing w:line="250" w:lineRule="exact"/>
              <w:jc w:val="center"/>
              <w:rPr>
                <w:color w:val="000000"/>
                <w:sz w:val="18"/>
                <w:szCs w:val="18"/>
              </w:rPr>
            </w:pPr>
            <w:r>
              <w:rPr>
                <w:rFonts w:hint="eastAsia"/>
                <w:color w:val="000000"/>
                <w:sz w:val="18"/>
                <w:szCs w:val="18"/>
              </w:rPr>
              <w:t>总  分</w:t>
            </w:r>
          </w:p>
        </w:tc>
        <w:tc>
          <w:tcPr>
            <w:tcW w:w="4117" w:type="dxa"/>
            <w:gridSpan w:val="4"/>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100</w:t>
            </w:r>
          </w:p>
        </w:tc>
        <w:tc>
          <w:tcPr>
            <w:tcW w:w="708" w:type="dxa"/>
            <w:noWrap/>
            <w:vAlign w:val="center"/>
          </w:tcPr>
          <w:p>
            <w:pPr>
              <w:spacing w:line="250" w:lineRule="exact"/>
              <w:jc w:val="center"/>
              <w:rPr>
                <w:color w:val="000000"/>
                <w:sz w:val="18"/>
                <w:szCs w:val="18"/>
              </w:rPr>
            </w:pPr>
            <w:r>
              <w:rPr>
                <w:rFonts w:hint="eastAsia"/>
                <w:color w:val="000000"/>
                <w:sz w:val="18"/>
                <w:szCs w:val="18"/>
              </w:rPr>
              <w:t>96</w:t>
            </w:r>
          </w:p>
        </w:tc>
        <w:tc>
          <w:tcPr>
            <w:tcW w:w="791" w:type="dxa"/>
            <w:noWrap/>
            <w:tcMar>
              <w:top w:w="15" w:type="dxa"/>
              <w:left w:w="15" w:type="dxa"/>
              <w:bottom w:w="0" w:type="dxa"/>
              <w:right w:w="15" w:type="dxa"/>
            </w:tcMar>
            <w:vAlign w:val="center"/>
          </w:tcPr>
          <w:p>
            <w:pPr>
              <w:spacing w:line="250" w:lineRule="exact"/>
              <w:jc w:val="center"/>
              <w:rPr>
                <w:color w:val="000000"/>
                <w:sz w:val="18"/>
                <w:szCs w:val="18"/>
              </w:rPr>
            </w:pPr>
          </w:p>
        </w:tc>
      </w:tr>
    </w:tbl>
    <w:p>
      <w:pPr>
        <w:ind w:firstLine="568"/>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Fonts w:eastAsia="仿宋_GB2312"/>
        <w:sz w:val="28"/>
        <w:szCs w:val="28"/>
      </w:rPr>
    </w:pPr>
    <w:r>
      <w:rPr>
        <w:rStyle w:val="9"/>
        <w:rFonts w:eastAsia="仿宋_GB2312"/>
        <w:sz w:val="28"/>
        <w:szCs w:val="28"/>
      </w:rPr>
      <w:t>—</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4</w:t>
    </w:r>
    <w:r>
      <w:rPr>
        <w:rFonts w:eastAsia="仿宋_GB2312"/>
        <w:sz w:val="28"/>
        <w:szCs w:val="28"/>
      </w:rPr>
      <w:fldChar w:fldCharType="end"/>
    </w:r>
    <w:r>
      <w:rPr>
        <w:rStyle w:val="9"/>
        <w:rFonts w:eastAsia="仿宋_GB2312"/>
        <w:sz w:val="28"/>
        <w:szCs w:val="28"/>
      </w:rPr>
      <w:t>—</w:t>
    </w:r>
  </w:p>
  <w:p>
    <w:pPr>
      <w:pStyle w:val="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fldChar w:fldCharType="begin"/>
    </w:r>
    <w:r>
      <w:rPr>
        <w:rStyle w:val="9"/>
      </w:rPr>
      <w:instrText xml:space="preserve">PAGE  </w:instrText>
    </w:r>
    <w:r>
      <w:fldChar w:fldCharType="separate"/>
    </w:r>
    <w:r>
      <w:rPr>
        <w:rStyle w:val="9"/>
      </w:rPr>
      <w:t>6</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C2194"/>
    <w:multiLevelType w:val="singleLevel"/>
    <w:tmpl w:val="BF6C2194"/>
    <w:lvl w:ilvl="0" w:tentative="0">
      <w:start w:val="4"/>
      <w:numFmt w:val="chineseCounting"/>
      <w:suff w:val="space"/>
      <w:lvlText w:val="%1、"/>
      <w:lvlJc w:val="left"/>
      <w:rPr>
        <w:rFonts w:hint="eastAsia"/>
      </w:rPr>
    </w:lvl>
  </w:abstractNum>
  <w:abstractNum w:abstractNumId="1">
    <w:nsid w:val="1F1F5F5C"/>
    <w:multiLevelType w:val="singleLevel"/>
    <w:tmpl w:val="1F1F5F5C"/>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I4YTZlZTVmYjViMTYwNzE3MzdjMTE2MDJhMWM5MTAifQ=="/>
  </w:docVars>
  <w:rsids>
    <w:rsidRoot w:val="311709B4"/>
    <w:rsid w:val="00402CB9"/>
    <w:rsid w:val="007E029F"/>
    <w:rsid w:val="007E5B80"/>
    <w:rsid w:val="00883B9B"/>
    <w:rsid w:val="009911FA"/>
    <w:rsid w:val="009C5AF4"/>
    <w:rsid w:val="00A1288A"/>
    <w:rsid w:val="00B06E9F"/>
    <w:rsid w:val="00B8646E"/>
    <w:rsid w:val="00BA2359"/>
    <w:rsid w:val="00E90890"/>
    <w:rsid w:val="00EF2229"/>
    <w:rsid w:val="00FB3562"/>
    <w:rsid w:val="02927646"/>
    <w:rsid w:val="05B27536"/>
    <w:rsid w:val="0906187B"/>
    <w:rsid w:val="0A9D2F32"/>
    <w:rsid w:val="0BA33845"/>
    <w:rsid w:val="0BF94903"/>
    <w:rsid w:val="0DDF799A"/>
    <w:rsid w:val="0F8E67BE"/>
    <w:rsid w:val="103D2CA0"/>
    <w:rsid w:val="10710AB7"/>
    <w:rsid w:val="109B5A5E"/>
    <w:rsid w:val="12280DC8"/>
    <w:rsid w:val="12D66841"/>
    <w:rsid w:val="146E2B30"/>
    <w:rsid w:val="18F00D95"/>
    <w:rsid w:val="1A5C2101"/>
    <w:rsid w:val="1CE44117"/>
    <w:rsid w:val="1E0A2899"/>
    <w:rsid w:val="1EF33CC8"/>
    <w:rsid w:val="213A3E05"/>
    <w:rsid w:val="225C38A1"/>
    <w:rsid w:val="22F42CF3"/>
    <w:rsid w:val="23620507"/>
    <w:rsid w:val="25000F84"/>
    <w:rsid w:val="25E606AF"/>
    <w:rsid w:val="274607EA"/>
    <w:rsid w:val="2773759C"/>
    <w:rsid w:val="283D5139"/>
    <w:rsid w:val="29436742"/>
    <w:rsid w:val="29A22FE8"/>
    <w:rsid w:val="29E074B5"/>
    <w:rsid w:val="2B0C2CAC"/>
    <w:rsid w:val="2CE53217"/>
    <w:rsid w:val="2E0917A2"/>
    <w:rsid w:val="2F43013B"/>
    <w:rsid w:val="311709B4"/>
    <w:rsid w:val="31257F14"/>
    <w:rsid w:val="3516371C"/>
    <w:rsid w:val="356A1FCF"/>
    <w:rsid w:val="367E6E7E"/>
    <w:rsid w:val="3A3457D4"/>
    <w:rsid w:val="3ABB0B8F"/>
    <w:rsid w:val="3ACB2069"/>
    <w:rsid w:val="3AD1334A"/>
    <w:rsid w:val="3B5717C3"/>
    <w:rsid w:val="3BB605DF"/>
    <w:rsid w:val="3FA175DF"/>
    <w:rsid w:val="40B06636"/>
    <w:rsid w:val="41B23542"/>
    <w:rsid w:val="44F80F52"/>
    <w:rsid w:val="47475F28"/>
    <w:rsid w:val="48DC0DD2"/>
    <w:rsid w:val="497D3644"/>
    <w:rsid w:val="4B942D57"/>
    <w:rsid w:val="4D832AC2"/>
    <w:rsid w:val="500E30E1"/>
    <w:rsid w:val="51A8180D"/>
    <w:rsid w:val="52EE610A"/>
    <w:rsid w:val="56452F34"/>
    <w:rsid w:val="56A17EC6"/>
    <w:rsid w:val="581D7A74"/>
    <w:rsid w:val="5B324E7C"/>
    <w:rsid w:val="5C6077E9"/>
    <w:rsid w:val="63EE02BE"/>
    <w:rsid w:val="64C3402E"/>
    <w:rsid w:val="672B088E"/>
    <w:rsid w:val="68D5496B"/>
    <w:rsid w:val="6F2E3795"/>
    <w:rsid w:val="71645E83"/>
    <w:rsid w:val="75E82ED2"/>
    <w:rsid w:val="768C3636"/>
    <w:rsid w:val="77DB0B80"/>
    <w:rsid w:val="781B2436"/>
    <w:rsid w:val="7883784D"/>
    <w:rsid w:val="78961CD8"/>
    <w:rsid w:val="7CD91AB6"/>
    <w:rsid w:val="7DEB372A"/>
    <w:rsid w:val="7ED622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Normal (Web)"/>
    <w:basedOn w:val="1"/>
    <w:qFormat/>
    <w:uiPriority w:val="0"/>
    <w:pPr>
      <w:widowControl/>
      <w:spacing w:before="240" w:after="240"/>
      <w:ind w:firstLine="480"/>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qFormat/>
    <w:uiPriority w:val="0"/>
    <w:rPr>
      <w:b/>
      <w:bCs/>
    </w:rPr>
  </w:style>
  <w:style w:type="character" w:styleId="9">
    <w:name w:val="page number"/>
    <w:basedOn w:val="7"/>
    <w:qFormat/>
    <w:uiPriority w:val="0"/>
  </w:style>
  <w:style w:type="paragraph" w:customStyle="1" w:styleId="10">
    <w:name w:val="列出段落1"/>
    <w:basedOn w:val="1"/>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14</Pages>
  <Words>6640</Words>
  <Characters>7102</Characters>
  <Lines>8</Lines>
  <Paragraphs>15</Paragraphs>
  <TotalTime>27</TotalTime>
  <ScaleCrop>false</ScaleCrop>
  <LinksUpToDate>false</LinksUpToDate>
  <CharactersWithSpaces>7255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2021-04-07T07:09:00Z</dcterms:created>
  <dc:creator>Administrator</dc:creator>
  <cp:lastModifiedBy>陈淑梅</cp:lastModifiedBy>
  <dcterms:modified xsi:type="dcterms:W3CDTF">2022-09-06T03:24:45Z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EB8F0C88E1D3478EAF4BC2BAA4ECBCCA</vt:lpwstr>
  </property>
</Properties>
</file>