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  <w:r>
        <w:rPr>
          <w:rFonts w:ascii="Times New Roman" w:hAnsi="Times New Roman" w:eastAsia="黑体"/>
          <w:color w:val="000000"/>
          <w:sz w:val="32"/>
          <w:szCs w:val="32"/>
        </w:rPr>
        <w:tab/>
      </w:r>
    </w:p>
    <w:p>
      <w:pPr>
        <w:spacing w:line="57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部门整体支出绩效自评基础数据表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8830"/>
        </w:tabs>
        <w:spacing w:line="576" w:lineRule="exac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填报单位：浏阳市市场监督管理局</w:t>
      </w:r>
      <w:r>
        <w:rPr>
          <w:rFonts w:hint="eastAsia" w:ascii="Times New Roman" w:hAnsi="Times New Roman" w:eastAsia="仿宋_GB2312"/>
          <w:color w:val="000000"/>
          <w:kern w:val="0"/>
          <w:sz w:val="24"/>
        </w:rPr>
        <w:t xml:space="preserve">                             单位：万元</w:t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2020年实际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90.71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2019年决算数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2020年预算数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2020年决算数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162.55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95.72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142.35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77.72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92.46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49.89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77.72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20.20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18.00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1103.21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761.36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4460.52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1103.21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761.36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4460.52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584.40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647.50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573.30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13.44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27.85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23.00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9.22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133.50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186.87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5723.52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9806.96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我局加强内部管理，采取规范财务报账制度和公务接待审批流程，严格控制接待标准和陪餐人数等措施，有效控制了非必要公务接待开支的发生。规范公务用车使用规定，合理调度，分车逐月进行油耗登记和分析，车辆维护费用减少。</w:t>
            </w:r>
          </w:p>
        </w:tc>
      </w:tr>
    </w:tbl>
    <w:p>
      <w:pPr>
        <w:spacing w:line="360" w:lineRule="exact"/>
        <w:ind w:left="630" w:hanging="630" w:hangingChars="300"/>
        <w:rPr>
          <w:rFonts w:ascii="Times New Roman" w:hAnsi="Times New Roman" w:eastAsia="仿宋_GB2312"/>
          <w:color w:val="000000"/>
          <w:kern w:val="0"/>
        </w:rPr>
      </w:pPr>
      <w:r>
        <w:rPr>
          <w:rFonts w:ascii="Times New Roman" w:hAnsi="Times New Roman" w:eastAsia="仿宋_GB2312"/>
          <w:color w:val="000000"/>
          <w:kern w:val="0"/>
        </w:rPr>
        <w:t>说明：“项目支出”需要填报除公共专项资金和基本支出以外的所有项目情况，包括业务工作项目、运行维护项目等；“公用经费”填报基本支出中的一般商品和服务支出。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2020年部门整体支出绩效自评表</w:t>
      </w:r>
    </w:p>
    <w:p>
      <w:pPr>
        <w:adjustRightInd w:val="0"/>
        <w:snapToGrid w:val="0"/>
        <w:spacing w:line="2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10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672"/>
        <w:gridCol w:w="2256"/>
        <w:gridCol w:w="2574"/>
        <w:gridCol w:w="1091"/>
        <w:gridCol w:w="229"/>
        <w:gridCol w:w="960"/>
        <w:gridCol w:w="432"/>
        <w:gridCol w:w="15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2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9072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浏阳市市场监督管理局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24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66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62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366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5723.52</w:t>
            </w:r>
          </w:p>
        </w:tc>
        <w:tc>
          <w:tcPr>
            <w:tcW w:w="162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9796.80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171.17%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366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2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3.45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366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4962.16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2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5346.44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107.74%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366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761.36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62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4460.52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585.86%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550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24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0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1、完成市场监管、特种设备检测等日常业务工作；</w:t>
            </w:r>
          </w:p>
          <w:p>
            <w:pPr>
              <w:spacing w:line="250" w:lineRule="exact"/>
              <w:jc w:val="both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2、完成单位培训、参加重要会议等工作；</w:t>
            </w:r>
          </w:p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3、完成党建、扶贫等工作。</w:t>
            </w:r>
          </w:p>
        </w:tc>
        <w:tc>
          <w:tcPr>
            <w:tcW w:w="424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1、完成市场监管、特种设备检测等日常业务工作；</w:t>
            </w:r>
          </w:p>
          <w:p>
            <w:pPr>
              <w:spacing w:line="250" w:lineRule="exact"/>
              <w:jc w:val="both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2、完成单位培训、参加重要会议等工作；</w:t>
            </w:r>
          </w:p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3、完成党建、扶贫等工作。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96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67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57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320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9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432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53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67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3894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171.14%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含市场服务中心资产处置收入和运转经费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有待完善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3894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有待加强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67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开展产商品监督抽查批次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完成食品抽样检验批次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开展企业信用监管“双随机、一公开”抽查企业数量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不低于市场主体5%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大于市场主体5%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培训班次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&gt;30次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培训人数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&gt;2000人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2412人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开展应急演练次数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质量指标（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抽查产商品批次完成率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国抽省抽不合格食品抽检核查处置率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企业年报率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不低于85%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食品经营环节食品专项抽检不合格食品处置率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食品生产环节食品专项抽检不合格食品处置率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时效指标（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落实抽检任务要求的时间和频次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按年下达抽检任务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均在规定时间内完成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食品安全公众满意度调查完成时间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2020年11月底完成全部调查工作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均在规定时间内完成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企业开办时间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压缩至3天以内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省内培训成本每人每天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≦440元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≦440元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省外培训成本每人每天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≦550元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≦550元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消费者投诉挽回经济损失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&gt;300万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519万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食品安全抽样检验水平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食品经营、生产安全监管水平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提高应急处置能力、市场工作监管的影响力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提高审批效率，改善营商环境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市场监管队伍能力提升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净化消费环境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提高人民群众对传销的防范意识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63"/>
                <w:tab w:val="center" w:pos="948"/>
              </w:tabs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不断提高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不断提高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对生态环境改善程度（优、良、中、无改善）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良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基本完成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推进产业发展作用明显程度（显著、一般、不明显、无作用）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显著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基本完成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加强市场监管综合执法，优化市场营商环境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长期影响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长期影响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加强市场价格监管，营造良好的营商环境，为市场经济主体营造公平交易环境、维护消费者权益和市场秩序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持续促进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持续促进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保障特种设备安全、提升企业可持续发展力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持续提升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持续提升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社会公众对食品安全公众满意率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社会公众对食品安全公众知晓率</w:t>
            </w:r>
          </w:p>
        </w:tc>
        <w:tc>
          <w:tcPr>
            <w:tcW w:w="132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080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485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1485" w:leftChars="1" w:hanging="1483" w:hangingChars="824"/>
        <w:rPr>
          <w:rFonts w:ascii="Times New Roman" w:hAnsi="Times New Roman" w:eastAsia="楷体_GB2312"/>
          <w:kern w:val="0"/>
          <w:sz w:val="18"/>
          <w:szCs w:val="18"/>
        </w:rPr>
      </w:pPr>
      <w:r>
        <w:rPr>
          <w:rFonts w:ascii="Times New Roman" w:hAnsi="Times New Roman" w:eastAsia="楷体_GB2312"/>
          <w:kern w:val="0"/>
          <w:sz w:val="18"/>
          <w:szCs w:val="18"/>
        </w:rPr>
        <w:t>注：</w:t>
      </w:r>
      <w:r>
        <w:rPr>
          <w:rFonts w:ascii="Times New Roman" w:hAnsi="Times New Roman" w:eastAsia="楷体_GB2312"/>
          <w:spacing w:val="-4"/>
          <w:kern w:val="0"/>
          <w:sz w:val="18"/>
          <w:szCs w:val="18"/>
        </w:rPr>
        <w:t>上述产出指标和效益指标既可以按照重点任务完成情况分别填列，也可以依据所有重点任务归纳提炼综合指标。</w:t>
      </w:r>
    </w:p>
    <w:p>
      <w:pPr>
        <w:widowControl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附件4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-1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2020年项目支出绩效自评表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10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80"/>
        <w:gridCol w:w="1587"/>
        <w:gridCol w:w="1581"/>
        <w:gridCol w:w="1788"/>
        <w:gridCol w:w="1140"/>
        <w:gridCol w:w="708"/>
        <w:gridCol w:w="94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966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eastAsia="仿宋_GB2312"/>
              </w:rPr>
              <w:t>食品安全监管和检验检测经费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603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　浏阳市市场监督管理局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浏阳市市场监督管理局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300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300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300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300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300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60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60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完成食品生产、流通、餐饮消费环节、保健食品、互联网销售食品等领域食品安全监管工作，打击食品环节违法违规行为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完成食品生产、流通、餐饮消费环节、保健食品、互联网销售食品等领域食品安全监管工作，打击食品环节违法违规行为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食品生产经营单位、餐饮单位日常监管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15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确保全年无重大食品安全事故和影响恶劣的食品安全事件发生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无重大食品安全事故和影响恶劣的食品安全事件发生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2020年1月1日至12月31日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食品安全监管日常监管成本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培训200元/人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0分）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推进中小涉食企业发展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持续推进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持续推进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消费者提高食品消费满意度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持续提高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持续提高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培训食品安全从业人员，切实改善饮食环境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良好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良好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可持续影响指标（10）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打击劣质违法添加食品经营，推进食安平衡发展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大力推进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大力推进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群众满意度提高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70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%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91.01%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8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附件4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-2</w:t>
      </w:r>
    </w:p>
    <w:p>
      <w:pPr>
        <w:ind w:firstLine="1320" w:firstLineChars="300"/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2020年项目支出绩效自评表</w:t>
      </w:r>
    </w:p>
    <w:p/>
    <w:p/>
    <w:tbl>
      <w:tblPr>
        <w:tblStyle w:val="2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056"/>
        <w:gridCol w:w="1140"/>
        <w:gridCol w:w="1632"/>
        <w:gridCol w:w="1344"/>
        <w:gridCol w:w="1092"/>
        <w:gridCol w:w="762"/>
        <w:gridCol w:w="74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9108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综合管理业务专项经费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517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浏阳市市场监督管理局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284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浏阳市市场监督管理局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150.48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150.48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150.48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150.48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150.48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150.48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17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393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17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消费者权益保护、特种设备监管、反不正当竞争、网络合同监管等监管专项。干部综合素质和业务能力培训，政务微博、微信及综合业务宣传、组织开展纪检监察、人事综合管理、财务管理、行政合管理、法律事务、绩效管理等工作。</w:t>
            </w:r>
          </w:p>
        </w:tc>
        <w:tc>
          <w:tcPr>
            <w:tcW w:w="393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sz w:val="21"/>
                <w:szCs w:val="21"/>
              </w:rPr>
              <w:t>完成</w:t>
            </w:r>
            <w:r>
              <w:rPr>
                <w:rFonts w:hint="eastAsia" w:eastAsia="仿宋_GB2312"/>
                <w:bCs/>
                <w:sz w:val="21"/>
                <w:szCs w:val="21"/>
              </w:rPr>
              <w:t>消费者权益保护、特种设备监管、反不正当竞争、网络合同监管等监管专项。干部综合素质和业务能力培训，政务微博、微信及综合业务宣传、组织开展纪检监察、人事综合管理、财务管理、行政合管理、法律事务、绩效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开展企业信用监管“双随机、一公开”抽查企业数量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不低于市场主体5%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大于市场主体5%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培训人数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&gt;2000人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2412人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检查特种设备使用单位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&gt;840家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845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举报消费者维护投诉办结率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≥93%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%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20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2020年1月1日至12月31日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1年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省内培训成本每人每天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≦440元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≦440元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0分）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为消费者挽回经济损失持续提高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持续提高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持续提高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净化消费环境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逐步提高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逐步提高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对生态环境改善程度（优、良、中、无改善）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良好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基本完成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8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可持续影响指标（10）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保障特种设备安全、提升企业可持续发展力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持续提升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持续提升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消费者满意度提高</w:t>
            </w:r>
          </w:p>
        </w:tc>
        <w:tc>
          <w:tcPr>
            <w:tcW w:w="13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不断提高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不断提高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16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95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528C"/>
    <w:rsid w:val="01321C55"/>
    <w:rsid w:val="019E68ED"/>
    <w:rsid w:val="02A82E24"/>
    <w:rsid w:val="02F46CA3"/>
    <w:rsid w:val="02F833CB"/>
    <w:rsid w:val="032C0531"/>
    <w:rsid w:val="051B1D4F"/>
    <w:rsid w:val="052D7F66"/>
    <w:rsid w:val="06AD0ADE"/>
    <w:rsid w:val="072A3AD9"/>
    <w:rsid w:val="07B95780"/>
    <w:rsid w:val="08D85118"/>
    <w:rsid w:val="091F170D"/>
    <w:rsid w:val="0B224B1F"/>
    <w:rsid w:val="0C7533CA"/>
    <w:rsid w:val="10307C19"/>
    <w:rsid w:val="10E91650"/>
    <w:rsid w:val="10F2578D"/>
    <w:rsid w:val="11E25680"/>
    <w:rsid w:val="123D07BD"/>
    <w:rsid w:val="12EB76BC"/>
    <w:rsid w:val="131B4BE9"/>
    <w:rsid w:val="132A580E"/>
    <w:rsid w:val="146765C1"/>
    <w:rsid w:val="14766547"/>
    <w:rsid w:val="1528718C"/>
    <w:rsid w:val="15FC507F"/>
    <w:rsid w:val="16364384"/>
    <w:rsid w:val="16666C82"/>
    <w:rsid w:val="16CD3840"/>
    <w:rsid w:val="173A6B83"/>
    <w:rsid w:val="179C02F8"/>
    <w:rsid w:val="17B60DA9"/>
    <w:rsid w:val="18434744"/>
    <w:rsid w:val="186A3C26"/>
    <w:rsid w:val="19AB7EA5"/>
    <w:rsid w:val="1A517CED"/>
    <w:rsid w:val="1A6A79CB"/>
    <w:rsid w:val="1B014008"/>
    <w:rsid w:val="1BAB3090"/>
    <w:rsid w:val="1BE65D1B"/>
    <w:rsid w:val="1C2E728F"/>
    <w:rsid w:val="1EAC2F25"/>
    <w:rsid w:val="1EDC08A6"/>
    <w:rsid w:val="1EE41040"/>
    <w:rsid w:val="1F2E432B"/>
    <w:rsid w:val="1F3F5077"/>
    <w:rsid w:val="1F9A63E4"/>
    <w:rsid w:val="1F9A6A6A"/>
    <w:rsid w:val="21684199"/>
    <w:rsid w:val="22897467"/>
    <w:rsid w:val="25C23C8D"/>
    <w:rsid w:val="26C239D5"/>
    <w:rsid w:val="26DA63E3"/>
    <w:rsid w:val="29792111"/>
    <w:rsid w:val="2CC5733D"/>
    <w:rsid w:val="2DA16A03"/>
    <w:rsid w:val="2E2A7CEB"/>
    <w:rsid w:val="2ED55F65"/>
    <w:rsid w:val="2FBC65DC"/>
    <w:rsid w:val="30713A73"/>
    <w:rsid w:val="325F60B2"/>
    <w:rsid w:val="35087491"/>
    <w:rsid w:val="351B7295"/>
    <w:rsid w:val="3527194F"/>
    <w:rsid w:val="353F5AE0"/>
    <w:rsid w:val="36593522"/>
    <w:rsid w:val="36841580"/>
    <w:rsid w:val="36E17E25"/>
    <w:rsid w:val="378B6156"/>
    <w:rsid w:val="39474776"/>
    <w:rsid w:val="3A454F1B"/>
    <w:rsid w:val="3A496263"/>
    <w:rsid w:val="3B0E0217"/>
    <w:rsid w:val="3B7D6A4D"/>
    <w:rsid w:val="3CCB26B1"/>
    <w:rsid w:val="3D662A00"/>
    <w:rsid w:val="3E6D0A8A"/>
    <w:rsid w:val="3F5E6B0A"/>
    <w:rsid w:val="3FB01F30"/>
    <w:rsid w:val="3FDA2AA6"/>
    <w:rsid w:val="41ED0B9F"/>
    <w:rsid w:val="420D1D1D"/>
    <w:rsid w:val="45C17912"/>
    <w:rsid w:val="45E53D35"/>
    <w:rsid w:val="469C03EE"/>
    <w:rsid w:val="4A49392A"/>
    <w:rsid w:val="4A94097A"/>
    <w:rsid w:val="4BA529BF"/>
    <w:rsid w:val="4C871E9E"/>
    <w:rsid w:val="4DA0156F"/>
    <w:rsid w:val="4E12316F"/>
    <w:rsid w:val="4E220ECA"/>
    <w:rsid w:val="4E8F7579"/>
    <w:rsid w:val="50251111"/>
    <w:rsid w:val="50BC2458"/>
    <w:rsid w:val="50E670D6"/>
    <w:rsid w:val="50FC7C2D"/>
    <w:rsid w:val="52F52986"/>
    <w:rsid w:val="56A518FE"/>
    <w:rsid w:val="5718197E"/>
    <w:rsid w:val="577B4A7D"/>
    <w:rsid w:val="57DB0E00"/>
    <w:rsid w:val="587D0987"/>
    <w:rsid w:val="59432C54"/>
    <w:rsid w:val="5AA63382"/>
    <w:rsid w:val="5CE73F0A"/>
    <w:rsid w:val="5DC34D6B"/>
    <w:rsid w:val="5E7D3DE3"/>
    <w:rsid w:val="61C33F81"/>
    <w:rsid w:val="61D44D2E"/>
    <w:rsid w:val="63890E3E"/>
    <w:rsid w:val="64E41D28"/>
    <w:rsid w:val="65871EB4"/>
    <w:rsid w:val="66F41F1E"/>
    <w:rsid w:val="689A668B"/>
    <w:rsid w:val="699E5908"/>
    <w:rsid w:val="6A0C61AC"/>
    <w:rsid w:val="6A3C2D2E"/>
    <w:rsid w:val="6AB86C4A"/>
    <w:rsid w:val="6BD62EE1"/>
    <w:rsid w:val="6DC32A00"/>
    <w:rsid w:val="6E390E89"/>
    <w:rsid w:val="6E4F7854"/>
    <w:rsid w:val="6FCF48C3"/>
    <w:rsid w:val="74A357A0"/>
    <w:rsid w:val="76853CFA"/>
    <w:rsid w:val="79D7261A"/>
    <w:rsid w:val="7AD204EA"/>
    <w:rsid w:val="7B662836"/>
    <w:rsid w:val="7BB20F6E"/>
    <w:rsid w:val="7CE4692F"/>
    <w:rsid w:val="7E5E5370"/>
    <w:rsid w:val="7F3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2021-07-30T05:54:00Z</dcterms:created>
  <dc:creator>Administrator</dc:creator>
  <cp:lastModifiedBy>Administrator</cp:lastModifiedBy>
  <dcterms:modified xsi:type="dcterms:W3CDTF">2021-08-02T02:20:18Z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BA85C3C5740E42B3BD7BEA01805A59A3</vt:lpwstr>
  </property>
</Properties>
</file>