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2020年度浏阳市文化市场综合执法局部门决算</w:t>
      </w:r>
      <w:r>
        <w:rPr>
          <w:rFonts w:hint="eastAsia"/>
          <w:color w:val="000000"/>
        </w:rPr>
        <w:t xml:space="preserve"> </w:t>
      </w:r>
    </w:p>
    <w:p>
      <w:pPr>
        <w:spacing w:after="2"/>
        <w:jc w:val="center"/>
        <w:rPr>
          <w:color w:val="000000"/>
          <w:szCs w:val="21"/>
        </w:rPr>
      </w:pPr>
      <w:r>
        <w:rPr>
          <w:rFonts w:hint="eastAsia"/>
          <w:color w:val="000000"/>
          <w:sz w:val="32"/>
          <w:szCs w:val="32"/>
        </w:rPr>
        <w:t> </w:t>
      </w:r>
      <w:r>
        <w:rPr>
          <w:rFonts w:hint="eastAsia"/>
          <w:color w:val="000000"/>
          <w:szCs w:val="21"/>
        </w:rPr>
        <w:t xml:space="preserve"> </w:t>
      </w:r>
    </w:p>
    <w:p>
      <w:pPr>
        <w:spacing w:after="2"/>
        <w:jc w:val="center"/>
        <w:rPr>
          <w:rFonts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color w:val="000000"/>
          <w:szCs w:val="21"/>
        </w:rPr>
      </w:pPr>
    </w:p>
    <w:p>
      <w:pPr>
        <w:pStyle w:val="14"/>
        <w:spacing w:after="2"/>
        <w:ind w:firstLine="641"/>
        <w:rPr>
          <w:color w:val="000000"/>
          <w:sz w:val="27"/>
          <w:szCs w:val="27"/>
        </w:rPr>
      </w:pPr>
      <w:r>
        <w:rPr>
          <w:rFonts w:hint="eastAsia" w:ascii="宋体" w:hAnsi="宋体" w:eastAsia="宋体"/>
          <w:b/>
          <w:bCs/>
          <w:color w:val="000000"/>
          <w:sz w:val="32"/>
          <w:szCs w:val="32"/>
        </w:rPr>
        <w:t>第一部分 浏阳市文化市场综合执法局概况</w:t>
      </w:r>
      <w:r>
        <w:rPr>
          <w:rFonts w:hint="eastAsia"/>
          <w:color w:val="000000"/>
          <w:sz w:val="27"/>
          <w:szCs w:val="27"/>
        </w:rPr>
        <w:t xml:space="preserve"> </w:t>
      </w:r>
    </w:p>
    <w:p>
      <w:pPr>
        <w:pStyle w:val="14"/>
        <w:spacing w:after="2"/>
        <w:ind w:firstLine="700"/>
        <w:rPr>
          <w:color w:val="000000"/>
        </w:rPr>
      </w:pPr>
      <w:r>
        <w:rPr>
          <w:rFonts w:hint="eastAsia" w:ascii="宋体" w:hAnsi="宋体" w:eastAsia="宋体"/>
          <w:color w:val="000000"/>
          <w:sz w:val="28"/>
          <w:szCs w:val="28"/>
        </w:rPr>
        <w:t>一、部门职责</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二、机构设置</w:t>
      </w:r>
      <w:r>
        <w:rPr>
          <w:rFonts w:hint="eastAsia"/>
          <w:color w:val="000000"/>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第二部分 2020年度部门决算表</w:t>
      </w:r>
      <w:r>
        <w:rPr>
          <w:rFonts w:hint="eastAsia"/>
          <w:color w:val="000000"/>
          <w:sz w:val="27"/>
          <w:szCs w:val="27"/>
        </w:rPr>
        <w:t xml:space="preserve"> </w:t>
      </w:r>
    </w:p>
    <w:p>
      <w:pPr>
        <w:pStyle w:val="14"/>
        <w:spacing w:after="2"/>
        <w:ind w:firstLine="700"/>
        <w:rPr>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二、收入决算表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三、支出决算表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六、一般公共预算财政拨款基本支出决算表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七、一般公共预算财政拨款“三公”经费支出决算表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八、政府性基金预算财政拨款收入支出决算表</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九、国有资本经营预算财政拨款支出决算表</w:t>
      </w:r>
      <w:r>
        <w:rPr>
          <w:rFonts w:hint="eastAsia"/>
          <w:color w:val="000000"/>
        </w:rPr>
        <w:t xml:space="preserve"> </w:t>
      </w:r>
    </w:p>
    <w:p>
      <w:pPr>
        <w:pStyle w:val="14"/>
        <w:spacing w:after="2"/>
        <w:ind w:firstLine="700"/>
        <w:rPr>
          <w:color w:val="000000"/>
        </w:rPr>
      </w:pPr>
      <w:r>
        <w:rPr>
          <w:rFonts w:hint="eastAsia" w:ascii="宋体" w:hAnsi="宋体" w:eastAsia="宋体"/>
          <w:b/>
          <w:bCs/>
          <w:color w:val="000000"/>
          <w:sz w:val="32"/>
          <w:szCs w:val="32"/>
        </w:rPr>
        <w:t>第三部分 2020年度部门决算情况说明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七、一般公共预算财政拨款三公经费支出决算情况说明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八、政府性基金预算收入支出决算情况</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九、关于机关运行经费支出说明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十、一般性支出情况</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十一、关于政府采购支出说明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十二、关于国有资产占用情况说明</w:t>
      </w:r>
      <w:r>
        <w:rPr>
          <w:rFonts w:hint="eastAsia"/>
          <w:color w:val="000000"/>
        </w:rPr>
        <w:t xml:space="preserve"> </w:t>
      </w:r>
    </w:p>
    <w:p>
      <w:pPr>
        <w:pStyle w:val="14"/>
        <w:spacing w:after="2"/>
        <w:ind w:firstLine="700"/>
        <w:rPr>
          <w:color w:val="000000"/>
        </w:rPr>
      </w:pPr>
      <w:r>
        <w:rPr>
          <w:rFonts w:hint="eastAsia" w:ascii="宋体" w:hAnsi="宋体" w:eastAsia="宋体"/>
          <w:color w:val="000000"/>
          <w:sz w:val="28"/>
          <w:szCs w:val="28"/>
        </w:rPr>
        <w:t>十三、关于2020年度预算绩效情况的说明</w:t>
      </w:r>
    </w:p>
    <w:p>
      <w:pPr>
        <w:pStyle w:val="14"/>
        <w:spacing w:after="2"/>
        <w:ind w:firstLine="641"/>
        <w:rPr>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rPr>
          <w:color w:val="000000"/>
        </w:rPr>
      </w:pPr>
    </w:p>
    <w:p>
      <w:pPr>
        <w:rPr>
          <w:color w:val="000000"/>
        </w:rPr>
      </w:pPr>
    </w:p>
    <w:p>
      <w:pPr>
        <w:rPr>
          <w:color w:val="000000"/>
        </w:rPr>
      </w:pPr>
    </w:p>
    <w:p>
      <w:pPr>
        <w:rPr>
          <w:color w:val="000000"/>
        </w:rPr>
      </w:pPr>
    </w:p>
    <w:p>
      <w:pPr>
        <w:rPr>
          <w:color w:val="000000"/>
        </w:rPr>
      </w:pPr>
    </w:p>
    <w:p>
      <w:pPr>
        <w:spacing w:after="2" w:line="600" w:lineRule="atLeast"/>
        <w:jc w:val="center"/>
        <w:rPr>
          <w:color w:val="000000"/>
          <w:szCs w:val="21"/>
        </w:rPr>
      </w:pPr>
      <w:r>
        <w:rPr>
          <w:rFonts w:hint="eastAsia" w:ascii="宋体" w:hAnsi="宋体" w:eastAsia="宋体"/>
          <w:b/>
          <w:bCs/>
          <w:color w:val="000000"/>
          <w:sz w:val="36"/>
          <w:szCs w:val="36"/>
        </w:rPr>
        <w:t>第一部分 浏阳市文化市场综合执法局概况</w:t>
      </w:r>
      <w:r>
        <w:rPr>
          <w:rFonts w:hint="eastAsia"/>
          <w:b/>
          <w:bCs/>
          <w:color w:val="000000"/>
          <w:szCs w:val="21"/>
        </w:rPr>
        <w:t xml:space="preserve"> </w:t>
      </w:r>
    </w:p>
    <w:p>
      <w:pPr>
        <w:pStyle w:val="6"/>
        <w:spacing w:before="0" w:beforeAutospacing="0" w:after="2" w:afterAutospacing="0"/>
        <w:rPr>
          <w:color w:val="000000"/>
        </w:rPr>
      </w:pPr>
    </w:p>
    <w:p>
      <w:pPr>
        <w:pStyle w:val="15"/>
        <w:spacing w:before="0" w:beforeAutospacing="0" w:after="2" w:afterAutospacing="0"/>
        <w:rPr>
          <w:color w:val="000000"/>
        </w:rPr>
      </w:pPr>
      <w:r>
        <w:rPr>
          <w:rFonts w:hint="eastAsia"/>
          <w:color w:val="000000"/>
          <w:sz w:val="32"/>
          <w:szCs w:val="32"/>
        </w:rPr>
        <w:t> </w:t>
      </w:r>
      <w:r>
        <w:rPr>
          <w:color w:val="000000"/>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（一）宣传贯彻文化广电和体育市场管理的法律、法规和规章。</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（二）依法对文化广电和体育事经营活动进行监督局和检查。</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（三）依法管理文化广电和体育市场，促进文化广电和体育事业发展。</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（四）负责全市范围内（含乡镇）1000多家文化市场经营单位的执法监管工作。</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（五）负责市“扫黄打非”领导小组办公室、市文化市场管理委员会办公室和市网吧管理工作协调领导小组办公室 的日常工作。</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（六）负责实施文化、文物、广播电视、旅游、体育、出版、版权、印刷、电影市场领域的行政执法职责。</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color w:val="000000"/>
          <w:sz w:val="32"/>
          <w:szCs w:val="32"/>
        </w:rPr>
        <w:t>（七）负责实施省、长沙市下放的擅自在文物保护单位的保护范围内进行建设工程或爆破、钻探、挖掘作业的处罚等执法职责。</w:t>
      </w:r>
      <w:r>
        <w:rPr>
          <w:rFonts w:hint="eastAsia"/>
          <w:color w:val="000000"/>
          <w:sz w:val="32"/>
          <w:szCs w:val="32"/>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二、机构设置及决算单位构成</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（一）内设机构设置</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浏阳市文化市场综合执法局内设机构包括：综合科、执法一中队、执法二中队</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（二）决算单位构成</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浏阳市文化市场综合执法局2020年部门决算汇总公开单位构成包括：文化市场综合执法局为文化旅游广电体育局二级机构，决算为执法局本级。</w:t>
      </w:r>
      <w:r>
        <w:rPr>
          <w:rFonts w:hint="eastAsia"/>
          <w:color w:val="000000"/>
          <w:sz w:val="27"/>
          <w:szCs w:val="27"/>
        </w:rPr>
        <w:t xml:space="preserve"> </w:t>
      </w:r>
    </w:p>
    <w:p>
      <w:pPr>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spacing w:after="2"/>
        <w:ind w:firstLine="721"/>
        <w:jc w:val="center"/>
        <w:rPr>
          <w:color w:val="000000"/>
          <w:szCs w:val="21"/>
        </w:rPr>
      </w:pPr>
      <w:r>
        <w:rPr>
          <w:rFonts w:hint="eastAsia" w:ascii="宋体" w:hAnsi="宋体" w:eastAsia="宋体"/>
          <w:b/>
          <w:bCs/>
          <w:color w:val="000000"/>
          <w:sz w:val="36"/>
          <w:szCs w:val="36"/>
        </w:rPr>
        <w:t>第二部分 2020年度部门决算表</w:t>
      </w:r>
      <w:r>
        <w:rPr>
          <w:rFonts w:hint="eastAsia"/>
          <w:color w:val="000000"/>
          <w:szCs w:val="21"/>
        </w:rPr>
        <w:t xml:space="preserve"> </w:t>
      </w:r>
    </w:p>
    <w:p>
      <w:pPr>
        <w:pStyle w:val="6"/>
        <w:spacing w:before="0" w:beforeAutospacing="0" w:after="2" w:afterAutospacing="0"/>
        <w:rPr>
          <w:color w:val="000000"/>
        </w:rPr>
      </w:pPr>
    </w:p>
    <w:p>
      <w:pPr>
        <w:spacing w:after="2"/>
        <w:jc w:val="center"/>
        <w:rPr>
          <w:color w:val="000000"/>
          <w:szCs w:val="21"/>
        </w:rPr>
      </w:pPr>
    </w:p>
    <w:tbl>
      <w:tblPr>
        <w:tblStyle w:val="8"/>
        <w:tblW w:w="16038" w:type="dxa"/>
        <w:jc w:val="center"/>
        <w:tblCellSpacing w:w="0" w:type="dxa"/>
        <w:tblLayout w:type="fixed"/>
        <w:tblCellMar>
          <w:top w:w="0" w:type="dxa"/>
          <w:left w:w="0" w:type="dxa"/>
          <w:bottom w:w="0" w:type="dxa"/>
          <w:right w:w="0" w:type="dxa"/>
        </w:tblCellMar>
      </w:tblPr>
      <w:tblGrid>
        <w:gridCol w:w="4802"/>
        <w:gridCol w:w="648"/>
        <w:gridCol w:w="2569"/>
        <w:gridCol w:w="4802"/>
        <w:gridCol w:w="648"/>
        <w:gridCol w:w="2569"/>
      </w:tblGrid>
      <w:tr>
        <w:tblPrEx>
          <w:tblCellMar>
            <w:top w:w="0" w:type="dxa"/>
            <w:left w:w="0" w:type="dxa"/>
            <w:bottom w:w="0" w:type="dxa"/>
            <w:right w:w="0" w:type="dxa"/>
          </w:tblCellMar>
        </w:tblPrEx>
        <w:trPr>
          <w:tblCellSpacing w:w="0" w:type="dxa"/>
          <w:jc w:val="center"/>
        </w:trPr>
        <w:tc>
          <w:tcPr>
            <w:tcW w:w="16038" w:type="dxa"/>
            <w:gridSpan w:val="6"/>
            <w:vAlign w:val="center"/>
          </w:tcPr>
          <w:p>
            <w:pPr>
              <w:pStyle w:val="6"/>
              <w:jc w:val="center"/>
              <w:rPr>
                <w:sz w:val="22"/>
                <w:szCs w:val="22"/>
              </w:rPr>
            </w:pPr>
            <w:r>
              <w:rPr>
                <w:rFonts w:hint="eastAsia"/>
                <w:sz w:val="22"/>
                <w:szCs w:val="22"/>
              </w:rPr>
              <w:t xml:space="preserve">收入支出决算总表 </w:t>
            </w:r>
          </w:p>
        </w:tc>
      </w:tr>
      <w:tr>
        <w:tblPrEx>
          <w:tblCellMar>
            <w:top w:w="0" w:type="dxa"/>
            <w:left w:w="0" w:type="dxa"/>
            <w:bottom w:w="0" w:type="dxa"/>
            <w:right w:w="0" w:type="dxa"/>
          </w:tblCellMar>
        </w:tblPrEx>
        <w:trPr>
          <w:tblCellSpacing w:w="0" w:type="dxa"/>
          <w:jc w:val="center"/>
        </w:trPr>
        <w:tc>
          <w:tcPr>
            <w:tcW w:w="4802" w:type="dxa"/>
            <w:vAlign w:val="center"/>
          </w:tcPr>
          <w:p>
            <w:pPr>
              <w:pStyle w:val="6"/>
              <w:rPr>
                <w:sz w:val="22"/>
                <w:szCs w:val="22"/>
              </w:rPr>
            </w:pPr>
          </w:p>
        </w:tc>
        <w:tc>
          <w:tcPr>
            <w:tcW w:w="648" w:type="dxa"/>
            <w:vAlign w:val="center"/>
          </w:tcPr>
          <w:p>
            <w:pPr>
              <w:pStyle w:val="6"/>
              <w:rPr>
                <w:sz w:val="22"/>
                <w:szCs w:val="22"/>
              </w:rPr>
            </w:pPr>
          </w:p>
        </w:tc>
        <w:tc>
          <w:tcPr>
            <w:tcW w:w="2569" w:type="dxa"/>
            <w:vAlign w:val="center"/>
          </w:tcPr>
          <w:p>
            <w:pPr>
              <w:pStyle w:val="6"/>
              <w:rPr>
                <w:sz w:val="22"/>
                <w:szCs w:val="22"/>
              </w:rPr>
            </w:pPr>
          </w:p>
        </w:tc>
        <w:tc>
          <w:tcPr>
            <w:tcW w:w="4802" w:type="dxa"/>
            <w:vAlign w:val="center"/>
          </w:tcPr>
          <w:p>
            <w:pPr>
              <w:pStyle w:val="6"/>
              <w:rPr>
                <w:sz w:val="22"/>
                <w:szCs w:val="22"/>
              </w:rPr>
            </w:pPr>
          </w:p>
        </w:tc>
        <w:tc>
          <w:tcPr>
            <w:tcW w:w="648" w:type="dxa"/>
            <w:vAlign w:val="center"/>
          </w:tcPr>
          <w:p>
            <w:pPr>
              <w:pStyle w:val="6"/>
              <w:rPr>
                <w:sz w:val="22"/>
                <w:szCs w:val="22"/>
              </w:rPr>
            </w:pPr>
          </w:p>
        </w:tc>
        <w:tc>
          <w:tcPr>
            <w:tcW w:w="2569" w:type="dxa"/>
            <w:vAlign w:val="center"/>
          </w:tcPr>
          <w:p>
            <w:pPr>
              <w:pStyle w:val="6"/>
              <w:jc w:val="right"/>
              <w:rPr>
                <w:sz w:val="20"/>
                <w:szCs w:val="20"/>
              </w:rPr>
            </w:pPr>
            <w:r>
              <w:rPr>
                <w:rFonts w:hint="eastAsia"/>
                <w:sz w:val="20"/>
                <w:szCs w:val="20"/>
              </w:rPr>
              <w:t xml:space="preserve">公开01表 </w:t>
            </w:r>
          </w:p>
        </w:tc>
      </w:tr>
      <w:tr>
        <w:tblPrEx>
          <w:tblCellMar>
            <w:top w:w="0" w:type="dxa"/>
            <w:left w:w="0" w:type="dxa"/>
            <w:bottom w:w="0" w:type="dxa"/>
            <w:right w:w="0" w:type="dxa"/>
          </w:tblCellMar>
        </w:tblPrEx>
        <w:trPr>
          <w:tblCellSpacing w:w="0" w:type="dxa"/>
          <w:jc w:val="center"/>
        </w:trPr>
        <w:tc>
          <w:tcPr>
            <w:tcW w:w="4802" w:type="dxa"/>
            <w:vAlign w:val="center"/>
          </w:tcPr>
          <w:p>
            <w:pPr>
              <w:pStyle w:val="6"/>
              <w:rPr>
                <w:sz w:val="20"/>
                <w:szCs w:val="20"/>
              </w:rPr>
            </w:pPr>
            <w:r>
              <w:rPr>
                <w:rFonts w:hint="eastAsia"/>
                <w:sz w:val="20"/>
                <w:szCs w:val="20"/>
              </w:rPr>
              <w:t xml:space="preserve">部门：浏阳市文化市场综合执法局 </w:t>
            </w:r>
          </w:p>
        </w:tc>
        <w:tc>
          <w:tcPr>
            <w:tcW w:w="648" w:type="dxa"/>
            <w:vAlign w:val="center"/>
          </w:tcPr>
          <w:p>
            <w:pPr>
              <w:pStyle w:val="6"/>
              <w:rPr>
                <w:sz w:val="22"/>
                <w:szCs w:val="22"/>
              </w:rPr>
            </w:pPr>
          </w:p>
        </w:tc>
        <w:tc>
          <w:tcPr>
            <w:tcW w:w="2569" w:type="dxa"/>
            <w:vAlign w:val="center"/>
          </w:tcPr>
          <w:p>
            <w:pPr>
              <w:pStyle w:val="6"/>
              <w:rPr>
                <w:sz w:val="22"/>
                <w:szCs w:val="22"/>
              </w:rPr>
            </w:pPr>
          </w:p>
        </w:tc>
        <w:tc>
          <w:tcPr>
            <w:tcW w:w="4802" w:type="dxa"/>
            <w:vAlign w:val="center"/>
          </w:tcPr>
          <w:p>
            <w:pPr>
              <w:pStyle w:val="6"/>
              <w:rPr>
                <w:sz w:val="22"/>
                <w:szCs w:val="22"/>
              </w:rPr>
            </w:pPr>
          </w:p>
        </w:tc>
        <w:tc>
          <w:tcPr>
            <w:tcW w:w="648" w:type="dxa"/>
            <w:vAlign w:val="center"/>
          </w:tcPr>
          <w:p>
            <w:pPr>
              <w:pStyle w:val="6"/>
              <w:rPr>
                <w:sz w:val="22"/>
                <w:szCs w:val="22"/>
              </w:rPr>
            </w:pPr>
          </w:p>
        </w:tc>
        <w:tc>
          <w:tcPr>
            <w:tcW w:w="2569" w:type="dxa"/>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801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收入 </w:t>
            </w:r>
          </w:p>
        </w:tc>
        <w:tc>
          <w:tcPr>
            <w:tcW w:w="801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支出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一、一般公共预算财政拨款收入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一、一般公共服务支出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二、政府性基金预算财政拨款收入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二、外交支出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三、国有资本经营预算财政拨款收入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三、国防支出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四、上级补助收入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四、公共安全支出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五、事业收入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五、教育支出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六、经营收入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六、科学技术支出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七、附属单位上缴收入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七、文化旅游体育与传媒支出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357.28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八、其他收入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24.00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八、社会保障和就业支出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九、卫生健康支出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十、节能环保支出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十一、城乡社区支出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十二、农林水支出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十三、交通运输支出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十四、资源勘探工业信息等支出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十五、商业服务业等支出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十六、金融支出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十七、援助其他地区支出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十八、自然资源海洋气象等支出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十九、住房保障支出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二十、粮油物资储备支出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二十一、国有资本经营预算支出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二十二、灾害防治及应急管理支出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23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二十三、其他支出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24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二十四、债务还本支出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25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二十五、债务付息支出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26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二十六、抗疫特别国债安排的支出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本年收入合计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27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371.52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本年支出合计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371.52 </w:t>
            </w: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使用非财政拨款结余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28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结余分配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年初结转和结余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29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年末结转和结余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30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31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371.52 </w:t>
            </w:r>
          </w:p>
        </w:tc>
        <w:tc>
          <w:tcPr>
            <w:tcW w:w="4802"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6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62 </w:t>
            </w:r>
          </w:p>
        </w:tc>
        <w:tc>
          <w:tcPr>
            <w:tcW w:w="256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371.52 </w:t>
            </w:r>
          </w:p>
        </w:tc>
      </w:tr>
      <w:tr>
        <w:tblPrEx>
          <w:tblCellMar>
            <w:top w:w="0" w:type="dxa"/>
            <w:left w:w="0" w:type="dxa"/>
            <w:bottom w:w="0" w:type="dxa"/>
            <w:right w:w="0" w:type="dxa"/>
          </w:tblCellMar>
        </w:tblPrEx>
        <w:trPr>
          <w:tblCellSpacing w:w="0" w:type="dxa"/>
          <w:jc w:val="center"/>
        </w:trPr>
        <w:tc>
          <w:tcPr>
            <w:tcW w:w="16038" w:type="dxa"/>
            <w:gridSpan w:val="6"/>
            <w:vAlign w:val="center"/>
          </w:tcPr>
          <w:p>
            <w:pPr>
              <w:pStyle w:val="6"/>
              <w:rPr>
                <w:sz w:val="22"/>
                <w:szCs w:val="22"/>
              </w:rPr>
            </w:pPr>
            <w:r>
              <w:rPr>
                <w:rFonts w:hint="eastAsia"/>
                <w:sz w:val="22"/>
                <w:szCs w:val="22"/>
              </w:rPr>
              <w:t xml:space="preserve">注：本表反映部门本年度的总收支和年末结转结余情况。本套报表金额单位转换时可能存在尾数误差。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402"/>
        <w:gridCol w:w="402"/>
        <w:gridCol w:w="408"/>
        <w:gridCol w:w="3525"/>
        <w:gridCol w:w="1613"/>
        <w:gridCol w:w="1613"/>
        <w:gridCol w:w="1613"/>
        <w:gridCol w:w="1613"/>
        <w:gridCol w:w="1613"/>
        <w:gridCol w:w="1613"/>
        <w:gridCol w:w="1623"/>
      </w:tblGrid>
      <w:tr>
        <w:tblPrEx>
          <w:tblCellMar>
            <w:top w:w="0" w:type="dxa"/>
            <w:left w:w="0" w:type="dxa"/>
            <w:bottom w:w="0" w:type="dxa"/>
            <w:right w:w="0" w:type="dxa"/>
          </w:tblCellMar>
        </w:tblPrEx>
        <w:trPr>
          <w:tblCellSpacing w:w="0" w:type="dxa"/>
          <w:jc w:val="center"/>
        </w:trPr>
        <w:tc>
          <w:tcPr>
            <w:tcW w:w="16038" w:type="dxa"/>
            <w:gridSpan w:val="11"/>
            <w:vAlign w:val="center"/>
          </w:tcPr>
          <w:p>
            <w:pPr>
              <w:pStyle w:val="6"/>
              <w:jc w:val="center"/>
              <w:rPr>
                <w:sz w:val="22"/>
                <w:szCs w:val="22"/>
              </w:rPr>
            </w:pPr>
            <w:r>
              <w:rPr>
                <w:rFonts w:hint="eastAsia"/>
                <w:sz w:val="22"/>
                <w:szCs w:val="22"/>
              </w:rPr>
              <w:t xml:space="preserve">收入决算表 </w:t>
            </w:r>
          </w:p>
        </w:tc>
      </w:tr>
      <w:tr>
        <w:tblPrEx>
          <w:tblCellMar>
            <w:top w:w="0" w:type="dxa"/>
            <w:left w:w="0" w:type="dxa"/>
            <w:bottom w:w="0" w:type="dxa"/>
            <w:right w:w="0" w:type="dxa"/>
          </w:tblCellMar>
        </w:tblPrEx>
        <w:trPr>
          <w:tblCellSpacing w:w="0" w:type="dxa"/>
          <w:jc w:val="center"/>
        </w:trPr>
        <w:tc>
          <w:tcPr>
            <w:tcW w:w="402" w:type="dxa"/>
            <w:vAlign w:val="center"/>
          </w:tcPr>
          <w:p>
            <w:pPr>
              <w:pStyle w:val="6"/>
              <w:rPr>
                <w:sz w:val="22"/>
                <w:szCs w:val="22"/>
              </w:rPr>
            </w:pPr>
          </w:p>
        </w:tc>
        <w:tc>
          <w:tcPr>
            <w:tcW w:w="402" w:type="dxa"/>
            <w:vAlign w:val="center"/>
          </w:tcPr>
          <w:p>
            <w:pPr>
              <w:pStyle w:val="6"/>
              <w:rPr>
                <w:sz w:val="22"/>
                <w:szCs w:val="22"/>
              </w:rPr>
            </w:pPr>
          </w:p>
        </w:tc>
        <w:tc>
          <w:tcPr>
            <w:tcW w:w="408" w:type="dxa"/>
            <w:vAlign w:val="center"/>
          </w:tcPr>
          <w:p>
            <w:pPr>
              <w:pStyle w:val="6"/>
              <w:rPr>
                <w:sz w:val="22"/>
                <w:szCs w:val="22"/>
              </w:rPr>
            </w:pPr>
          </w:p>
        </w:tc>
        <w:tc>
          <w:tcPr>
            <w:tcW w:w="3525"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23" w:type="dxa"/>
            <w:vAlign w:val="center"/>
          </w:tcPr>
          <w:p>
            <w:pPr>
              <w:pStyle w:val="6"/>
              <w:jc w:val="right"/>
              <w:rPr>
                <w:sz w:val="20"/>
                <w:szCs w:val="20"/>
              </w:rPr>
            </w:pPr>
            <w:r>
              <w:rPr>
                <w:rFonts w:hint="eastAsia"/>
                <w:sz w:val="20"/>
                <w:szCs w:val="20"/>
              </w:rPr>
              <w:t xml:space="preserve">公开02表 </w:t>
            </w:r>
          </w:p>
        </w:tc>
      </w:tr>
      <w:tr>
        <w:tblPrEx>
          <w:tblCellMar>
            <w:top w:w="0" w:type="dxa"/>
            <w:left w:w="0" w:type="dxa"/>
            <w:bottom w:w="0" w:type="dxa"/>
            <w:right w:w="0" w:type="dxa"/>
          </w:tblCellMar>
        </w:tblPrEx>
        <w:trPr>
          <w:tblCellSpacing w:w="0" w:type="dxa"/>
          <w:jc w:val="center"/>
        </w:trPr>
        <w:tc>
          <w:tcPr>
            <w:tcW w:w="4737" w:type="dxa"/>
            <w:gridSpan w:val="4"/>
            <w:vAlign w:val="center"/>
          </w:tcPr>
          <w:p>
            <w:pPr>
              <w:pStyle w:val="6"/>
              <w:rPr>
                <w:sz w:val="22"/>
                <w:szCs w:val="22"/>
              </w:rPr>
            </w:pPr>
            <w:r>
              <w:rPr>
                <w:rFonts w:hint="eastAsia"/>
                <w:sz w:val="22"/>
                <w:szCs w:val="22"/>
              </w:rPr>
              <w:t xml:space="preserve">部门：浏阳市文化市场综合执法局 </w:t>
            </w: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13" w:type="dxa"/>
            <w:vAlign w:val="center"/>
          </w:tcPr>
          <w:p>
            <w:pPr>
              <w:pStyle w:val="6"/>
              <w:rPr>
                <w:sz w:val="22"/>
                <w:szCs w:val="22"/>
              </w:rPr>
            </w:pPr>
          </w:p>
        </w:tc>
        <w:tc>
          <w:tcPr>
            <w:tcW w:w="1623" w:type="dxa"/>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4737"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本年收入合计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财政拨款收入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上级补助收入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事业收入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经营收入 </w:t>
            </w:r>
          </w:p>
        </w:tc>
        <w:tc>
          <w:tcPr>
            <w:tcW w:w="161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附属单位上缴收入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其他收入 </w:t>
            </w:r>
          </w:p>
        </w:tc>
      </w:tr>
      <w:tr>
        <w:tblPrEx>
          <w:tblCellMar>
            <w:top w:w="0" w:type="dxa"/>
            <w:left w:w="0" w:type="dxa"/>
            <w:bottom w:w="0" w:type="dxa"/>
            <w:right w:w="0" w:type="dxa"/>
          </w:tblCellMar>
        </w:tblPrEx>
        <w:trPr>
          <w:trHeight w:val="285" w:hRule="atLeast"/>
          <w:tblCellSpacing w:w="0" w:type="dxa"/>
          <w:jc w:val="center"/>
        </w:trPr>
        <w:tc>
          <w:tcPr>
            <w:tcW w:w="1212"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352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212"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52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212"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52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1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4737"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r>
      <w:tr>
        <w:tblPrEx>
          <w:tblCellMar>
            <w:top w:w="0" w:type="dxa"/>
            <w:left w:w="0" w:type="dxa"/>
            <w:bottom w:w="0" w:type="dxa"/>
            <w:right w:w="0" w:type="dxa"/>
          </w:tblCellMar>
        </w:tblPrEx>
        <w:trPr>
          <w:tblCellSpacing w:w="0" w:type="dxa"/>
          <w:jc w:val="center"/>
        </w:trPr>
        <w:tc>
          <w:tcPr>
            <w:tcW w:w="4737"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371.52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347.53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24.00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文化旅游体育与传媒支出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357.28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340.28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文化和旅游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357.28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340.28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5.50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2070112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文化和旅游市场管理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334.77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324.77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2070199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其他文化和旅游支出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社会保障和就业支出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行政事业单位养老支出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2080501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行政单位离退休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6.45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6.45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2080506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机关事业单位职业年金缴费支出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22960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彩票公益金安排的支出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r>
      <w:tr>
        <w:tblPrEx>
          <w:tblCellMar>
            <w:top w:w="0" w:type="dxa"/>
            <w:left w:w="0" w:type="dxa"/>
            <w:bottom w:w="0" w:type="dxa"/>
            <w:right w:w="0" w:type="dxa"/>
          </w:tblCellMar>
        </w:tblPrEx>
        <w:trPr>
          <w:tblCellSpacing w:w="0" w:type="dxa"/>
          <w:jc w:val="center"/>
        </w:trPr>
        <w:tc>
          <w:tcPr>
            <w:tcW w:w="1212"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2296003 </w:t>
            </w:r>
          </w:p>
        </w:tc>
        <w:tc>
          <w:tcPr>
            <w:tcW w:w="3525"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用于体育事业的彩票公益金支出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1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r>
      <w:tr>
        <w:tblPrEx>
          <w:tblCellMar>
            <w:top w:w="0" w:type="dxa"/>
            <w:left w:w="0" w:type="dxa"/>
            <w:bottom w:w="0" w:type="dxa"/>
            <w:right w:w="0" w:type="dxa"/>
          </w:tblCellMar>
        </w:tblPrEx>
        <w:trPr>
          <w:tblCellSpacing w:w="0" w:type="dxa"/>
          <w:jc w:val="center"/>
        </w:trPr>
        <w:tc>
          <w:tcPr>
            <w:tcW w:w="16038" w:type="dxa"/>
            <w:gridSpan w:val="11"/>
            <w:vAlign w:val="center"/>
          </w:tcPr>
          <w:p>
            <w:pPr>
              <w:pStyle w:val="6"/>
              <w:rPr>
                <w:sz w:val="22"/>
                <w:szCs w:val="22"/>
              </w:rPr>
            </w:pPr>
            <w:r>
              <w:rPr>
                <w:rFonts w:hint="eastAsia"/>
                <w:sz w:val="22"/>
                <w:szCs w:val="22"/>
              </w:rPr>
              <w:t xml:space="preserve">注：本表反映部门本年度取得的各项收入情况。本表金额转换为万元时，因四舍五入可能存在尾数误差。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446"/>
        <w:gridCol w:w="446"/>
        <w:gridCol w:w="452"/>
        <w:gridCol w:w="3920"/>
        <w:gridCol w:w="1793"/>
        <w:gridCol w:w="1793"/>
        <w:gridCol w:w="1793"/>
        <w:gridCol w:w="1793"/>
        <w:gridCol w:w="1793"/>
        <w:gridCol w:w="1809"/>
      </w:tblGrid>
      <w:tr>
        <w:tblPrEx>
          <w:tblCellMar>
            <w:top w:w="0" w:type="dxa"/>
            <w:left w:w="0" w:type="dxa"/>
            <w:bottom w:w="0" w:type="dxa"/>
            <w:right w:w="0" w:type="dxa"/>
          </w:tblCellMar>
        </w:tblPrEx>
        <w:trPr>
          <w:tblCellSpacing w:w="0" w:type="dxa"/>
          <w:jc w:val="center"/>
        </w:trPr>
        <w:tc>
          <w:tcPr>
            <w:tcW w:w="16038" w:type="dxa"/>
            <w:gridSpan w:val="10"/>
            <w:vAlign w:val="center"/>
          </w:tcPr>
          <w:p>
            <w:pPr>
              <w:pStyle w:val="6"/>
              <w:jc w:val="center"/>
              <w:rPr>
                <w:sz w:val="22"/>
                <w:szCs w:val="22"/>
              </w:rPr>
            </w:pPr>
            <w:r>
              <w:rPr>
                <w:rFonts w:hint="eastAsia"/>
                <w:sz w:val="22"/>
                <w:szCs w:val="22"/>
              </w:rPr>
              <w:t xml:space="preserve">支出决算表 </w:t>
            </w:r>
          </w:p>
        </w:tc>
      </w:tr>
      <w:tr>
        <w:tblPrEx>
          <w:tblCellMar>
            <w:top w:w="0" w:type="dxa"/>
            <w:left w:w="0" w:type="dxa"/>
            <w:bottom w:w="0" w:type="dxa"/>
            <w:right w:w="0" w:type="dxa"/>
          </w:tblCellMar>
        </w:tblPrEx>
        <w:trPr>
          <w:tblCellSpacing w:w="0" w:type="dxa"/>
          <w:jc w:val="center"/>
        </w:trPr>
        <w:tc>
          <w:tcPr>
            <w:tcW w:w="446" w:type="dxa"/>
            <w:vAlign w:val="center"/>
          </w:tcPr>
          <w:p>
            <w:pPr>
              <w:pStyle w:val="6"/>
              <w:rPr>
                <w:sz w:val="22"/>
                <w:szCs w:val="22"/>
              </w:rPr>
            </w:pPr>
          </w:p>
        </w:tc>
        <w:tc>
          <w:tcPr>
            <w:tcW w:w="446" w:type="dxa"/>
            <w:vAlign w:val="center"/>
          </w:tcPr>
          <w:p>
            <w:pPr>
              <w:pStyle w:val="6"/>
              <w:rPr>
                <w:sz w:val="22"/>
                <w:szCs w:val="22"/>
              </w:rPr>
            </w:pPr>
          </w:p>
        </w:tc>
        <w:tc>
          <w:tcPr>
            <w:tcW w:w="452" w:type="dxa"/>
            <w:vAlign w:val="center"/>
          </w:tcPr>
          <w:p>
            <w:pPr>
              <w:pStyle w:val="6"/>
              <w:rPr>
                <w:sz w:val="22"/>
                <w:szCs w:val="22"/>
              </w:rPr>
            </w:pPr>
          </w:p>
        </w:tc>
        <w:tc>
          <w:tcPr>
            <w:tcW w:w="3920"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809" w:type="dxa"/>
            <w:vAlign w:val="center"/>
          </w:tcPr>
          <w:p>
            <w:pPr>
              <w:pStyle w:val="6"/>
              <w:jc w:val="right"/>
              <w:rPr>
                <w:sz w:val="20"/>
                <w:szCs w:val="20"/>
              </w:rPr>
            </w:pPr>
            <w:r>
              <w:rPr>
                <w:rFonts w:hint="eastAsia"/>
                <w:sz w:val="20"/>
                <w:szCs w:val="20"/>
              </w:rPr>
              <w:t xml:space="preserve">公开03表 </w:t>
            </w:r>
          </w:p>
        </w:tc>
      </w:tr>
      <w:tr>
        <w:tblPrEx>
          <w:tblCellMar>
            <w:top w:w="0" w:type="dxa"/>
            <w:left w:w="0" w:type="dxa"/>
            <w:bottom w:w="0" w:type="dxa"/>
            <w:right w:w="0" w:type="dxa"/>
          </w:tblCellMar>
        </w:tblPrEx>
        <w:trPr>
          <w:tblCellSpacing w:w="0" w:type="dxa"/>
          <w:jc w:val="center"/>
        </w:trPr>
        <w:tc>
          <w:tcPr>
            <w:tcW w:w="5264" w:type="dxa"/>
            <w:gridSpan w:val="4"/>
            <w:vAlign w:val="center"/>
          </w:tcPr>
          <w:p>
            <w:pPr>
              <w:pStyle w:val="6"/>
              <w:rPr>
                <w:sz w:val="22"/>
                <w:szCs w:val="22"/>
              </w:rPr>
            </w:pPr>
            <w:r>
              <w:rPr>
                <w:rFonts w:hint="eastAsia"/>
                <w:sz w:val="22"/>
                <w:szCs w:val="22"/>
              </w:rPr>
              <w:t xml:space="preserve">部门：浏阳市文化市场综合执法局 </w:t>
            </w: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1809" w:type="dxa"/>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本年支出合计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上缴上级支出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经营支出 </w:t>
            </w:r>
          </w:p>
        </w:tc>
        <w:tc>
          <w:tcPr>
            <w:tcW w:w="180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对附属单位补助支出 </w:t>
            </w:r>
          </w:p>
        </w:tc>
      </w:tr>
      <w:tr>
        <w:tblPrEx>
          <w:tblCellMar>
            <w:top w:w="0" w:type="dxa"/>
            <w:left w:w="0" w:type="dxa"/>
            <w:bottom w:w="0" w:type="dxa"/>
            <w:right w:w="0" w:type="dxa"/>
          </w:tblCellMar>
        </w:tblPrEx>
        <w:trPr>
          <w:trHeight w:val="285" w:hRule="atLeast"/>
          <w:tblCellSpacing w:w="0" w:type="dxa"/>
          <w:jc w:val="center"/>
        </w:trPr>
        <w:tc>
          <w:tcPr>
            <w:tcW w:w="1344"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392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371.52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260.05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111.47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文化旅游体育与传媒支出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357.28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252.80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104.47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文化和旅游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357.28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252.80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104.47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5.50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2070112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文化和旅游市场管理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334.77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247.30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87.47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2070199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其他文化和旅游支出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社会保障和就业支出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行政事业单位养老支出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2080501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行政单位离退休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6.45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6.45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2080506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机关事业单位职业年金缴费支出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22960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彩票公益金安排的支出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44"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2296003 </w:t>
            </w:r>
          </w:p>
        </w:tc>
        <w:tc>
          <w:tcPr>
            <w:tcW w:w="392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用于体育事业的彩票公益金支出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809"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6038" w:type="dxa"/>
            <w:gridSpan w:val="10"/>
            <w:vAlign w:val="center"/>
          </w:tcPr>
          <w:p>
            <w:pPr>
              <w:pStyle w:val="6"/>
              <w:rPr>
                <w:sz w:val="22"/>
                <w:szCs w:val="22"/>
              </w:rPr>
            </w:pPr>
            <w:r>
              <w:rPr>
                <w:rFonts w:hint="eastAsia"/>
                <w:sz w:val="22"/>
                <w:szCs w:val="22"/>
              </w:rPr>
              <w:t xml:space="preserve">注：本表反映部门本年度各项支出情况。本表金额转换为万元时，因四舍五入可能存在尾数误差。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3160"/>
        <w:gridCol w:w="549"/>
        <w:gridCol w:w="1626"/>
        <w:gridCol w:w="3538"/>
        <w:gridCol w:w="548"/>
        <w:gridCol w:w="1623"/>
        <w:gridCol w:w="1623"/>
        <w:gridCol w:w="1623"/>
        <w:gridCol w:w="1748"/>
      </w:tblGrid>
      <w:tr>
        <w:tblPrEx>
          <w:tblCellMar>
            <w:top w:w="0" w:type="dxa"/>
            <w:left w:w="0" w:type="dxa"/>
            <w:bottom w:w="0" w:type="dxa"/>
            <w:right w:w="0" w:type="dxa"/>
          </w:tblCellMar>
        </w:tblPrEx>
        <w:trPr>
          <w:tblCellSpacing w:w="0" w:type="dxa"/>
          <w:jc w:val="center"/>
        </w:trPr>
        <w:tc>
          <w:tcPr>
            <w:tcW w:w="16038" w:type="dxa"/>
            <w:gridSpan w:val="9"/>
            <w:vAlign w:val="center"/>
          </w:tcPr>
          <w:p>
            <w:pPr>
              <w:pStyle w:val="6"/>
              <w:jc w:val="center"/>
              <w:rPr>
                <w:sz w:val="22"/>
                <w:szCs w:val="22"/>
              </w:rPr>
            </w:pPr>
            <w:r>
              <w:rPr>
                <w:rFonts w:hint="eastAsia"/>
                <w:sz w:val="22"/>
                <w:szCs w:val="22"/>
              </w:rPr>
              <w:t xml:space="preserve">财政拨款收入支出决算总表 </w:t>
            </w:r>
          </w:p>
        </w:tc>
      </w:tr>
      <w:tr>
        <w:tblPrEx>
          <w:tblCellMar>
            <w:top w:w="0" w:type="dxa"/>
            <w:left w:w="0" w:type="dxa"/>
            <w:bottom w:w="0" w:type="dxa"/>
            <w:right w:w="0" w:type="dxa"/>
          </w:tblCellMar>
        </w:tblPrEx>
        <w:trPr>
          <w:tblCellSpacing w:w="0" w:type="dxa"/>
          <w:jc w:val="center"/>
        </w:trPr>
        <w:tc>
          <w:tcPr>
            <w:tcW w:w="3160" w:type="dxa"/>
            <w:vAlign w:val="center"/>
          </w:tcPr>
          <w:p>
            <w:pPr>
              <w:pStyle w:val="6"/>
              <w:rPr>
                <w:sz w:val="22"/>
                <w:szCs w:val="22"/>
              </w:rPr>
            </w:pPr>
          </w:p>
        </w:tc>
        <w:tc>
          <w:tcPr>
            <w:tcW w:w="549" w:type="dxa"/>
            <w:vAlign w:val="center"/>
          </w:tcPr>
          <w:p>
            <w:pPr>
              <w:pStyle w:val="6"/>
              <w:rPr>
                <w:sz w:val="22"/>
                <w:szCs w:val="22"/>
              </w:rPr>
            </w:pPr>
          </w:p>
        </w:tc>
        <w:tc>
          <w:tcPr>
            <w:tcW w:w="1626" w:type="dxa"/>
            <w:vAlign w:val="center"/>
          </w:tcPr>
          <w:p>
            <w:pPr>
              <w:pStyle w:val="6"/>
              <w:rPr>
                <w:sz w:val="22"/>
                <w:szCs w:val="22"/>
              </w:rPr>
            </w:pPr>
          </w:p>
        </w:tc>
        <w:tc>
          <w:tcPr>
            <w:tcW w:w="3538" w:type="dxa"/>
            <w:vAlign w:val="center"/>
          </w:tcPr>
          <w:p>
            <w:pPr>
              <w:pStyle w:val="6"/>
              <w:rPr>
                <w:sz w:val="22"/>
                <w:szCs w:val="22"/>
              </w:rPr>
            </w:pPr>
          </w:p>
        </w:tc>
        <w:tc>
          <w:tcPr>
            <w:tcW w:w="548"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748" w:type="dxa"/>
            <w:vAlign w:val="center"/>
          </w:tcPr>
          <w:p>
            <w:pPr>
              <w:pStyle w:val="6"/>
              <w:jc w:val="right"/>
              <w:rPr>
                <w:sz w:val="20"/>
                <w:szCs w:val="20"/>
              </w:rPr>
            </w:pPr>
            <w:r>
              <w:rPr>
                <w:rFonts w:hint="eastAsia"/>
                <w:sz w:val="20"/>
                <w:szCs w:val="20"/>
              </w:rPr>
              <w:t xml:space="preserve">公开04表 </w:t>
            </w:r>
          </w:p>
        </w:tc>
      </w:tr>
      <w:tr>
        <w:tblPrEx>
          <w:tblCellMar>
            <w:top w:w="0" w:type="dxa"/>
            <w:left w:w="0" w:type="dxa"/>
            <w:bottom w:w="0" w:type="dxa"/>
            <w:right w:w="0" w:type="dxa"/>
          </w:tblCellMar>
        </w:tblPrEx>
        <w:trPr>
          <w:tblCellSpacing w:w="0" w:type="dxa"/>
          <w:jc w:val="center"/>
        </w:trPr>
        <w:tc>
          <w:tcPr>
            <w:tcW w:w="3160" w:type="dxa"/>
            <w:vAlign w:val="center"/>
          </w:tcPr>
          <w:p>
            <w:pPr>
              <w:pStyle w:val="6"/>
              <w:rPr>
                <w:sz w:val="20"/>
                <w:szCs w:val="20"/>
              </w:rPr>
            </w:pPr>
            <w:r>
              <w:rPr>
                <w:rFonts w:hint="eastAsia"/>
                <w:sz w:val="20"/>
                <w:szCs w:val="20"/>
              </w:rPr>
              <w:t xml:space="preserve">部门：浏阳市文化市场综合执法局 </w:t>
            </w:r>
          </w:p>
        </w:tc>
        <w:tc>
          <w:tcPr>
            <w:tcW w:w="549" w:type="dxa"/>
            <w:vAlign w:val="center"/>
          </w:tcPr>
          <w:p>
            <w:pPr>
              <w:pStyle w:val="6"/>
              <w:rPr>
                <w:sz w:val="22"/>
                <w:szCs w:val="22"/>
              </w:rPr>
            </w:pPr>
          </w:p>
        </w:tc>
        <w:tc>
          <w:tcPr>
            <w:tcW w:w="1626" w:type="dxa"/>
            <w:vAlign w:val="center"/>
          </w:tcPr>
          <w:p>
            <w:pPr>
              <w:pStyle w:val="6"/>
              <w:rPr>
                <w:sz w:val="22"/>
                <w:szCs w:val="22"/>
              </w:rPr>
            </w:pPr>
          </w:p>
        </w:tc>
        <w:tc>
          <w:tcPr>
            <w:tcW w:w="3538" w:type="dxa"/>
            <w:vAlign w:val="center"/>
          </w:tcPr>
          <w:p>
            <w:pPr>
              <w:pStyle w:val="6"/>
              <w:rPr>
                <w:sz w:val="22"/>
                <w:szCs w:val="22"/>
              </w:rPr>
            </w:pPr>
          </w:p>
        </w:tc>
        <w:tc>
          <w:tcPr>
            <w:tcW w:w="548"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623" w:type="dxa"/>
            <w:vAlign w:val="center"/>
          </w:tcPr>
          <w:p>
            <w:pPr>
              <w:pStyle w:val="6"/>
              <w:rPr>
                <w:sz w:val="22"/>
                <w:szCs w:val="22"/>
              </w:rPr>
            </w:pPr>
          </w:p>
        </w:tc>
        <w:tc>
          <w:tcPr>
            <w:tcW w:w="1748" w:type="dxa"/>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5335"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收 入 </w:t>
            </w:r>
          </w:p>
        </w:tc>
        <w:tc>
          <w:tcPr>
            <w:tcW w:w="10703"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支 出 </w:t>
            </w:r>
          </w:p>
        </w:tc>
      </w:tr>
      <w:tr>
        <w:tblPrEx>
          <w:tblCellMar>
            <w:top w:w="0" w:type="dxa"/>
            <w:left w:w="0" w:type="dxa"/>
            <w:bottom w:w="0" w:type="dxa"/>
            <w:right w:w="0" w:type="dxa"/>
          </w:tblCellMar>
        </w:tblPrEx>
        <w:trPr>
          <w:trHeight w:val="285" w:hRule="atLeast"/>
          <w:tblCellSpacing w:w="0" w:type="dxa"/>
          <w:jc w:val="center"/>
        </w:trPr>
        <w:tc>
          <w:tcPr>
            <w:tcW w:w="316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54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1626"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金额 </w:t>
            </w:r>
          </w:p>
        </w:tc>
        <w:tc>
          <w:tcPr>
            <w:tcW w:w="353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54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行次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一般公共预算财政拨款 </w:t>
            </w:r>
          </w:p>
        </w:tc>
        <w:tc>
          <w:tcPr>
            <w:tcW w:w="162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政府性基金预算财政拨款 </w:t>
            </w:r>
          </w:p>
        </w:tc>
        <w:tc>
          <w:tcPr>
            <w:tcW w:w="174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国有资本经营预算财政拨款 </w:t>
            </w:r>
          </w:p>
        </w:tc>
      </w:tr>
      <w:tr>
        <w:tblPrEx>
          <w:tblCellMar>
            <w:top w:w="0" w:type="dxa"/>
            <w:left w:w="0" w:type="dxa"/>
            <w:bottom w:w="0" w:type="dxa"/>
            <w:right w:w="0" w:type="dxa"/>
          </w:tblCellMar>
        </w:tblPrEx>
        <w:trPr>
          <w:trHeight w:val="285" w:hRule="atLeast"/>
          <w:tblCellSpacing w:w="0" w:type="dxa"/>
          <w:jc w:val="center"/>
        </w:trPr>
        <w:tc>
          <w:tcPr>
            <w:tcW w:w="316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4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6"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53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4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62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4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一、一般公共服务支出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二、政府性基金预算财政拨款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二、外交支出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三、国有资本经营财政拨款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三、国防支出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四、公共安全支出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五、教育支出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六、科学技术支出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七、文化旅游体育与传媒支出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39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340.28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340.28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八、社会保障和就业支出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九、卫生健康支出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十、节能环保支出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十一、城乡社区支出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十二、农林水支出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13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十三、交通运输支出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14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十四、资源勘探工业信息等支出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15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十五、商业服务业等支出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16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十六、金融支出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17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十七、援助其他地区支出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49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18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十八、自然资源海洋气象等支出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19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十九、住房保障支出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20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二十、粮油物资储备支出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二十一、国有资本经营预算支出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二十二、灾害防治及应急管理支出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23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二十三、其他支出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55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24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二十四、债务还本支出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56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25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二十五、债务付息支出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57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26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二十六、抗疫特别国债安排的支出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58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本年收入合计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27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本年支出合计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59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年初财政拨款结转和结余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28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年末财政拨款结转和结余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60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一般公共预算财政拨款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29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61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政府性基金预算财政拨款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30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62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国有资本经营预算财政拨款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31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31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54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32 </w:t>
            </w:r>
          </w:p>
        </w:tc>
        <w:tc>
          <w:tcPr>
            <w:tcW w:w="1626"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353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总计 </w:t>
            </w:r>
          </w:p>
        </w:tc>
        <w:tc>
          <w:tcPr>
            <w:tcW w:w="548"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64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347.53 </w:t>
            </w:r>
          </w:p>
        </w:tc>
        <w:tc>
          <w:tcPr>
            <w:tcW w:w="1623"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748"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6038" w:type="dxa"/>
            <w:gridSpan w:val="9"/>
            <w:vAlign w:val="center"/>
          </w:tcPr>
          <w:p>
            <w:pPr>
              <w:pStyle w:val="6"/>
              <w:rPr>
                <w:sz w:val="22"/>
                <w:szCs w:val="22"/>
              </w:rPr>
            </w:pPr>
            <w:r>
              <w:rPr>
                <w:rFonts w:hint="eastAsia"/>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6"/>
        <w:rPr>
          <w:color w:val="000000"/>
        </w:rPr>
      </w:pPr>
    </w:p>
    <w:p>
      <w:pPr>
        <w:pStyle w:val="6"/>
        <w:spacing w:before="0" w:beforeAutospacing="0" w:after="2" w:afterAutospacing="0"/>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453"/>
        <w:gridCol w:w="453"/>
        <w:gridCol w:w="455"/>
        <w:gridCol w:w="5398"/>
        <w:gridCol w:w="3092"/>
        <w:gridCol w:w="3092"/>
        <w:gridCol w:w="3095"/>
      </w:tblGrid>
      <w:tr>
        <w:tblPrEx>
          <w:tblCellMar>
            <w:top w:w="0" w:type="dxa"/>
            <w:left w:w="0" w:type="dxa"/>
            <w:bottom w:w="0" w:type="dxa"/>
            <w:right w:w="0" w:type="dxa"/>
          </w:tblCellMar>
        </w:tblPrEx>
        <w:trPr>
          <w:tblCellSpacing w:w="0" w:type="dxa"/>
          <w:jc w:val="center"/>
        </w:trPr>
        <w:tc>
          <w:tcPr>
            <w:tcW w:w="16038" w:type="dxa"/>
            <w:gridSpan w:val="7"/>
            <w:vAlign w:val="center"/>
          </w:tcPr>
          <w:p>
            <w:pPr>
              <w:pStyle w:val="6"/>
              <w:jc w:val="center"/>
              <w:rPr>
                <w:sz w:val="22"/>
                <w:szCs w:val="22"/>
              </w:rPr>
            </w:pPr>
            <w:r>
              <w:rPr>
                <w:rFonts w:hint="eastAsia"/>
                <w:sz w:val="22"/>
                <w:szCs w:val="22"/>
              </w:rPr>
              <w:t xml:space="preserve">一般公共预算财政拨款支出决算表 </w:t>
            </w:r>
          </w:p>
        </w:tc>
      </w:tr>
      <w:tr>
        <w:tblPrEx>
          <w:tblCellMar>
            <w:top w:w="0" w:type="dxa"/>
            <w:left w:w="0" w:type="dxa"/>
            <w:bottom w:w="0" w:type="dxa"/>
            <w:right w:w="0" w:type="dxa"/>
          </w:tblCellMar>
        </w:tblPrEx>
        <w:trPr>
          <w:tblCellSpacing w:w="0" w:type="dxa"/>
          <w:jc w:val="center"/>
        </w:trPr>
        <w:tc>
          <w:tcPr>
            <w:tcW w:w="453" w:type="dxa"/>
            <w:vAlign w:val="center"/>
          </w:tcPr>
          <w:p>
            <w:pPr>
              <w:pStyle w:val="6"/>
              <w:rPr>
                <w:sz w:val="22"/>
                <w:szCs w:val="22"/>
              </w:rPr>
            </w:pPr>
          </w:p>
        </w:tc>
        <w:tc>
          <w:tcPr>
            <w:tcW w:w="453" w:type="dxa"/>
            <w:vAlign w:val="center"/>
          </w:tcPr>
          <w:p>
            <w:pPr>
              <w:pStyle w:val="6"/>
              <w:rPr>
                <w:sz w:val="22"/>
                <w:szCs w:val="22"/>
              </w:rPr>
            </w:pPr>
          </w:p>
        </w:tc>
        <w:tc>
          <w:tcPr>
            <w:tcW w:w="455" w:type="dxa"/>
            <w:vAlign w:val="center"/>
          </w:tcPr>
          <w:p>
            <w:pPr>
              <w:pStyle w:val="6"/>
              <w:rPr>
                <w:sz w:val="22"/>
                <w:szCs w:val="22"/>
              </w:rPr>
            </w:pPr>
          </w:p>
        </w:tc>
        <w:tc>
          <w:tcPr>
            <w:tcW w:w="5398" w:type="dxa"/>
            <w:vAlign w:val="center"/>
          </w:tcPr>
          <w:p>
            <w:pPr>
              <w:pStyle w:val="6"/>
              <w:rPr>
                <w:sz w:val="22"/>
                <w:szCs w:val="22"/>
              </w:rPr>
            </w:pPr>
          </w:p>
        </w:tc>
        <w:tc>
          <w:tcPr>
            <w:tcW w:w="3092" w:type="dxa"/>
            <w:vAlign w:val="center"/>
          </w:tcPr>
          <w:p>
            <w:pPr>
              <w:pStyle w:val="6"/>
              <w:rPr>
                <w:sz w:val="22"/>
                <w:szCs w:val="22"/>
              </w:rPr>
            </w:pPr>
          </w:p>
        </w:tc>
        <w:tc>
          <w:tcPr>
            <w:tcW w:w="3092" w:type="dxa"/>
            <w:vAlign w:val="center"/>
          </w:tcPr>
          <w:p>
            <w:pPr>
              <w:pStyle w:val="6"/>
              <w:rPr>
                <w:sz w:val="22"/>
                <w:szCs w:val="22"/>
              </w:rPr>
            </w:pPr>
          </w:p>
        </w:tc>
        <w:tc>
          <w:tcPr>
            <w:tcW w:w="3095" w:type="dxa"/>
            <w:vAlign w:val="center"/>
          </w:tcPr>
          <w:p>
            <w:pPr>
              <w:pStyle w:val="6"/>
              <w:jc w:val="right"/>
              <w:rPr>
                <w:sz w:val="20"/>
                <w:szCs w:val="20"/>
              </w:rPr>
            </w:pPr>
            <w:r>
              <w:rPr>
                <w:rFonts w:hint="eastAsia"/>
                <w:sz w:val="20"/>
                <w:szCs w:val="20"/>
              </w:rPr>
              <w:t xml:space="preserve">公开05表 </w:t>
            </w:r>
          </w:p>
        </w:tc>
      </w:tr>
      <w:tr>
        <w:tblPrEx>
          <w:tblCellMar>
            <w:top w:w="0" w:type="dxa"/>
            <w:left w:w="0" w:type="dxa"/>
            <w:bottom w:w="0" w:type="dxa"/>
            <w:right w:w="0" w:type="dxa"/>
          </w:tblCellMar>
        </w:tblPrEx>
        <w:trPr>
          <w:tblCellSpacing w:w="0" w:type="dxa"/>
          <w:jc w:val="center"/>
        </w:trPr>
        <w:tc>
          <w:tcPr>
            <w:tcW w:w="6759" w:type="dxa"/>
            <w:gridSpan w:val="4"/>
            <w:vAlign w:val="center"/>
          </w:tcPr>
          <w:p>
            <w:pPr>
              <w:pStyle w:val="6"/>
              <w:rPr>
                <w:sz w:val="22"/>
                <w:szCs w:val="22"/>
              </w:rPr>
            </w:pPr>
            <w:r>
              <w:rPr>
                <w:rFonts w:hint="eastAsia"/>
                <w:sz w:val="22"/>
                <w:szCs w:val="22"/>
              </w:rPr>
              <w:t xml:space="preserve">部门：浏阳市文化市场综合执法局 </w:t>
            </w:r>
          </w:p>
        </w:tc>
        <w:tc>
          <w:tcPr>
            <w:tcW w:w="3092" w:type="dxa"/>
            <w:vAlign w:val="center"/>
          </w:tcPr>
          <w:p>
            <w:pPr>
              <w:pStyle w:val="6"/>
              <w:rPr>
                <w:sz w:val="22"/>
                <w:szCs w:val="22"/>
              </w:rPr>
            </w:pPr>
          </w:p>
        </w:tc>
        <w:tc>
          <w:tcPr>
            <w:tcW w:w="3092" w:type="dxa"/>
            <w:vAlign w:val="center"/>
          </w:tcPr>
          <w:p>
            <w:pPr>
              <w:pStyle w:val="6"/>
              <w:rPr>
                <w:sz w:val="22"/>
                <w:szCs w:val="22"/>
              </w:rPr>
            </w:pPr>
          </w:p>
        </w:tc>
        <w:tc>
          <w:tcPr>
            <w:tcW w:w="3095" w:type="dxa"/>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6759"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927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1361"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5398"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3092"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3092"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309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136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39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36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5398"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2"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09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6759"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6759"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347.53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260.05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r>
              <w:rPr>
                <w:rFonts w:hint="eastAsia"/>
                <w:b/>
                <w:bCs/>
                <w:sz w:val="22"/>
                <w:szCs w:val="22"/>
              </w:rPr>
              <w:t xml:space="preserve">87.47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文化旅游体育与传媒支出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340.28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252.80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87.47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文化和旅游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340.28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252.80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87.47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行政运行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5.50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5.50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2070112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文化和旅游市场管理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324.77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247.30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77.47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2070199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其他文化和旅游支出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10.00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社会保障和就业支出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行政事业单位养老支出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7.25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2080501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行政单位离退休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6.45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6.45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361" w:type="dxa"/>
            <w:gridSpan w:val="3"/>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2080506 </w:t>
            </w:r>
          </w:p>
        </w:tc>
        <w:tc>
          <w:tcPr>
            <w:tcW w:w="5398"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机关事业单位职业年金缴费支出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0.80 </w:t>
            </w:r>
          </w:p>
        </w:tc>
        <w:tc>
          <w:tcPr>
            <w:tcW w:w="3092"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0.80 </w:t>
            </w:r>
          </w:p>
        </w:tc>
        <w:tc>
          <w:tcPr>
            <w:tcW w:w="309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r>
      <w:tr>
        <w:tblPrEx>
          <w:tblCellMar>
            <w:top w:w="0" w:type="dxa"/>
            <w:left w:w="0" w:type="dxa"/>
            <w:bottom w:w="0" w:type="dxa"/>
            <w:right w:w="0" w:type="dxa"/>
          </w:tblCellMar>
        </w:tblPrEx>
        <w:trPr>
          <w:tblCellSpacing w:w="0" w:type="dxa"/>
          <w:jc w:val="center"/>
        </w:trPr>
        <w:tc>
          <w:tcPr>
            <w:tcW w:w="16038" w:type="dxa"/>
            <w:gridSpan w:val="7"/>
            <w:vAlign w:val="center"/>
          </w:tcPr>
          <w:p>
            <w:pPr>
              <w:pStyle w:val="6"/>
              <w:rPr>
                <w:sz w:val="22"/>
                <w:szCs w:val="22"/>
              </w:rPr>
            </w:pPr>
            <w:r>
              <w:rPr>
                <w:rFonts w:hint="eastAsia"/>
                <w:sz w:val="22"/>
                <w:szCs w:val="22"/>
              </w:rPr>
              <w:t xml:space="preserve">注：本表反映部门本年度一般公共预算财政拨款支出情况。本表金额转换为万元时，因四舍五入可能存在尾数误差。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761"/>
        <w:gridCol w:w="2989"/>
        <w:gridCol w:w="1527"/>
        <w:gridCol w:w="760"/>
        <w:gridCol w:w="2351"/>
        <w:gridCol w:w="1524"/>
        <w:gridCol w:w="760"/>
        <w:gridCol w:w="3836"/>
        <w:gridCol w:w="1530"/>
      </w:tblGrid>
      <w:tr>
        <w:tblPrEx>
          <w:tblCellMar>
            <w:top w:w="0" w:type="dxa"/>
            <w:left w:w="0" w:type="dxa"/>
            <w:bottom w:w="0" w:type="dxa"/>
            <w:right w:w="0" w:type="dxa"/>
          </w:tblCellMar>
        </w:tblPrEx>
        <w:trPr>
          <w:tblCellSpacing w:w="0" w:type="dxa"/>
          <w:jc w:val="center"/>
        </w:trPr>
        <w:tc>
          <w:tcPr>
            <w:tcW w:w="16038" w:type="dxa"/>
            <w:gridSpan w:val="9"/>
            <w:vAlign w:val="center"/>
          </w:tcPr>
          <w:p>
            <w:pPr>
              <w:pStyle w:val="6"/>
              <w:jc w:val="center"/>
              <w:rPr>
                <w:sz w:val="22"/>
                <w:szCs w:val="22"/>
              </w:rPr>
            </w:pPr>
            <w:r>
              <w:rPr>
                <w:rFonts w:hint="eastAsia"/>
                <w:sz w:val="22"/>
                <w:szCs w:val="22"/>
              </w:rPr>
              <w:t xml:space="preserve">一般公共预算财政拨款基本支出决算表 </w:t>
            </w:r>
          </w:p>
        </w:tc>
      </w:tr>
      <w:tr>
        <w:tblPrEx>
          <w:tblCellMar>
            <w:top w:w="0" w:type="dxa"/>
            <w:left w:w="0" w:type="dxa"/>
            <w:bottom w:w="0" w:type="dxa"/>
            <w:right w:w="0" w:type="dxa"/>
          </w:tblCellMar>
        </w:tblPrEx>
        <w:trPr>
          <w:tblCellSpacing w:w="0" w:type="dxa"/>
          <w:jc w:val="center"/>
        </w:trPr>
        <w:tc>
          <w:tcPr>
            <w:tcW w:w="761" w:type="dxa"/>
            <w:vAlign w:val="center"/>
          </w:tcPr>
          <w:p>
            <w:pPr>
              <w:pStyle w:val="6"/>
              <w:rPr>
                <w:sz w:val="22"/>
                <w:szCs w:val="22"/>
              </w:rPr>
            </w:pPr>
          </w:p>
        </w:tc>
        <w:tc>
          <w:tcPr>
            <w:tcW w:w="2989" w:type="dxa"/>
            <w:vAlign w:val="center"/>
          </w:tcPr>
          <w:p>
            <w:pPr>
              <w:pStyle w:val="6"/>
              <w:rPr>
                <w:sz w:val="22"/>
                <w:szCs w:val="22"/>
              </w:rPr>
            </w:pPr>
          </w:p>
        </w:tc>
        <w:tc>
          <w:tcPr>
            <w:tcW w:w="1527" w:type="dxa"/>
            <w:vAlign w:val="center"/>
          </w:tcPr>
          <w:p>
            <w:pPr>
              <w:pStyle w:val="6"/>
              <w:rPr>
                <w:sz w:val="22"/>
                <w:szCs w:val="22"/>
              </w:rPr>
            </w:pPr>
          </w:p>
        </w:tc>
        <w:tc>
          <w:tcPr>
            <w:tcW w:w="760" w:type="dxa"/>
            <w:vAlign w:val="center"/>
          </w:tcPr>
          <w:p>
            <w:pPr>
              <w:pStyle w:val="6"/>
              <w:rPr>
                <w:sz w:val="22"/>
                <w:szCs w:val="22"/>
              </w:rPr>
            </w:pPr>
          </w:p>
        </w:tc>
        <w:tc>
          <w:tcPr>
            <w:tcW w:w="2351" w:type="dxa"/>
            <w:vAlign w:val="center"/>
          </w:tcPr>
          <w:p>
            <w:pPr>
              <w:pStyle w:val="6"/>
              <w:rPr>
                <w:sz w:val="22"/>
                <w:szCs w:val="22"/>
              </w:rPr>
            </w:pPr>
          </w:p>
        </w:tc>
        <w:tc>
          <w:tcPr>
            <w:tcW w:w="1524" w:type="dxa"/>
            <w:vAlign w:val="center"/>
          </w:tcPr>
          <w:p>
            <w:pPr>
              <w:pStyle w:val="6"/>
              <w:rPr>
                <w:sz w:val="22"/>
                <w:szCs w:val="22"/>
              </w:rPr>
            </w:pPr>
          </w:p>
        </w:tc>
        <w:tc>
          <w:tcPr>
            <w:tcW w:w="760" w:type="dxa"/>
            <w:vAlign w:val="center"/>
          </w:tcPr>
          <w:p>
            <w:pPr>
              <w:pStyle w:val="6"/>
              <w:rPr>
                <w:sz w:val="22"/>
                <w:szCs w:val="22"/>
              </w:rPr>
            </w:pPr>
          </w:p>
        </w:tc>
        <w:tc>
          <w:tcPr>
            <w:tcW w:w="3836" w:type="dxa"/>
            <w:vAlign w:val="center"/>
          </w:tcPr>
          <w:p>
            <w:pPr>
              <w:pStyle w:val="6"/>
              <w:rPr>
                <w:sz w:val="22"/>
                <w:szCs w:val="22"/>
              </w:rPr>
            </w:pPr>
          </w:p>
        </w:tc>
        <w:tc>
          <w:tcPr>
            <w:tcW w:w="1530" w:type="dxa"/>
            <w:vAlign w:val="center"/>
          </w:tcPr>
          <w:p>
            <w:pPr>
              <w:pStyle w:val="6"/>
              <w:jc w:val="right"/>
              <w:rPr>
                <w:sz w:val="18"/>
                <w:szCs w:val="18"/>
              </w:rPr>
            </w:pPr>
            <w:r>
              <w:rPr>
                <w:rFonts w:hint="eastAsia"/>
                <w:sz w:val="18"/>
                <w:szCs w:val="18"/>
              </w:rPr>
              <w:t xml:space="preserve">公开06表 </w:t>
            </w:r>
          </w:p>
        </w:tc>
      </w:tr>
      <w:tr>
        <w:tblPrEx>
          <w:tblCellMar>
            <w:top w:w="0" w:type="dxa"/>
            <w:left w:w="0" w:type="dxa"/>
            <w:bottom w:w="0" w:type="dxa"/>
            <w:right w:w="0" w:type="dxa"/>
          </w:tblCellMar>
        </w:tblPrEx>
        <w:trPr>
          <w:tblCellSpacing w:w="0" w:type="dxa"/>
          <w:jc w:val="center"/>
        </w:trPr>
        <w:tc>
          <w:tcPr>
            <w:tcW w:w="3750" w:type="dxa"/>
            <w:gridSpan w:val="2"/>
            <w:vAlign w:val="center"/>
          </w:tcPr>
          <w:p>
            <w:pPr>
              <w:pStyle w:val="6"/>
              <w:rPr>
                <w:sz w:val="22"/>
                <w:szCs w:val="22"/>
              </w:rPr>
            </w:pPr>
            <w:r>
              <w:rPr>
                <w:rFonts w:hint="eastAsia"/>
                <w:sz w:val="22"/>
                <w:szCs w:val="22"/>
              </w:rPr>
              <w:t xml:space="preserve">部门：浏阳市文化市场综合执法局 </w:t>
            </w:r>
          </w:p>
        </w:tc>
        <w:tc>
          <w:tcPr>
            <w:tcW w:w="1527" w:type="dxa"/>
            <w:vAlign w:val="center"/>
          </w:tcPr>
          <w:p>
            <w:pPr>
              <w:pStyle w:val="6"/>
              <w:rPr>
                <w:sz w:val="22"/>
                <w:szCs w:val="22"/>
              </w:rPr>
            </w:pPr>
          </w:p>
        </w:tc>
        <w:tc>
          <w:tcPr>
            <w:tcW w:w="760" w:type="dxa"/>
            <w:vAlign w:val="center"/>
          </w:tcPr>
          <w:p>
            <w:pPr>
              <w:pStyle w:val="6"/>
              <w:rPr>
                <w:sz w:val="22"/>
                <w:szCs w:val="22"/>
              </w:rPr>
            </w:pPr>
          </w:p>
        </w:tc>
        <w:tc>
          <w:tcPr>
            <w:tcW w:w="2351" w:type="dxa"/>
            <w:vAlign w:val="center"/>
          </w:tcPr>
          <w:p>
            <w:pPr>
              <w:pStyle w:val="6"/>
              <w:rPr>
                <w:sz w:val="22"/>
                <w:szCs w:val="22"/>
              </w:rPr>
            </w:pPr>
          </w:p>
        </w:tc>
        <w:tc>
          <w:tcPr>
            <w:tcW w:w="1524" w:type="dxa"/>
            <w:vAlign w:val="center"/>
          </w:tcPr>
          <w:p>
            <w:pPr>
              <w:pStyle w:val="6"/>
              <w:rPr>
                <w:sz w:val="22"/>
                <w:szCs w:val="22"/>
              </w:rPr>
            </w:pPr>
          </w:p>
        </w:tc>
        <w:tc>
          <w:tcPr>
            <w:tcW w:w="760" w:type="dxa"/>
            <w:vAlign w:val="center"/>
          </w:tcPr>
          <w:p>
            <w:pPr>
              <w:pStyle w:val="6"/>
              <w:rPr>
                <w:sz w:val="22"/>
                <w:szCs w:val="22"/>
              </w:rPr>
            </w:pPr>
          </w:p>
        </w:tc>
        <w:tc>
          <w:tcPr>
            <w:tcW w:w="3836" w:type="dxa"/>
            <w:vAlign w:val="center"/>
          </w:tcPr>
          <w:p>
            <w:pPr>
              <w:pStyle w:val="6"/>
              <w:rPr>
                <w:sz w:val="22"/>
                <w:szCs w:val="22"/>
              </w:rPr>
            </w:pPr>
          </w:p>
        </w:tc>
        <w:tc>
          <w:tcPr>
            <w:tcW w:w="1530" w:type="dxa"/>
            <w:vAlign w:val="center"/>
          </w:tcPr>
          <w:p>
            <w:pPr>
              <w:pStyle w:val="6"/>
              <w:jc w:val="right"/>
              <w:rPr>
                <w:sz w:val="18"/>
                <w:szCs w:val="18"/>
              </w:rPr>
            </w:pPr>
            <w:r>
              <w:rPr>
                <w:rFonts w:hint="eastAsia"/>
                <w:sz w:val="18"/>
                <w:szCs w:val="18"/>
              </w:rPr>
              <w:t xml:space="preserve">金额单位：万元 </w:t>
            </w:r>
          </w:p>
        </w:tc>
      </w:tr>
      <w:tr>
        <w:tblPrEx>
          <w:tblCellMar>
            <w:top w:w="0" w:type="dxa"/>
            <w:left w:w="0" w:type="dxa"/>
            <w:bottom w:w="0" w:type="dxa"/>
            <w:right w:w="0" w:type="dxa"/>
          </w:tblCellMar>
        </w:tblPrEx>
        <w:trPr>
          <w:tblCellSpacing w:w="0" w:type="dxa"/>
          <w:jc w:val="center"/>
        </w:trPr>
        <w:tc>
          <w:tcPr>
            <w:tcW w:w="5277"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人员经费 </w:t>
            </w:r>
          </w:p>
        </w:tc>
        <w:tc>
          <w:tcPr>
            <w:tcW w:w="10761"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公用经费 </w:t>
            </w:r>
          </w:p>
        </w:tc>
      </w:tr>
      <w:tr>
        <w:tblPrEx>
          <w:tblCellMar>
            <w:top w:w="0" w:type="dxa"/>
            <w:left w:w="0" w:type="dxa"/>
            <w:bottom w:w="0" w:type="dxa"/>
            <w:right w:w="0" w:type="dxa"/>
          </w:tblCellMar>
        </w:tblPrEx>
        <w:trPr>
          <w:trHeight w:val="285" w:hRule="atLeast"/>
          <w:tblCellSpacing w:w="0" w:type="dxa"/>
          <w:jc w:val="center"/>
        </w:trPr>
        <w:tc>
          <w:tcPr>
            <w:tcW w:w="76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298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527"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c>
          <w:tcPr>
            <w:tcW w:w="76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235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52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c>
          <w:tcPr>
            <w:tcW w:w="76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科目编码 </w:t>
            </w:r>
          </w:p>
        </w:tc>
        <w:tc>
          <w:tcPr>
            <w:tcW w:w="3836"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53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rHeight w:val="285" w:hRule="atLeast"/>
          <w:tblCellSpacing w:w="0" w:type="dxa"/>
          <w:jc w:val="center"/>
        </w:trPr>
        <w:tc>
          <w:tcPr>
            <w:tcW w:w="76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98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527"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76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35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52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76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836"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53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工资福利支出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230.75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商品和服务支出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11.99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债务利息及费用支出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基本工资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40.37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30201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办公费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30701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国内债务付息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30102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津贴补贴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57.11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30202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印刷费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30702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国外债务付息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奖金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75.33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30203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咨询费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资本性支出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30106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伙食补助费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30204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手续费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房屋建筑物购建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30107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绩效工资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30205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水费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办公设备购置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30108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机关事业单位基本养老保险缴费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39.51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30206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电费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31003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专用设备购置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30109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职业年金缴费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30207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邮电费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31005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基础设施建设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30110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职工基本医疗保险缴费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30208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取暖费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31006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大型修缮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公务员医疗补助缴费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30209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物业管理费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31007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信息网络及软件购置更新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30112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其他社会保障缴费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0.53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30211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差旅费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31008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物资储备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住房公积金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14.01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30212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因公出国（境）费用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31009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土地补偿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30114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医疗费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30213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维修（护）费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31010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安置补助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30199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其他工资福利支出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30214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租赁费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地上附着物和青苗补偿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对个人和家庭的补助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17.32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30215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会议费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拆迁补偿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离休费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30216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培训费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31013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公务用车购置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30302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退休费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6.27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30217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公务接待费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0.30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31019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其他交通工具购置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30303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退职（役）费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30218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专用材料费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31021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文物和陈列品购置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30304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抚恤金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30224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被装购置费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31022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无形资产购置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30305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生活补助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1.20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30225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专用燃料费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31099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其他资本性支出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30306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救济费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30226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劳务费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30307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医疗费补助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30227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委托业务费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39906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赠与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30308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助学金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30228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工会经费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7.71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39907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国家赔偿费用支出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30309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奖励金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5.98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30229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福利费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0.52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39908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对民间非营利组织和群众性自治组织补贴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30310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个人农业生产补贴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30231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公务用车运行维护费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0.37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39999 </w:t>
            </w: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其他支出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30311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代缴社会保险费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30239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其他交通费用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0.81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30399 </w:t>
            </w: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其他对个人和家庭的补助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3.88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30240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税金及附加费用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0.20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76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2989"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30299 </w:t>
            </w:r>
          </w:p>
        </w:tc>
        <w:tc>
          <w:tcPr>
            <w:tcW w:w="2351"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r>
              <w:rPr>
                <w:rFonts w:hint="eastAsia"/>
                <w:sz w:val="22"/>
                <w:szCs w:val="22"/>
              </w:rPr>
              <w:t xml:space="preserve">其他商品和服务支出 </w:t>
            </w:r>
          </w:p>
        </w:tc>
        <w:tc>
          <w:tcPr>
            <w:tcW w:w="152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2.00 </w:t>
            </w:r>
          </w:p>
        </w:tc>
        <w:tc>
          <w:tcPr>
            <w:tcW w:w="760"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3836" w:type="dxa"/>
            <w:tcBorders>
              <w:top w:val="single" w:color="666666" w:sz="6" w:space="0"/>
              <w:left w:val="single" w:color="666666" w:sz="6" w:space="0"/>
              <w:bottom w:val="single" w:color="666666" w:sz="6" w:space="0"/>
              <w:right w:val="single" w:color="666666" w:sz="6" w:space="0"/>
            </w:tcBorders>
            <w:vAlign w:val="center"/>
          </w:tcPr>
          <w:p>
            <w:pPr>
              <w:pStyle w:val="6"/>
              <w:rPr>
                <w:sz w:val="22"/>
                <w:szCs w:val="22"/>
              </w:rPr>
            </w:pP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p>
        </w:tc>
      </w:tr>
      <w:tr>
        <w:tblPrEx>
          <w:tblCellMar>
            <w:top w:w="0" w:type="dxa"/>
            <w:left w:w="0" w:type="dxa"/>
            <w:bottom w:w="0" w:type="dxa"/>
            <w:right w:w="0" w:type="dxa"/>
          </w:tblCellMar>
        </w:tblPrEx>
        <w:trPr>
          <w:tblCellSpacing w:w="0" w:type="dxa"/>
          <w:jc w:val="center"/>
        </w:trPr>
        <w:tc>
          <w:tcPr>
            <w:tcW w:w="3750" w:type="dxa"/>
            <w:gridSpan w:val="2"/>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人员经费合计 </w:t>
            </w:r>
          </w:p>
        </w:tc>
        <w:tc>
          <w:tcPr>
            <w:tcW w:w="1527"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248.07 </w:t>
            </w:r>
          </w:p>
        </w:tc>
        <w:tc>
          <w:tcPr>
            <w:tcW w:w="9231" w:type="dxa"/>
            <w:gridSpan w:val="5"/>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公用经费合计 </w:t>
            </w:r>
          </w:p>
        </w:tc>
        <w:tc>
          <w:tcPr>
            <w:tcW w:w="1530"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11.99 </w:t>
            </w:r>
          </w:p>
        </w:tc>
      </w:tr>
      <w:tr>
        <w:tblPrEx>
          <w:tblCellMar>
            <w:top w:w="0" w:type="dxa"/>
            <w:left w:w="0" w:type="dxa"/>
            <w:bottom w:w="0" w:type="dxa"/>
            <w:right w:w="0" w:type="dxa"/>
          </w:tblCellMar>
        </w:tblPrEx>
        <w:trPr>
          <w:tblCellSpacing w:w="0" w:type="dxa"/>
          <w:jc w:val="center"/>
        </w:trPr>
        <w:tc>
          <w:tcPr>
            <w:tcW w:w="16038" w:type="dxa"/>
            <w:gridSpan w:val="9"/>
            <w:vAlign w:val="center"/>
          </w:tcPr>
          <w:p>
            <w:pPr>
              <w:pStyle w:val="6"/>
              <w:rPr>
                <w:sz w:val="22"/>
                <w:szCs w:val="22"/>
              </w:rPr>
            </w:pPr>
            <w:r>
              <w:rPr>
                <w:rFonts w:hint="eastAsia"/>
                <w:sz w:val="22"/>
                <w:szCs w:val="22"/>
              </w:rPr>
              <w:t xml:space="preserve">注：本表反映部门本年度一般公共预算财政拨款基本支出明细情况。本表金额转换为万元时，因四舍五入可能存在尾数误差。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1335"/>
        <w:gridCol w:w="1335"/>
        <w:gridCol w:w="1341"/>
        <w:gridCol w:w="1334"/>
        <w:gridCol w:w="1334"/>
        <w:gridCol w:w="1341"/>
        <w:gridCol w:w="1334"/>
        <w:gridCol w:w="1334"/>
        <w:gridCol w:w="1334"/>
        <w:gridCol w:w="1334"/>
        <w:gridCol w:w="1341"/>
        <w:gridCol w:w="1341"/>
      </w:tblGrid>
      <w:tr>
        <w:tblPrEx>
          <w:tblCellMar>
            <w:top w:w="0" w:type="dxa"/>
            <w:left w:w="0" w:type="dxa"/>
            <w:bottom w:w="0" w:type="dxa"/>
            <w:right w:w="0" w:type="dxa"/>
          </w:tblCellMar>
        </w:tblPrEx>
        <w:trPr>
          <w:tblCellSpacing w:w="0" w:type="dxa"/>
          <w:jc w:val="center"/>
        </w:trPr>
        <w:tc>
          <w:tcPr>
            <w:tcW w:w="16038" w:type="dxa"/>
            <w:gridSpan w:val="12"/>
            <w:vAlign w:val="center"/>
          </w:tcPr>
          <w:p>
            <w:pPr>
              <w:pStyle w:val="6"/>
              <w:jc w:val="center"/>
              <w:rPr>
                <w:sz w:val="22"/>
                <w:szCs w:val="22"/>
              </w:rPr>
            </w:pPr>
            <w:r>
              <w:rPr>
                <w:rFonts w:hint="eastAsia"/>
                <w:sz w:val="22"/>
                <w:szCs w:val="22"/>
              </w:rPr>
              <w:t xml:space="preserve">一般公共预算财政拨款“三公”经费支出决算表 </w:t>
            </w:r>
          </w:p>
        </w:tc>
      </w:tr>
      <w:tr>
        <w:tblPrEx>
          <w:tblCellMar>
            <w:top w:w="0" w:type="dxa"/>
            <w:left w:w="0" w:type="dxa"/>
            <w:bottom w:w="0" w:type="dxa"/>
            <w:right w:w="0" w:type="dxa"/>
          </w:tblCellMar>
        </w:tblPrEx>
        <w:trPr>
          <w:tblCellSpacing w:w="0" w:type="dxa"/>
          <w:jc w:val="center"/>
        </w:trPr>
        <w:tc>
          <w:tcPr>
            <w:tcW w:w="1335" w:type="dxa"/>
            <w:vAlign w:val="center"/>
          </w:tcPr>
          <w:p>
            <w:pPr>
              <w:pStyle w:val="6"/>
              <w:rPr>
                <w:sz w:val="22"/>
                <w:szCs w:val="22"/>
              </w:rPr>
            </w:pPr>
          </w:p>
        </w:tc>
        <w:tc>
          <w:tcPr>
            <w:tcW w:w="1335" w:type="dxa"/>
            <w:vAlign w:val="center"/>
          </w:tcPr>
          <w:p>
            <w:pPr>
              <w:pStyle w:val="6"/>
              <w:rPr>
                <w:sz w:val="22"/>
                <w:szCs w:val="22"/>
              </w:rPr>
            </w:pPr>
          </w:p>
        </w:tc>
        <w:tc>
          <w:tcPr>
            <w:tcW w:w="1341"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41"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2682" w:type="dxa"/>
            <w:gridSpan w:val="2"/>
            <w:vAlign w:val="center"/>
          </w:tcPr>
          <w:p>
            <w:pPr>
              <w:pStyle w:val="6"/>
              <w:jc w:val="right"/>
              <w:rPr>
                <w:sz w:val="20"/>
                <w:szCs w:val="20"/>
              </w:rPr>
            </w:pPr>
            <w:r>
              <w:rPr>
                <w:rFonts w:hint="eastAsia"/>
                <w:sz w:val="20"/>
                <w:szCs w:val="20"/>
              </w:rPr>
              <w:t xml:space="preserve">公开07表 </w:t>
            </w:r>
          </w:p>
        </w:tc>
      </w:tr>
      <w:tr>
        <w:tblPrEx>
          <w:tblCellMar>
            <w:top w:w="0" w:type="dxa"/>
            <w:left w:w="0" w:type="dxa"/>
            <w:bottom w:w="0" w:type="dxa"/>
            <w:right w:w="0" w:type="dxa"/>
          </w:tblCellMar>
        </w:tblPrEx>
        <w:trPr>
          <w:tblCellSpacing w:w="0" w:type="dxa"/>
          <w:jc w:val="center"/>
        </w:trPr>
        <w:tc>
          <w:tcPr>
            <w:tcW w:w="4011" w:type="dxa"/>
            <w:gridSpan w:val="3"/>
            <w:vAlign w:val="center"/>
          </w:tcPr>
          <w:p>
            <w:pPr>
              <w:pStyle w:val="6"/>
              <w:rPr>
                <w:sz w:val="22"/>
                <w:szCs w:val="22"/>
              </w:rPr>
            </w:pPr>
            <w:r>
              <w:rPr>
                <w:rFonts w:hint="eastAsia"/>
                <w:sz w:val="22"/>
                <w:szCs w:val="22"/>
              </w:rPr>
              <w:t xml:space="preserve">部门：浏阳市文化市场综合执法局 </w:t>
            </w:r>
          </w:p>
        </w:tc>
        <w:tc>
          <w:tcPr>
            <w:tcW w:w="1334" w:type="dxa"/>
            <w:vAlign w:val="center"/>
          </w:tcPr>
          <w:p>
            <w:pPr>
              <w:pStyle w:val="6"/>
              <w:rPr>
                <w:sz w:val="22"/>
                <w:szCs w:val="22"/>
              </w:rPr>
            </w:pPr>
          </w:p>
        </w:tc>
        <w:tc>
          <w:tcPr>
            <w:tcW w:w="1334" w:type="dxa"/>
            <w:vAlign w:val="center"/>
          </w:tcPr>
          <w:p>
            <w:pPr>
              <w:pStyle w:val="6"/>
              <w:rPr>
                <w:sz w:val="22"/>
                <w:szCs w:val="22"/>
              </w:rPr>
            </w:pPr>
          </w:p>
        </w:tc>
        <w:tc>
          <w:tcPr>
            <w:tcW w:w="1341"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1334" w:type="dxa"/>
            <w:vAlign w:val="center"/>
          </w:tcPr>
          <w:p>
            <w:pPr>
              <w:pStyle w:val="6"/>
              <w:rPr>
                <w:sz w:val="22"/>
                <w:szCs w:val="22"/>
              </w:rPr>
            </w:pPr>
          </w:p>
        </w:tc>
        <w:tc>
          <w:tcPr>
            <w:tcW w:w="2682" w:type="dxa"/>
            <w:gridSpan w:val="2"/>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8020"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预算数 </w:t>
            </w:r>
          </w:p>
        </w:tc>
        <w:tc>
          <w:tcPr>
            <w:tcW w:w="8018" w:type="dxa"/>
            <w:gridSpan w:val="6"/>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决算数 </w:t>
            </w:r>
          </w:p>
        </w:tc>
      </w:tr>
      <w:tr>
        <w:tblPrEx>
          <w:tblCellMar>
            <w:top w:w="0" w:type="dxa"/>
            <w:left w:w="0" w:type="dxa"/>
            <w:bottom w:w="0" w:type="dxa"/>
            <w:right w:w="0" w:type="dxa"/>
          </w:tblCellMar>
        </w:tblPrEx>
        <w:trPr>
          <w:tblCellSpacing w:w="0" w:type="dxa"/>
          <w:jc w:val="center"/>
        </w:trPr>
        <w:tc>
          <w:tcPr>
            <w:tcW w:w="133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335"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因公出国（境）费 </w:t>
            </w:r>
          </w:p>
        </w:tc>
        <w:tc>
          <w:tcPr>
            <w:tcW w:w="400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公务用车购置及运行费 </w:t>
            </w:r>
          </w:p>
        </w:tc>
        <w:tc>
          <w:tcPr>
            <w:tcW w:w="134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公务接待费 </w:t>
            </w:r>
          </w:p>
        </w:tc>
        <w:tc>
          <w:tcPr>
            <w:tcW w:w="133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33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因公出国（境）费 </w:t>
            </w:r>
          </w:p>
        </w:tc>
        <w:tc>
          <w:tcPr>
            <w:tcW w:w="4009"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公务用车购置及运行费 </w:t>
            </w:r>
          </w:p>
        </w:tc>
        <w:tc>
          <w:tcPr>
            <w:tcW w:w="1341"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公务接待费 </w:t>
            </w:r>
          </w:p>
        </w:tc>
      </w:tr>
      <w:tr>
        <w:tblPrEx>
          <w:tblCellMar>
            <w:top w:w="0" w:type="dxa"/>
            <w:left w:w="0" w:type="dxa"/>
            <w:bottom w:w="0" w:type="dxa"/>
            <w:right w:w="0" w:type="dxa"/>
          </w:tblCellMar>
        </w:tblPrEx>
        <w:trPr>
          <w:tblCellSpacing w:w="0" w:type="dxa"/>
          <w:jc w:val="center"/>
        </w:trPr>
        <w:tc>
          <w:tcPr>
            <w:tcW w:w="133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5"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公务用车购置费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公务用车运行费 </w:t>
            </w:r>
          </w:p>
        </w:tc>
        <w:tc>
          <w:tcPr>
            <w:tcW w:w="134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公务用车购置费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公务用车运行费 </w:t>
            </w:r>
          </w:p>
        </w:tc>
        <w:tc>
          <w:tcPr>
            <w:tcW w:w="1341"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7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8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9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11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12 </w:t>
            </w:r>
          </w:p>
        </w:tc>
      </w:tr>
      <w:tr>
        <w:tblPrEx>
          <w:tblCellMar>
            <w:top w:w="0" w:type="dxa"/>
            <w:left w:w="0" w:type="dxa"/>
            <w:bottom w:w="0" w:type="dxa"/>
            <w:right w:w="0" w:type="dxa"/>
          </w:tblCellMar>
        </w:tblPrEx>
        <w:trPr>
          <w:tblCellSpacing w:w="0" w:type="dxa"/>
          <w:jc w:val="center"/>
        </w:trPr>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11.13 </w:t>
            </w:r>
          </w:p>
        </w:tc>
        <w:tc>
          <w:tcPr>
            <w:tcW w:w="1335"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7.88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7.88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3.25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7.69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6.81 </w:t>
            </w:r>
          </w:p>
        </w:tc>
        <w:tc>
          <w:tcPr>
            <w:tcW w:w="1334"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0.00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6.81 </w:t>
            </w:r>
          </w:p>
        </w:tc>
        <w:tc>
          <w:tcPr>
            <w:tcW w:w="1341" w:type="dxa"/>
            <w:tcBorders>
              <w:top w:val="single" w:color="666666" w:sz="6" w:space="0"/>
              <w:left w:val="single" w:color="666666" w:sz="6" w:space="0"/>
              <w:bottom w:val="single" w:color="666666" w:sz="6" w:space="0"/>
              <w:right w:val="single" w:color="666666" w:sz="6" w:space="0"/>
            </w:tcBorders>
            <w:vAlign w:val="center"/>
          </w:tcPr>
          <w:p>
            <w:pPr>
              <w:pStyle w:val="6"/>
              <w:jc w:val="right"/>
              <w:rPr>
                <w:sz w:val="22"/>
                <w:szCs w:val="22"/>
              </w:rPr>
            </w:pPr>
            <w:r>
              <w:rPr>
                <w:rFonts w:hint="eastAsia"/>
                <w:sz w:val="22"/>
                <w:szCs w:val="22"/>
              </w:rPr>
              <w:t xml:space="preserve">0.88 </w:t>
            </w:r>
          </w:p>
        </w:tc>
      </w:tr>
      <w:tr>
        <w:tblPrEx>
          <w:tblCellMar>
            <w:top w:w="0" w:type="dxa"/>
            <w:left w:w="0" w:type="dxa"/>
            <w:bottom w:w="0" w:type="dxa"/>
            <w:right w:w="0" w:type="dxa"/>
          </w:tblCellMar>
        </w:tblPrEx>
        <w:trPr>
          <w:tblCellSpacing w:w="0" w:type="dxa"/>
          <w:jc w:val="center"/>
        </w:trPr>
        <w:tc>
          <w:tcPr>
            <w:tcW w:w="16038" w:type="dxa"/>
            <w:gridSpan w:val="12"/>
            <w:vAlign w:val="center"/>
          </w:tcPr>
          <w:p>
            <w:pPr>
              <w:pStyle w:val="6"/>
              <w:jc w:val="right"/>
              <w:rPr>
                <w:sz w:val="22"/>
                <w:szCs w:val="22"/>
              </w:rPr>
            </w:pPr>
            <w:r>
              <w:rPr>
                <w:rFonts w:hint="eastAsia"/>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446"/>
        <w:gridCol w:w="446"/>
        <w:gridCol w:w="452"/>
        <w:gridCol w:w="3920"/>
        <w:gridCol w:w="1793"/>
        <w:gridCol w:w="1793"/>
        <w:gridCol w:w="1793"/>
        <w:gridCol w:w="1793"/>
        <w:gridCol w:w="1799"/>
        <w:gridCol w:w="1803"/>
      </w:tblGrid>
      <w:tr>
        <w:tblPrEx>
          <w:tblCellMar>
            <w:top w:w="0" w:type="dxa"/>
            <w:left w:w="0" w:type="dxa"/>
            <w:bottom w:w="0" w:type="dxa"/>
            <w:right w:w="0" w:type="dxa"/>
          </w:tblCellMar>
        </w:tblPrEx>
        <w:trPr>
          <w:tblCellSpacing w:w="0" w:type="dxa"/>
          <w:jc w:val="center"/>
        </w:trPr>
        <w:tc>
          <w:tcPr>
            <w:tcW w:w="16038" w:type="dxa"/>
            <w:gridSpan w:val="10"/>
            <w:vAlign w:val="center"/>
          </w:tcPr>
          <w:p>
            <w:pPr>
              <w:pStyle w:val="6"/>
              <w:jc w:val="center"/>
              <w:rPr>
                <w:sz w:val="22"/>
                <w:szCs w:val="22"/>
              </w:rPr>
            </w:pPr>
            <w:r>
              <w:rPr>
                <w:rFonts w:hint="eastAsia"/>
                <w:sz w:val="22"/>
                <w:szCs w:val="22"/>
              </w:rPr>
              <w:t xml:space="preserve">政府性基金预算财政拨款收入支出决算表 </w:t>
            </w:r>
          </w:p>
        </w:tc>
      </w:tr>
      <w:tr>
        <w:tblPrEx>
          <w:tblCellMar>
            <w:top w:w="0" w:type="dxa"/>
            <w:left w:w="0" w:type="dxa"/>
            <w:bottom w:w="0" w:type="dxa"/>
            <w:right w:w="0" w:type="dxa"/>
          </w:tblCellMar>
        </w:tblPrEx>
        <w:trPr>
          <w:tblCellSpacing w:w="0" w:type="dxa"/>
          <w:jc w:val="center"/>
        </w:trPr>
        <w:tc>
          <w:tcPr>
            <w:tcW w:w="446" w:type="dxa"/>
            <w:vAlign w:val="center"/>
          </w:tcPr>
          <w:p>
            <w:pPr>
              <w:pStyle w:val="6"/>
              <w:rPr>
                <w:sz w:val="22"/>
                <w:szCs w:val="22"/>
              </w:rPr>
            </w:pPr>
          </w:p>
        </w:tc>
        <w:tc>
          <w:tcPr>
            <w:tcW w:w="446" w:type="dxa"/>
            <w:vAlign w:val="center"/>
          </w:tcPr>
          <w:p>
            <w:pPr>
              <w:pStyle w:val="6"/>
              <w:rPr>
                <w:sz w:val="22"/>
                <w:szCs w:val="22"/>
              </w:rPr>
            </w:pPr>
          </w:p>
        </w:tc>
        <w:tc>
          <w:tcPr>
            <w:tcW w:w="452" w:type="dxa"/>
            <w:vAlign w:val="center"/>
          </w:tcPr>
          <w:p>
            <w:pPr>
              <w:pStyle w:val="6"/>
              <w:rPr>
                <w:sz w:val="22"/>
                <w:szCs w:val="22"/>
              </w:rPr>
            </w:pPr>
          </w:p>
        </w:tc>
        <w:tc>
          <w:tcPr>
            <w:tcW w:w="3920" w:type="dxa"/>
            <w:vAlign w:val="center"/>
          </w:tcPr>
          <w:p>
            <w:pPr>
              <w:pStyle w:val="6"/>
              <w:rPr>
                <w:sz w:val="22"/>
                <w:szCs w:val="22"/>
              </w:rPr>
            </w:pPr>
          </w:p>
        </w:tc>
        <w:tc>
          <w:tcPr>
            <w:tcW w:w="1793" w:type="dxa"/>
            <w:vAlign w:val="center"/>
          </w:tcPr>
          <w:p>
            <w:pPr>
              <w:pStyle w:val="6"/>
              <w:rPr>
                <w:sz w:val="22"/>
                <w:szCs w:val="22"/>
              </w:rPr>
            </w:pPr>
          </w:p>
        </w:tc>
        <w:tc>
          <w:tcPr>
            <w:tcW w:w="1793" w:type="dxa"/>
            <w:vAlign w:val="center"/>
          </w:tcPr>
          <w:p>
            <w:pPr>
              <w:pStyle w:val="6"/>
              <w:rPr>
                <w:sz w:val="22"/>
                <w:szCs w:val="22"/>
              </w:rPr>
            </w:pPr>
          </w:p>
        </w:tc>
        <w:tc>
          <w:tcPr>
            <w:tcW w:w="7188" w:type="dxa"/>
            <w:gridSpan w:val="4"/>
            <w:vAlign w:val="center"/>
          </w:tcPr>
          <w:p>
            <w:pPr>
              <w:pStyle w:val="6"/>
              <w:jc w:val="right"/>
              <w:rPr>
                <w:sz w:val="20"/>
                <w:szCs w:val="20"/>
              </w:rPr>
            </w:pPr>
            <w:r>
              <w:rPr>
                <w:rFonts w:hint="eastAsia"/>
                <w:sz w:val="20"/>
                <w:szCs w:val="20"/>
              </w:rPr>
              <w:t xml:space="preserve">公开08表 </w:t>
            </w:r>
          </w:p>
        </w:tc>
      </w:tr>
      <w:tr>
        <w:tblPrEx>
          <w:tblCellMar>
            <w:top w:w="0" w:type="dxa"/>
            <w:left w:w="0" w:type="dxa"/>
            <w:bottom w:w="0" w:type="dxa"/>
            <w:right w:w="0" w:type="dxa"/>
          </w:tblCellMar>
        </w:tblPrEx>
        <w:trPr>
          <w:tblCellSpacing w:w="0" w:type="dxa"/>
          <w:jc w:val="center"/>
        </w:trPr>
        <w:tc>
          <w:tcPr>
            <w:tcW w:w="5264" w:type="dxa"/>
            <w:gridSpan w:val="4"/>
            <w:vAlign w:val="center"/>
          </w:tcPr>
          <w:p>
            <w:pPr>
              <w:pStyle w:val="6"/>
              <w:rPr>
                <w:sz w:val="22"/>
                <w:szCs w:val="22"/>
              </w:rPr>
            </w:pPr>
            <w:r>
              <w:rPr>
                <w:rFonts w:hint="eastAsia"/>
                <w:sz w:val="22"/>
                <w:szCs w:val="22"/>
              </w:rPr>
              <w:t xml:space="preserve">部门：浏阳市文化市场综合执法局 </w:t>
            </w:r>
          </w:p>
        </w:tc>
        <w:tc>
          <w:tcPr>
            <w:tcW w:w="1793" w:type="dxa"/>
            <w:vAlign w:val="center"/>
          </w:tcPr>
          <w:p>
            <w:pPr>
              <w:pStyle w:val="6"/>
              <w:rPr>
                <w:sz w:val="22"/>
                <w:szCs w:val="22"/>
              </w:rPr>
            </w:pPr>
          </w:p>
        </w:tc>
        <w:tc>
          <w:tcPr>
            <w:tcW w:w="1793" w:type="dxa"/>
            <w:vAlign w:val="center"/>
          </w:tcPr>
          <w:p>
            <w:pPr>
              <w:pStyle w:val="6"/>
              <w:rPr>
                <w:sz w:val="22"/>
                <w:szCs w:val="22"/>
              </w:rPr>
            </w:pPr>
          </w:p>
        </w:tc>
        <w:tc>
          <w:tcPr>
            <w:tcW w:w="7188" w:type="dxa"/>
            <w:gridSpan w:val="4"/>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年初结转和结余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本年收入 </w:t>
            </w:r>
          </w:p>
        </w:tc>
        <w:tc>
          <w:tcPr>
            <w:tcW w:w="5385"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c>
          <w:tcPr>
            <w:tcW w:w="180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年末结转和结余 </w:t>
            </w:r>
          </w:p>
        </w:tc>
      </w:tr>
      <w:tr>
        <w:tblPrEx>
          <w:tblCellMar>
            <w:top w:w="0" w:type="dxa"/>
            <w:left w:w="0" w:type="dxa"/>
            <w:bottom w:w="0" w:type="dxa"/>
            <w:right w:w="0" w:type="dxa"/>
          </w:tblCellMar>
        </w:tblPrEx>
        <w:trPr>
          <w:trHeight w:val="285" w:hRule="atLeast"/>
          <w:tblCellSpacing w:w="0" w:type="dxa"/>
          <w:jc w:val="center"/>
        </w:trPr>
        <w:tc>
          <w:tcPr>
            <w:tcW w:w="1344"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392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小计 </w:t>
            </w:r>
          </w:p>
        </w:tc>
        <w:tc>
          <w:tcPr>
            <w:tcW w:w="1793"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179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c>
          <w:tcPr>
            <w:tcW w:w="180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344"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392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79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1803"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4 </w:t>
            </w:r>
          </w:p>
        </w:tc>
        <w:tc>
          <w:tcPr>
            <w:tcW w:w="1799"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5 </w:t>
            </w:r>
          </w:p>
        </w:tc>
        <w:tc>
          <w:tcPr>
            <w:tcW w:w="1803"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6 </w:t>
            </w:r>
          </w:p>
        </w:tc>
      </w:tr>
      <w:tr>
        <w:tblPrEx>
          <w:tblCellMar>
            <w:top w:w="0" w:type="dxa"/>
            <w:left w:w="0" w:type="dxa"/>
            <w:bottom w:w="0" w:type="dxa"/>
            <w:right w:w="0" w:type="dxa"/>
          </w:tblCellMar>
        </w:tblPrEx>
        <w:trPr>
          <w:tblCellSpacing w:w="0" w:type="dxa"/>
          <w:jc w:val="center"/>
        </w:trPr>
        <w:tc>
          <w:tcPr>
            <w:tcW w:w="5264"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799"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1803"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r>
      <w:tr>
        <w:tblPrEx>
          <w:tblCellMar>
            <w:top w:w="0" w:type="dxa"/>
            <w:left w:w="0" w:type="dxa"/>
            <w:bottom w:w="0" w:type="dxa"/>
            <w:right w:w="0" w:type="dxa"/>
          </w:tblCellMar>
        </w:tblPrEx>
        <w:trPr>
          <w:tblCellSpacing w:w="0" w:type="dxa"/>
          <w:jc w:val="center"/>
        </w:trPr>
        <w:tc>
          <w:tcPr>
            <w:tcW w:w="16038" w:type="dxa"/>
            <w:gridSpan w:val="10"/>
            <w:vAlign w:val="center"/>
          </w:tcPr>
          <w:p>
            <w:pPr>
              <w:pStyle w:val="6"/>
              <w:rPr>
                <w:sz w:val="22"/>
                <w:szCs w:val="22"/>
              </w:rPr>
            </w:pPr>
            <w:r>
              <w:rPr>
                <w:rFonts w:hint="eastAsia"/>
                <w:sz w:val="22"/>
                <w:szCs w:val="22"/>
              </w:rPr>
              <w:t xml:space="preserve">注：本表反映部门本年度政府性基金预算财政拨款收入、支出及结转和结余情况。本单位没有政府性基金收入，也没有使用政府性基金安排的支出，故本表无数据。 </w:t>
            </w:r>
          </w:p>
        </w:tc>
      </w:tr>
    </w:tbl>
    <w:p>
      <w:pPr>
        <w:pStyle w:val="6"/>
        <w:rPr>
          <w:color w:val="000000"/>
        </w:rPr>
      </w:pPr>
    </w:p>
    <w:p>
      <w:pPr>
        <w:pStyle w:val="6"/>
        <w:spacing w:before="0" w:beforeAutospacing="0" w:after="2" w:afterAutospacing="0"/>
        <w:rPr>
          <w:color w:val="000000"/>
        </w:rPr>
      </w:pPr>
    </w:p>
    <w:tbl>
      <w:tblPr>
        <w:tblStyle w:val="8"/>
        <w:tblW w:w="16038" w:type="dxa"/>
        <w:jc w:val="center"/>
        <w:tblCellSpacing w:w="0" w:type="dxa"/>
        <w:tblLayout w:type="fixed"/>
        <w:tblCellMar>
          <w:top w:w="0" w:type="dxa"/>
          <w:left w:w="0" w:type="dxa"/>
          <w:bottom w:w="0" w:type="dxa"/>
          <w:right w:w="0" w:type="dxa"/>
        </w:tblCellMar>
      </w:tblPr>
      <w:tblGrid>
        <w:gridCol w:w="530"/>
        <w:gridCol w:w="529"/>
        <w:gridCol w:w="532"/>
        <w:gridCol w:w="6329"/>
        <w:gridCol w:w="2704"/>
        <w:gridCol w:w="2704"/>
        <w:gridCol w:w="2710"/>
      </w:tblGrid>
      <w:tr>
        <w:tblPrEx>
          <w:tblCellMar>
            <w:top w:w="0" w:type="dxa"/>
            <w:left w:w="0" w:type="dxa"/>
            <w:bottom w:w="0" w:type="dxa"/>
            <w:right w:w="0" w:type="dxa"/>
          </w:tblCellMar>
        </w:tblPrEx>
        <w:trPr>
          <w:tblCellSpacing w:w="0" w:type="dxa"/>
          <w:jc w:val="center"/>
        </w:trPr>
        <w:tc>
          <w:tcPr>
            <w:tcW w:w="16038" w:type="dxa"/>
            <w:gridSpan w:val="7"/>
            <w:vAlign w:val="center"/>
          </w:tcPr>
          <w:p>
            <w:pPr>
              <w:pStyle w:val="6"/>
              <w:jc w:val="center"/>
              <w:rPr>
                <w:sz w:val="22"/>
                <w:szCs w:val="22"/>
              </w:rPr>
            </w:pPr>
            <w:r>
              <w:rPr>
                <w:rFonts w:hint="eastAsia"/>
                <w:sz w:val="22"/>
                <w:szCs w:val="22"/>
              </w:rPr>
              <w:t xml:space="preserve">国有资本经营预算财政拨款支出决算表 </w:t>
            </w:r>
          </w:p>
        </w:tc>
      </w:tr>
      <w:tr>
        <w:tblPrEx>
          <w:tblCellMar>
            <w:top w:w="0" w:type="dxa"/>
            <w:left w:w="0" w:type="dxa"/>
            <w:bottom w:w="0" w:type="dxa"/>
            <w:right w:w="0" w:type="dxa"/>
          </w:tblCellMar>
        </w:tblPrEx>
        <w:trPr>
          <w:tblCellSpacing w:w="0" w:type="dxa"/>
          <w:jc w:val="center"/>
        </w:trPr>
        <w:tc>
          <w:tcPr>
            <w:tcW w:w="530" w:type="dxa"/>
            <w:vAlign w:val="center"/>
          </w:tcPr>
          <w:p>
            <w:pPr>
              <w:pStyle w:val="6"/>
              <w:rPr>
                <w:sz w:val="22"/>
                <w:szCs w:val="22"/>
              </w:rPr>
            </w:pPr>
          </w:p>
        </w:tc>
        <w:tc>
          <w:tcPr>
            <w:tcW w:w="529" w:type="dxa"/>
            <w:vAlign w:val="center"/>
          </w:tcPr>
          <w:p>
            <w:pPr>
              <w:pStyle w:val="6"/>
              <w:rPr>
                <w:sz w:val="22"/>
                <w:szCs w:val="22"/>
              </w:rPr>
            </w:pPr>
          </w:p>
        </w:tc>
        <w:tc>
          <w:tcPr>
            <w:tcW w:w="532" w:type="dxa"/>
            <w:vAlign w:val="center"/>
          </w:tcPr>
          <w:p>
            <w:pPr>
              <w:pStyle w:val="6"/>
              <w:rPr>
                <w:sz w:val="22"/>
                <w:szCs w:val="22"/>
              </w:rPr>
            </w:pPr>
          </w:p>
        </w:tc>
        <w:tc>
          <w:tcPr>
            <w:tcW w:w="6329" w:type="dxa"/>
            <w:vAlign w:val="center"/>
          </w:tcPr>
          <w:p>
            <w:pPr>
              <w:pStyle w:val="6"/>
              <w:rPr>
                <w:sz w:val="22"/>
                <w:szCs w:val="22"/>
              </w:rPr>
            </w:pPr>
          </w:p>
        </w:tc>
        <w:tc>
          <w:tcPr>
            <w:tcW w:w="2704" w:type="dxa"/>
            <w:vAlign w:val="center"/>
          </w:tcPr>
          <w:p>
            <w:pPr>
              <w:pStyle w:val="6"/>
              <w:rPr>
                <w:sz w:val="22"/>
                <w:szCs w:val="22"/>
              </w:rPr>
            </w:pPr>
          </w:p>
        </w:tc>
        <w:tc>
          <w:tcPr>
            <w:tcW w:w="2704" w:type="dxa"/>
            <w:vAlign w:val="center"/>
          </w:tcPr>
          <w:p>
            <w:pPr>
              <w:pStyle w:val="6"/>
              <w:rPr>
                <w:sz w:val="22"/>
                <w:szCs w:val="22"/>
              </w:rPr>
            </w:pPr>
          </w:p>
        </w:tc>
        <w:tc>
          <w:tcPr>
            <w:tcW w:w="2710" w:type="dxa"/>
            <w:vAlign w:val="center"/>
          </w:tcPr>
          <w:p>
            <w:pPr>
              <w:pStyle w:val="6"/>
              <w:jc w:val="right"/>
              <w:rPr>
                <w:sz w:val="20"/>
                <w:szCs w:val="20"/>
              </w:rPr>
            </w:pPr>
            <w:r>
              <w:rPr>
                <w:rFonts w:hint="eastAsia"/>
                <w:sz w:val="20"/>
                <w:szCs w:val="20"/>
              </w:rPr>
              <w:t xml:space="preserve">公开09表 </w:t>
            </w:r>
          </w:p>
        </w:tc>
      </w:tr>
      <w:tr>
        <w:tblPrEx>
          <w:tblCellMar>
            <w:top w:w="0" w:type="dxa"/>
            <w:left w:w="0" w:type="dxa"/>
            <w:bottom w:w="0" w:type="dxa"/>
            <w:right w:w="0" w:type="dxa"/>
          </w:tblCellMar>
        </w:tblPrEx>
        <w:trPr>
          <w:tblCellSpacing w:w="0" w:type="dxa"/>
          <w:jc w:val="center"/>
        </w:trPr>
        <w:tc>
          <w:tcPr>
            <w:tcW w:w="7920" w:type="dxa"/>
            <w:gridSpan w:val="4"/>
            <w:vAlign w:val="center"/>
          </w:tcPr>
          <w:p>
            <w:pPr>
              <w:pStyle w:val="6"/>
              <w:rPr>
                <w:sz w:val="22"/>
                <w:szCs w:val="22"/>
              </w:rPr>
            </w:pPr>
            <w:r>
              <w:rPr>
                <w:rFonts w:hint="eastAsia"/>
                <w:sz w:val="22"/>
                <w:szCs w:val="22"/>
              </w:rPr>
              <w:t xml:space="preserve">部门：浏阳市文化市场综合执法局 </w:t>
            </w:r>
          </w:p>
        </w:tc>
        <w:tc>
          <w:tcPr>
            <w:tcW w:w="2704" w:type="dxa"/>
            <w:vAlign w:val="center"/>
          </w:tcPr>
          <w:p>
            <w:pPr>
              <w:pStyle w:val="6"/>
              <w:rPr>
                <w:sz w:val="22"/>
                <w:szCs w:val="22"/>
              </w:rPr>
            </w:pPr>
          </w:p>
        </w:tc>
        <w:tc>
          <w:tcPr>
            <w:tcW w:w="2704" w:type="dxa"/>
            <w:vAlign w:val="center"/>
          </w:tcPr>
          <w:p>
            <w:pPr>
              <w:pStyle w:val="6"/>
              <w:rPr>
                <w:sz w:val="22"/>
                <w:szCs w:val="22"/>
              </w:rPr>
            </w:pPr>
          </w:p>
        </w:tc>
        <w:tc>
          <w:tcPr>
            <w:tcW w:w="2710" w:type="dxa"/>
            <w:vAlign w:val="center"/>
          </w:tcPr>
          <w:p>
            <w:pPr>
              <w:pStyle w:val="6"/>
              <w:jc w:val="right"/>
              <w:rPr>
                <w:sz w:val="20"/>
                <w:szCs w:val="20"/>
              </w:rPr>
            </w:pPr>
            <w:r>
              <w:rPr>
                <w:rFonts w:hint="eastAsia"/>
                <w:sz w:val="20"/>
                <w:szCs w:val="20"/>
              </w:rPr>
              <w:t xml:space="preserve">金额单位：万元 </w:t>
            </w:r>
          </w:p>
        </w:tc>
      </w:tr>
      <w:tr>
        <w:tblPrEx>
          <w:tblCellMar>
            <w:top w:w="0" w:type="dxa"/>
            <w:left w:w="0" w:type="dxa"/>
            <w:bottom w:w="0" w:type="dxa"/>
            <w:right w:w="0" w:type="dxa"/>
          </w:tblCellMar>
        </w:tblPrEx>
        <w:trPr>
          <w:tblCellSpacing w:w="0" w:type="dxa"/>
          <w:jc w:val="center"/>
        </w:trPr>
        <w:tc>
          <w:tcPr>
            <w:tcW w:w="7920"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 </w:t>
            </w:r>
          </w:p>
        </w:tc>
        <w:tc>
          <w:tcPr>
            <w:tcW w:w="8118" w:type="dxa"/>
            <w:gridSpan w:val="3"/>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本年支出 </w:t>
            </w:r>
          </w:p>
        </w:tc>
      </w:tr>
      <w:tr>
        <w:tblPrEx>
          <w:tblCellMar>
            <w:top w:w="0" w:type="dxa"/>
            <w:left w:w="0" w:type="dxa"/>
            <w:bottom w:w="0" w:type="dxa"/>
            <w:right w:w="0" w:type="dxa"/>
          </w:tblCellMar>
        </w:tblPrEx>
        <w:trPr>
          <w:trHeight w:val="285" w:hRule="atLeast"/>
          <w:tblCellSpacing w:w="0" w:type="dxa"/>
          <w:jc w:val="center"/>
        </w:trPr>
        <w:tc>
          <w:tcPr>
            <w:tcW w:w="1591" w:type="dxa"/>
            <w:gridSpan w:val="3"/>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功能分类科目编码 </w:t>
            </w:r>
          </w:p>
        </w:tc>
        <w:tc>
          <w:tcPr>
            <w:tcW w:w="6329"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科目名称 </w:t>
            </w:r>
          </w:p>
        </w:tc>
        <w:tc>
          <w:tcPr>
            <w:tcW w:w="270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2704"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基本支出 </w:t>
            </w:r>
          </w:p>
        </w:tc>
        <w:tc>
          <w:tcPr>
            <w:tcW w:w="2710" w:type="dxa"/>
            <w:vMerge w:val="restart"/>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项目支出 </w:t>
            </w:r>
          </w:p>
        </w:tc>
      </w:tr>
      <w:tr>
        <w:tblPrEx>
          <w:tblCellMar>
            <w:top w:w="0" w:type="dxa"/>
            <w:left w:w="0" w:type="dxa"/>
            <w:bottom w:w="0" w:type="dxa"/>
            <w:right w:w="0" w:type="dxa"/>
          </w:tblCellMar>
        </w:tblPrEx>
        <w:trPr>
          <w:trHeight w:val="285" w:hRule="atLeast"/>
          <w:tblCellSpacing w:w="0" w:type="dxa"/>
          <w:jc w:val="center"/>
        </w:trPr>
        <w:tc>
          <w:tcPr>
            <w:tcW w:w="159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632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1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rHeight w:val="285" w:hRule="atLeast"/>
          <w:tblCellSpacing w:w="0" w:type="dxa"/>
          <w:jc w:val="center"/>
        </w:trPr>
        <w:tc>
          <w:tcPr>
            <w:tcW w:w="1591" w:type="dxa"/>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6329"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04"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c>
          <w:tcPr>
            <w:tcW w:w="2710" w:type="dxa"/>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2"/>
              </w:rPr>
            </w:pPr>
          </w:p>
        </w:tc>
      </w:tr>
      <w:tr>
        <w:tblPrEx>
          <w:tblCellMar>
            <w:top w:w="0" w:type="dxa"/>
            <w:left w:w="0" w:type="dxa"/>
            <w:bottom w:w="0" w:type="dxa"/>
            <w:right w:w="0" w:type="dxa"/>
          </w:tblCellMar>
        </w:tblPrEx>
        <w:trPr>
          <w:tblCellSpacing w:w="0" w:type="dxa"/>
          <w:jc w:val="center"/>
        </w:trPr>
        <w:tc>
          <w:tcPr>
            <w:tcW w:w="7920"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栏次 </w:t>
            </w: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1 </w:t>
            </w: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2 </w:t>
            </w:r>
          </w:p>
        </w:tc>
        <w:tc>
          <w:tcPr>
            <w:tcW w:w="2710" w:type="dxa"/>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3 </w:t>
            </w:r>
          </w:p>
        </w:tc>
      </w:tr>
      <w:tr>
        <w:tblPrEx>
          <w:tblCellMar>
            <w:top w:w="0" w:type="dxa"/>
            <w:left w:w="0" w:type="dxa"/>
            <w:bottom w:w="0" w:type="dxa"/>
            <w:right w:w="0" w:type="dxa"/>
          </w:tblCellMar>
        </w:tblPrEx>
        <w:trPr>
          <w:tblCellSpacing w:w="0" w:type="dxa"/>
          <w:jc w:val="center"/>
        </w:trPr>
        <w:tc>
          <w:tcPr>
            <w:tcW w:w="7920" w:type="dxa"/>
            <w:gridSpan w:val="4"/>
            <w:tcBorders>
              <w:top w:val="single" w:color="666666" w:sz="6" w:space="0"/>
              <w:left w:val="single" w:color="666666" w:sz="6" w:space="0"/>
              <w:bottom w:val="single" w:color="666666" w:sz="6" w:space="0"/>
              <w:right w:val="single" w:color="666666" w:sz="6" w:space="0"/>
            </w:tcBorders>
            <w:vAlign w:val="center"/>
          </w:tcPr>
          <w:p>
            <w:pPr>
              <w:pStyle w:val="6"/>
              <w:jc w:val="center"/>
              <w:rPr>
                <w:sz w:val="22"/>
                <w:szCs w:val="22"/>
              </w:rPr>
            </w:pPr>
            <w:r>
              <w:rPr>
                <w:rFonts w:hint="eastAsia"/>
                <w:sz w:val="22"/>
                <w:szCs w:val="22"/>
              </w:rPr>
              <w:t xml:space="preserve">合计 </w:t>
            </w: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2704"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c>
          <w:tcPr>
            <w:tcW w:w="2710" w:type="dxa"/>
            <w:tcBorders>
              <w:top w:val="single" w:color="666666" w:sz="6" w:space="0"/>
              <w:left w:val="single" w:color="666666" w:sz="6" w:space="0"/>
              <w:bottom w:val="single" w:color="666666" w:sz="6" w:space="0"/>
              <w:right w:val="single" w:color="666666" w:sz="6" w:space="0"/>
            </w:tcBorders>
            <w:vAlign w:val="center"/>
          </w:tcPr>
          <w:p>
            <w:pPr>
              <w:pStyle w:val="6"/>
              <w:jc w:val="right"/>
              <w:rPr>
                <w:b/>
                <w:bCs/>
                <w:sz w:val="22"/>
                <w:szCs w:val="22"/>
              </w:rPr>
            </w:pPr>
          </w:p>
        </w:tc>
      </w:tr>
      <w:tr>
        <w:tblPrEx>
          <w:tblCellMar>
            <w:top w:w="0" w:type="dxa"/>
            <w:left w:w="0" w:type="dxa"/>
            <w:bottom w:w="0" w:type="dxa"/>
            <w:right w:w="0" w:type="dxa"/>
          </w:tblCellMar>
        </w:tblPrEx>
        <w:trPr>
          <w:tblCellSpacing w:w="0" w:type="dxa"/>
          <w:jc w:val="center"/>
        </w:trPr>
        <w:tc>
          <w:tcPr>
            <w:tcW w:w="16038" w:type="dxa"/>
            <w:gridSpan w:val="7"/>
            <w:vAlign w:val="center"/>
          </w:tcPr>
          <w:p>
            <w:pPr>
              <w:pStyle w:val="6"/>
              <w:rPr>
                <w:sz w:val="22"/>
                <w:szCs w:val="22"/>
              </w:rPr>
            </w:pPr>
            <w:r>
              <w:rPr>
                <w:rFonts w:hint="eastAsia"/>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spacing w:after="2"/>
        <w:jc w:val="center"/>
        <w:rPr>
          <w:color w:val="000000"/>
          <w:szCs w:val="21"/>
        </w:rPr>
      </w:pPr>
      <w:r>
        <w:rPr>
          <w:rFonts w:hint="eastAsia" w:ascii="宋体" w:hAnsi="宋体" w:eastAsia="宋体"/>
          <w:b/>
          <w:bCs/>
          <w:color w:val="000000"/>
          <w:sz w:val="36"/>
          <w:szCs w:val="36"/>
        </w:rPr>
        <w:t>第三部分 2020年度部门决算情况说明</w:t>
      </w:r>
      <w:r>
        <w:rPr>
          <w:rFonts w:hint="eastAsia"/>
          <w:color w:val="000000"/>
          <w:szCs w:val="21"/>
        </w:rPr>
        <w:t xml:space="preserve"> </w:t>
      </w:r>
    </w:p>
    <w:p>
      <w:pPr>
        <w:rPr>
          <w:color w:val="000000"/>
        </w:rPr>
      </w:pPr>
    </w:p>
    <w:p>
      <w:pPr>
        <w:pStyle w:val="14"/>
        <w:spacing w:after="2"/>
        <w:ind w:firstLine="641"/>
        <w:rPr>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2020年度收、支总计371.52万元。与上一年度相比，收、支总计各增加4.37万元，增长1.19%。收入增加的原因：主要是因为</w:t>
      </w:r>
      <w:r>
        <w:rPr>
          <w:rStyle w:val="16"/>
          <w:rFonts w:hint="eastAsia" w:ascii="宋体" w:hAnsi="宋体" w:eastAsia="宋体"/>
          <w:color w:val="000000"/>
          <w:sz w:val="32"/>
          <w:szCs w:val="32"/>
        </w:rPr>
        <w:t>人员经费增加、业务经费增加。支出增加的原因：</w:t>
      </w:r>
      <w:r>
        <w:rPr>
          <w:rFonts w:hint="eastAsia" w:ascii="宋体" w:hAnsi="宋体" w:eastAsia="宋体"/>
          <w:color w:val="000000"/>
          <w:sz w:val="32"/>
          <w:szCs w:val="32"/>
        </w:rPr>
        <w:t>主要是因为</w:t>
      </w:r>
      <w:r>
        <w:rPr>
          <w:rStyle w:val="16"/>
          <w:rFonts w:hint="eastAsia" w:ascii="宋体" w:hAnsi="宋体" w:eastAsia="宋体"/>
          <w:color w:val="000000"/>
          <w:sz w:val="32"/>
          <w:szCs w:val="32"/>
        </w:rPr>
        <w:t>人员经费增加、业务经费增加。(因四舍五入原因尾数有0.01出入)</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2020年度收入合计371.52万元，其中：财政拨款收入347.53万元，占93.54%；上级补助收入0万元，占0%；事业收入0万元，占0%；经营收入0万元，占0%；附属单位上缴收入0万元，占0%；其他收入24万元，占6.46%。</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2020年度支出合计371.52万元，其中：基本支出260.05万元，占70%；项目支出111.47万元，占30%；上缴上级支出0万元，占0%；经营支出0万元，占0%；对附属单位补助支出0万元，占0%。</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2020年度财政拨款收、支总计347.53万元。与上一年度相比，财政拨款收、支总计各减少17.62万元，下降4.83%。主要是因为</w:t>
      </w:r>
      <w:r>
        <w:rPr>
          <w:rStyle w:val="16"/>
          <w:rFonts w:hint="eastAsia" w:ascii="宋体" w:hAnsi="宋体" w:eastAsia="宋体"/>
          <w:color w:val="000000"/>
          <w:sz w:val="32"/>
          <w:szCs w:val="32"/>
        </w:rPr>
        <w:t>人员变动，单位职能职责变动等原因造成财政拨款收、支减少。(因四舍五入原因尾数有0.01出入)</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14"/>
        <w:spacing w:after="2"/>
        <w:ind w:firstLine="855"/>
        <w:rPr>
          <w:color w:val="000000"/>
          <w:sz w:val="27"/>
          <w:szCs w:val="27"/>
        </w:rPr>
      </w:pPr>
      <w:r>
        <w:rPr>
          <w:rFonts w:hint="eastAsia" w:ascii="宋体" w:hAnsi="宋体" w:eastAsia="宋体"/>
          <w:color w:val="000000"/>
          <w:sz w:val="32"/>
          <w:szCs w:val="32"/>
        </w:rPr>
        <w:t>2020年度财政拨款支出347.53万元，占本年支出合计的93.54%。与上一年度相比，财政拨款支出减少17.62万元，下降4.83%。主要是因为</w:t>
      </w:r>
      <w:r>
        <w:rPr>
          <w:rStyle w:val="16"/>
          <w:rFonts w:hint="eastAsia" w:ascii="宋体" w:hAnsi="宋体" w:eastAsia="宋体"/>
          <w:color w:val="000000"/>
          <w:sz w:val="32"/>
          <w:szCs w:val="32"/>
        </w:rPr>
        <w:t>人员变动，单位职能职责变动等原因造成财政拨款收、支减少。(因四舍五入原因尾数有0.01出入)</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（二）财政拨款支出决算结构情况</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2020年度财政拨款支出347.53万元，主要用于以下方面：文化旅游体育与传媒支出340.28万元，占97.91%；社会保障和就业支出7.25万元，占2.09%。</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2020年度财政拨款支出年初预算数为317.13万元，支出决算数为347.53万元，完成年初预算的109.58%，其中：</w:t>
      </w:r>
      <w:r>
        <w:rPr>
          <w:rFonts w:hint="eastAsia"/>
          <w:color w:val="000000"/>
          <w:sz w:val="27"/>
          <w:szCs w:val="27"/>
        </w:rPr>
        <w:t xml:space="preserve"> </w:t>
      </w:r>
    </w:p>
    <w:p>
      <w:pPr>
        <w:pStyle w:val="14"/>
        <w:spacing w:after="2"/>
        <w:ind w:firstLine="641"/>
        <w:rPr>
          <w:color w:val="000000"/>
          <w:sz w:val="27"/>
          <w:szCs w:val="27"/>
        </w:rPr>
      </w:pPr>
      <w:r>
        <w:rPr>
          <w:rStyle w:val="10"/>
          <w:rFonts w:hint="eastAsia" w:ascii="宋体" w:hAnsi="宋体" w:eastAsia="宋体"/>
          <w:color w:val="000000"/>
          <w:sz w:val="32"/>
          <w:szCs w:val="32"/>
        </w:rPr>
        <w:t>1、文化旅游体育与传媒支出（类）文化和旅游（款）行政运行（项）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年初预算为0万元，支出决算为5.5万元，年初无预算。决算数大于年初预算数的主要原因是：</w:t>
      </w:r>
      <w:r>
        <w:rPr>
          <w:rStyle w:val="16"/>
          <w:rFonts w:hint="eastAsia" w:ascii="宋体" w:hAnsi="宋体" w:eastAsia="宋体"/>
          <w:color w:val="000000"/>
          <w:sz w:val="32"/>
          <w:szCs w:val="32"/>
        </w:rPr>
        <w:t>本部门年初此款项无年初预算</w:t>
      </w:r>
      <w:r>
        <w:rPr>
          <w:rFonts w:hint="eastAsia" w:ascii="宋体" w:hAnsi="宋体" w:eastAsia="宋体"/>
          <w:color w:val="000000"/>
          <w:sz w:val="32"/>
          <w:szCs w:val="32"/>
        </w:rPr>
        <w:t>。</w:t>
      </w:r>
    </w:p>
    <w:p>
      <w:pPr>
        <w:pStyle w:val="14"/>
        <w:spacing w:after="2"/>
        <w:ind w:firstLine="641"/>
        <w:rPr>
          <w:color w:val="000000"/>
          <w:sz w:val="27"/>
          <w:szCs w:val="27"/>
        </w:rPr>
      </w:pPr>
      <w:r>
        <w:rPr>
          <w:rStyle w:val="10"/>
          <w:rFonts w:hint="eastAsia" w:ascii="宋体" w:hAnsi="宋体" w:eastAsia="宋体"/>
          <w:color w:val="000000"/>
          <w:sz w:val="32"/>
          <w:szCs w:val="32"/>
        </w:rPr>
        <w:t>2、文化旅游体育与传媒支出（类）文化和旅游（款）文化和旅游市场管理（项）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年初预算为313.08万元，支出决算为324.77万元，完成年初预算的103.73%。决算数大于年初预算数的主要原因是：</w:t>
      </w:r>
      <w:r>
        <w:rPr>
          <w:rStyle w:val="16"/>
          <w:rFonts w:hint="eastAsia" w:ascii="宋体" w:hAnsi="宋体" w:eastAsia="宋体"/>
          <w:color w:val="000000"/>
          <w:sz w:val="32"/>
          <w:szCs w:val="32"/>
        </w:rPr>
        <w:t>人员经费、项目经费增加</w:t>
      </w:r>
      <w:r>
        <w:rPr>
          <w:rFonts w:hint="eastAsia" w:ascii="宋体" w:hAnsi="宋体" w:eastAsia="宋体"/>
          <w:color w:val="000000"/>
          <w:sz w:val="32"/>
          <w:szCs w:val="32"/>
        </w:rPr>
        <w:t>。</w:t>
      </w:r>
    </w:p>
    <w:p>
      <w:pPr>
        <w:pStyle w:val="14"/>
        <w:spacing w:after="2"/>
        <w:ind w:firstLine="641"/>
        <w:rPr>
          <w:color w:val="000000"/>
          <w:sz w:val="27"/>
          <w:szCs w:val="27"/>
        </w:rPr>
      </w:pPr>
      <w:r>
        <w:rPr>
          <w:rStyle w:val="10"/>
          <w:rFonts w:hint="eastAsia" w:ascii="宋体" w:hAnsi="宋体" w:eastAsia="宋体"/>
          <w:color w:val="000000"/>
          <w:sz w:val="32"/>
          <w:szCs w:val="32"/>
        </w:rPr>
        <w:t>3、文化旅游体育与传媒支出（类）文化和旅游（款）其他文化和旅游支出（项）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年初预算为0万元，支出决算为10万元，年初无预算。决算数大于年初预算数的主要原因是：</w:t>
      </w:r>
      <w:r>
        <w:rPr>
          <w:rStyle w:val="16"/>
          <w:rFonts w:hint="eastAsia" w:ascii="宋体" w:hAnsi="宋体" w:eastAsia="宋体"/>
          <w:color w:val="000000"/>
          <w:sz w:val="32"/>
          <w:szCs w:val="32"/>
        </w:rPr>
        <w:t>本部门年初此款项无年初预算</w:t>
      </w:r>
      <w:r>
        <w:rPr>
          <w:rFonts w:hint="eastAsia" w:ascii="宋体" w:hAnsi="宋体" w:eastAsia="宋体"/>
          <w:color w:val="000000"/>
          <w:sz w:val="32"/>
          <w:szCs w:val="32"/>
        </w:rPr>
        <w:t>。</w:t>
      </w:r>
    </w:p>
    <w:p>
      <w:pPr>
        <w:pStyle w:val="14"/>
        <w:spacing w:after="2"/>
        <w:ind w:firstLine="641"/>
        <w:rPr>
          <w:color w:val="000000"/>
          <w:sz w:val="27"/>
          <w:szCs w:val="27"/>
        </w:rPr>
      </w:pPr>
      <w:r>
        <w:rPr>
          <w:rStyle w:val="10"/>
          <w:rFonts w:hint="eastAsia" w:ascii="宋体" w:hAnsi="宋体" w:eastAsia="宋体"/>
          <w:color w:val="000000"/>
          <w:sz w:val="32"/>
          <w:szCs w:val="32"/>
        </w:rPr>
        <w:t>4、社会保障和就业支出（类）行政事业单位养老支出（款）行政单位离退休（项）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年初预算为4.05万元，支出决算为6.45万元，完成年初预算的159.21%。决算数大于年初预算数的主要原因是：</w:t>
      </w:r>
      <w:r>
        <w:rPr>
          <w:rStyle w:val="16"/>
          <w:rFonts w:hint="eastAsia" w:ascii="宋体" w:hAnsi="宋体" w:eastAsia="宋体"/>
          <w:color w:val="000000"/>
          <w:sz w:val="32"/>
          <w:szCs w:val="32"/>
        </w:rPr>
        <w:t>退休人员费用增加</w:t>
      </w:r>
      <w:r>
        <w:rPr>
          <w:rFonts w:hint="eastAsia" w:ascii="宋体" w:hAnsi="宋体" w:eastAsia="宋体"/>
          <w:color w:val="000000"/>
          <w:sz w:val="32"/>
          <w:szCs w:val="32"/>
        </w:rPr>
        <w:t>。</w:t>
      </w:r>
    </w:p>
    <w:p>
      <w:pPr>
        <w:pStyle w:val="14"/>
        <w:spacing w:after="2"/>
        <w:ind w:firstLine="641"/>
        <w:rPr>
          <w:color w:val="000000"/>
          <w:sz w:val="27"/>
          <w:szCs w:val="27"/>
        </w:rPr>
      </w:pPr>
      <w:r>
        <w:rPr>
          <w:rStyle w:val="10"/>
          <w:rFonts w:hint="eastAsia" w:ascii="宋体" w:hAnsi="宋体" w:eastAsia="宋体"/>
          <w:color w:val="000000"/>
          <w:sz w:val="32"/>
          <w:szCs w:val="32"/>
        </w:rPr>
        <w:t>5、社会保障和就业支出（类）行政事业单位养老支出（款）机关事业单位职业年金缴费支出（项）</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年初预算为0万元，支出决算为0.8万元，年初无预算。决算数大于年初预算数的主要原因是：</w:t>
      </w:r>
      <w:r>
        <w:rPr>
          <w:rStyle w:val="16"/>
          <w:rFonts w:hint="eastAsia" w:ascii="宋体" w:hAnsi="宋体" w:eastAsia="宋体"/>
          <w:color w:val="000000"/>
          <w:sz w:val="32"/>
          <w:szCs w:val="32"/>
        </w:rPr>
        <w:t>本部门年初此款项无年初预算</w:t>
      </w:r>
      <w:r>
        <w:rPr>
          <w:rFonts w:hint="eastAsia" w:ascii="宋体" w:hAnsi="宋体" w:eastAsia="宋体"/>
          <w:color w:val="000000"/>
          <w:sz w:val="32"/>
          <w:szCs w:val="32"/>
        </w:rPr>
        <w:t>。</w:t>
      </w:r>
    </w:p>
    <w:p>
      <w:pPr>
        <w:pStyle w:val="14"/>
        <w:spacing w:after="2"/>
        <w:ind w:firstLine="641"/>
        <w:rPr>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14"/>
        <w:spacing w:after="2"/>
        <w:ind w:firstLine="420"/>
        <w:rPr>
          <w:color w:val="000000"/>
          <w:sz w:val="27"/>
          <w:szCs w:val="27"/>
        </w:rPr>
      </w:pPr>
      <w:r>
        <w:rPr>
          <w:rFonts w:hint="eastAsia" w:ascii="宋体" w:hAnsi="宋体" w:eastAsia="宋体"/>
          <w:color w:val="000000"/>
          <w:sz w:val="32"/>
          <w:szCs w:val="32"/>
        </w:rPr>
        <w:t> 2020年度财政拨款基本支出260.05万元，其中：人员经费248.07万元，占基本支出的95.39%，主要包括：基本工资、津贴补贴、奖金、机关事业单位基本养老保险缴费、职业年金缴费、其他社会保障缴费、住房公积金、退休费、生活补助、奖励金、其他对个人和家庭的补助。公用经费11.99万元，占基本支出的4.61%，主要包括：公务接待费、劳务费、工会经费、福利费、公务用车运行维护费、其他交通费用、税金及附加费用、其他商品和服务支出。</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七、一般公共预算财政拨款三公经费支出决算情况说明</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（一）“三公”经费财政拨款支出决算总体情况说明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2020年度“三公”经费财政拨款支出预算为11.13万元，支出决算为7.69万元，完成预算的69.12%，其中：</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p>
    <w:p>
      <w:pPr>
        <w:pStyle w:val="14"/>
        <w:spacing w:after="2"/>
        <w:ind w:firstLine="640"/>
        <w:rPr>
          <w:rFonts w:hint="eastAsia" w:eastAsia="宋体"/>
          <w:color w:val="000000"/>
          <w:sz w:val="27"/>
          <w:szCs w:val="27"/>
          <w:lang w:eastAsia="zh-CN"/>
        </w:rPr>
      </w:pPr>
      <w:r>
        <w:rPr>
          <w:rFonts w:hint="eastAsia" w:ascii="宋体" w:hAnsi="宋体" w:eastAsia="宋体"/>
          <w:color w:val="000000"/>
          <w:sz w:val="32"/>
          <w:szCs w:val="32"/>
        </w:rPr>
        <w:t>公务接待费支出预算为3.25万元，支出决算为0.88万元，完成预算的27.14%，决算数小于预算数的主要原因是</w:t>
      </w:r>
      <w:r>
        <w:rPr>
          <w:rStyle w:val="16"/>
          <w:rFonts w:hint="eastAsia" w:ascii="宋体" w:hAnsi="宋体" w:eastAsia="宋体"/>
          <w:color w:val="000000"/>
          <w:sz w:val="32"/>
          <w:szCs w:val="32"/>
        </w:rPr>
        <w:t>切实把厉行节约反对浪费条例的各项规定落到实处，较好的控制了“三公经费”的支出。</w:t>
      </w:r>
      <w:r>
        <w:rPr>
          <w:rFonts w:hint="eastAsia" w:ascii="宋体" w:hAnsi="宋体" w:eastAsia="宋体"/>
          <w:color w:val="000000"/>
          <w:sz w:val="32"/>
          <w:szCs w:val="32"/>
        </w:rPr>
        <w:t>与上年相比减少0.43万元，下降32.66%，下降的主要原因是</w:t>
      </w:r>
      <w:r>
        <w:rPr>
          <w:rStyle w:val="16"/>
          <w:rFonts w:hint="eastAsia" w:ascii="宋体" w:hAnsi="宋体" w:eastAsia="宋体"/>
          <w:color w:val="000000"/>
          <w:sz w:val="32"/>
          <w:szCs w:val="32"/>
        </w:rPr>
        <w:t>切实把厉行节约反对浪费条例的各项规定落到实处，较好的控制了“三公经费”的支出。</w:t>
      </w:r>
    </w:p>
    <w:p>
      <w:pPr>
        <w:pStyle w:val="14"/>
        <w:spacing w:after="2"/>
        <w:ind w:firstLine="640"/>
        <w:rPr>
          <w:rFonts w:hint="eastAsia" w:eastAsia="宋体"/>
          <w:color w:val="000000"/>
          <w:sz w:val="27"/>
          <w:szCs w:val="27"/>
          <w:lang w:eastAsia="zh-CN"/>
        </w:rPr>
      </w:pPr>
      <w:r>
        <w:rPr>
          <w:rFonts w:hint="eastAsia" w:ascii="宋体" w:hAnsi="宋体" w:eastAsia="宋体"/>
          <w:color w:val="000000"/>
          <w:sz w:val="32"/>
          <w:szCs w:val="32"/>
        </w:rPr>
        <w:t>公务用车购置费及运行维护费支出预算为7.88万元，支出决算为6.81万元，完成预算的86.43%，决算数小于预算数的主要原因是</w:t>
      </w:r>
      <w:r>
        <w:rPr>
          <w:rStyle w:val="16"/>
          <w:rFonts w:hint="eastAsia" w:ascii="宋体" w:hAnsi="宋体" w:eastAsia="宋体"/>
          <w:color w:val="000000"/>
          <w:sz w:val="32"/>
          <w:szCs w:val="32"/>
        </w:rPr>
        <w:t>切实把厉行节约反对浪费条例的各项规定落到实处，较好的控制了“三公经费”的支出</w:t>
      </w:r>
      <w:r>
        <w:rPr>
          <w:rFonts w:hint="eastAsia" w:ascii="宋体" w:hAnsi="宋体" w:eastAsia="宋体"/>
          <w:color w:val="000000"/>
          <w:sz w:val="32"/>
          <w:szCs w:val="32"/>
        </w:rPr>
        <w:t xml:space="preserve"> ，与上年相比减少1.35万元，下降16.54%，下降的主要原因是</w:t>
      </w:r>
      <w:r>
        <w:rPr>
          <w:rStyle w:val="16"/>
          <w:rFonts w:hint="eastAsia" w:ascii="宋体" w:hAnsi="宋体" w:eastAsia="宋体"/>
          <w:color w:val="000000"/>
          <w:sz w:val="32"/>
          <w:szCs w:val="32"/>
        </w:rPr>
        <w:t>切实把厉行节约反对浪费条例的各项规定落到实处，较好的控制了“三公经费”的支出。</w:t>
      </w:r>
    </w:p>
    <w:p>
      <w:pPr>
        <w:pStyle w:val="14"/>
        <w:spacing w:after="2"/>
        <w:ind w:firstLine="641"/>
        <w:rPr>
          <w:color w:val="000000"/>
          <w:sz w:val="27"/>
          <w:szCs w:val="27"/>
        </w:rPr>
      </w:pPr>
      <w:r>
        <w:rPr>
          <w:rFonts w:hint="eastAsia" w:ascii="宋体" w:hAnsi="宋体" w:eastAsia="宋体"/>
          <w:b/>
          <w:bCs/>
          <w:color w:val="000000"/>
          <w:sz w:val="32"/>
          <w:szCs w:val="32"/>
        </w:rPr>
        <w:t>（二）“三公”经费财政拨款支出决算具体情况说明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2020年度“三公”经费财政拨款支出决算中，公务接待费支出决算0.88万元，占11.47%，因公出国（境）费支出决算0万元，占0%，公务用车购置费及运行维护费支出决算6.81万元，占88.53%。其中：</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1、因公出国（境）费支出决算为0万元，全年安排因公出国（境）团组0个，累计0人次，我单位2020年度无因公出国（境）费支出。</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2、公务接待费支出决算为0.88万元，全年共接待来访团组12个、来宾110人次，主要是</w:t>
      </w:r>
      <w:r>
        <w:rPr>
          <w:rStyle w:val="16"/>
          <w:rFonts w:hint="eastAsia" w:ascii="宋体" w:hAnsi="宋体" w:eastAsia="宋体"/>
          <w:color w:val="000000"/>
          <w:sz w:val="32"/>
          <w:szCs w:val="32"/>
        </w:rPr>
        <w:t>湖南省、长沙市开展疫情督查工作、扫黄打非专项整治检查、文明城市创建检查等工作</w:t>
      </w:r>
      <w:r>
        <w:rPr>
          <w:rFonts w:hint="eastAsia" w:ascii="宋体" w:hAnsi="宋体" w:eastAsia="宋体"/>
          <w:color w:val="000000"/>
          <w:sz w:val="32"/>
          <w:szCs w:val="32"/>
        </w:rPr>
        <w:t>发生的接待支出。</w:t>
      </w:r>
      <w:r>
        <w:rPr>
          <w:rFonts w:hint="eastAsia"/>
          <w:color w:val="000000"/>
          <w:sz w:val="27"/>
          <w:szCs w:val="27"/>
        </w:rPr>
        <w:t xml:space="preserve"> </w:t>
      </w:r>
    </w:p>
    <w:p>
      <w:pPr>
        <w:pStyle w:val="14"/>
        <w:spacing w:after="2"/>
        <w:ind w:firstLine="641"/>
        <w:rPr>
          <w:rFonts w:hint="eastAsia" w:ascii="宋体" w:hAnsi="宋体" w:eastAsia="宋体"/>
          <w:color w:val="000000"/>
          <w:sz w:val="32"/>
          <w:szCs w:val="32"/>
          <w:lang w:eastAsia="zh-CN"/>
        </w:rPr>
      </w:pPr>
      <w:r>
        <w:rPr>
          <w:rFonts w:hint="eastAsia" w:ascii="宋体" w:hAnsi="宋体" w:eastAsia="宋体"/>
          <w:color w:val="000000"/>
          <w:sz w:val="32"/>
          <w:szCs w:val="32"/>
        </w:rPr>
        <w:t>3、公务用车购置费及运行维护费支出决算为6.81万元，其中：公务用车购置费0万元，</w:t>
      </w:r>
      <w:r>
        <w:rPr>
          <w:rStyle w:val="16"/>
          <w:rFonts w:hint="eastAsia" w:ascii="宋体" w:hAnsi="宋体" w:eastAsia="宋体"/>
          <w:color w:val="000000"/>
          <w:sz w:val="32"/>
          <w:szCs w:val="32"/>
        </w:rPr>
        <w:t>浏阳市文化市场综合执法局是市文化体育广播电视（新闻出版）局下属的独立法人正科级二级机构</w:t>
      </w:r>
      <w:r>
        <w:rPr>
          <w:rFonts w:hint="eastAsia" w:ascii="宋体" w:hAnsi="宋体" w:eastAsia="宋体"/>
          <w:color w:val="000000"/>
          <w:sz w:val="32"/>
          <w:szCs w:val="32"/>
        </w:rPr>
        <w:t>更新公务用车</w:t>
      </w:r>
      <w:r>
        <w:rPr>
          <w:rStyle w:val="16"/>
          <w:rFonts w:hint="eastAsia" w:ascii="宋体" w:hAnsi="宋体" w:eastAsia="宋体"/>
          <w:color w:val="000000"/>
          <w:sz w:val="32"/>
          <w:szCs w:val="32"/>
        </w:rPr>
        <w:t>0</w:t>
      </w:r>
      <w:r>
        <w:rPr>
          <w:rFonts w:hint="eastAsia" w:ascii="宋体" w:hAnsi="宋体" w:eastAsia="宋体"/>
          <w:color w:val="000000"/>
          <w:sz w:val="32"/>
          <w:szCs w:val="32"/>
        </w:rPr>
        <w:t>辆。公务用车运行维护费6.81万元，</w:t>
      </w:r>
      <w:r>
        <w:rPr>
          <w:rStyle w:val="16"/>
          <w:rFonts w:hint="eastAsia" w:ascii="宋体" w:hAnsi="宋体" w:eastAsia="宋体"/>
          <w:color w:val="000000"/>
          <w:sz w:val="32"/>
          <w:szCs w:val="32"/>
        </w:rPr>
        <w:t>用于文化执法工作，所产生的费用为汽车维修（维护）、过桥过路费、加油、购置车辆保险</w:t>
      </w:r>
      <w:r>
        <w:rPr>
          <w:rFonts w:hint="eastAsia" w:ascii="宋体" w:hAnsi="宋体" w:eastAsia="宋体"/>
          <w:color w:val="000000"/>
          <w:sz w:val="32"/>
          <w:szCs w:val="32"/>
        </w:rPr>
        <w:t>支出</w:t>
      </w:r>
      <w:r>
        <w:rPr>
          <w:rFonts w:hint="eastAsia" w:ascii="宋体" w:hAnsi="宋体" w:eastAsia="宋体"/>
          <w:color w:val="000000"/>
          <w:sz w:val="32"/>
          <w:szCs w:val="32"/>
          <w:lang w:eastAsia="zh-CN"/>
        </w:rPr>
        <w:t>。</w:t>
      </w:r>
    </w:p>
    <w:p>
      <w:pPr>
        <w:pStyle w:val="14"/>
        <w:spacing w:after="2"/>
        <w:rPr>
          <w:color w:val="000000"/>
          <w:sz w:val="27"/>
          <w:szCs w:val="27"/>
        </w:rPr>
      </w:pPr>
      <w:r>
        <w:rPr>
          <w:rFonts w:hint="eastAsia" w:ascii="宋体" w:hAnsi="宋体" w:eastAsia="宋体"/>
          <w:b/>
          <w:bCs/>
          <w:color w:val="000000"/>
          <w:sz w:val="32"/>
          <w:szCs w:val="32"/>
        </w:rPr>
        <w:t>八、政府性基金预算收入支出决算情况</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color w:val="000000"/>
          <w:sz w:val="32"/>
          <w:szCs w:val="32"/>
        </w:rPr>
        <w:t xml:space="preserve">浏阳市文化市场综合执法局2020年度没有政府性基金收入，也没有使用政府性基金安排的支出，并已公开空表。 </w:t>
      </w:r>
    </w:p>
    <w:p>
      <w:pPr>
        <w:pStyle w:val="14"/>
        <w:spacing w:after="2"/>
        <w:ind w:firstLine="640"/>
        <w:rPr>
          <w:color w:val="000000"/>
          <w:sz w:val="27"/>
          <w:szCs w:val="27"/>
        </w:rPr>
      </w:pPr>
      <w:r>
        <w:rPr>
          <w:rFonts w:hint="eastAsia" w:ascii="宋体" w:hAnsi="宋体" w:eastAsia="宋体"/>
          <w:b/>
          <w:bCs/>
          <w:color w:val="000000"/>
          <w:sz w:val="32"/>
          <w:szCs w:val="32"/>
        </w:rPr>
        <w:t>九、关于机关运行经费支出说明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浏阳市文化市场综合执法局2020年度机关运行经费支出11.99万元，比年初预算数减少4.99万元，下降29.41%。主要原因是：</w:t>
      </w:r>
      <w:r>
        <w:rPr>
          <w:rStyle w:val="16"/>
          <w:rFonts w:hint="eastAsia" w:ascii="宋体" w:hAnsi="宋体" w:eastAsia="宋体"/>
          <w:color w:val="000000"/>
          <w:sz w:val="32"/>
          <w:szCs w:val="32"/>
        </w:rPr>
        <w:t>响应政府厉行节约的号召</w:t>
      </w:r>
      <w:r>
        <w:rPr>
          <w:rFonts w:hint="eastAsia" w:ascii="宋体" w:hAnsi="宋体" w:eastAsia="宋体"/>
          <w:color w:val="000000"/>
          <w:sz w:val="32"/>
          <w:szCs w:val="32"/>
        </w:rPr>
        <w:t xml:space="preserve">。 </w:t>
      </w:r>
    </w:p>
    <w:p>
      <w:pPr>
        <w:pStyle w:val="14"/>
        <w:spacing w:after="2"/>
        <w:ind w:firstLine="640"/>
        <w:rPr>
          <w:color w:val="000000"/>
          <w:sz w:val="27"/>
          <w:szCs w:val="27"/>
        </w:rPr>
      </w:pPr>
      <w:r>
        <w:rPr>
          <w:rFonts w:hint="eastAsia" w:ascii="宋体" w:hAnsi="宋体" w:eastAsia="宋体"/>
          <w:b/>
          <w:bCs/>
          <w:color w:val="000000"/>
          <w:sz w:val="32"/>
          <w:szCs w:val="32"/>
        </w:rPr>
        <w:t>十、一般性支出情况</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2020年本部门开支会议费0.2万元，</w:t>
      </w:r>
      <w:r>
        <w:rPr>
          <w:rStyle w:val="16"/>
          <w:rFonts w:hint="eastAsia" w:ascii="宋体" w:hAnsi="宋体" w:eastAsia="宋体"/>
          <w:color w:val="000000"/>
          <w:sz w:val="32"/>
          <w:szCs w:val="32"/>
        </w:rPr>
        <w:t>疫情防控、扫黄打非工作会议费</w:t>
      </w:r>
      <w:r>
        <w:rPr>
          <w:rFonts w:hint="eastAsia" w:ascii="宋体" w:hAnsi="宋体" w:eastAsia="宋体"/>
          <w:color w:val="000000"/>
          <w:sz w:val="32"/>
          <w:szCs w:val="32"/>
        </w:rPr>
        <w:t>；开支培训费0万元，我单位2020年度无培训费支出；</w:t>
      </w:r>
      <w:r>
        <w:rPr>
          <w:rStyle w:val="16"/>
          <w:rFonts w:hint="eastAsia" w:ascii="宋体" w:hAnsi="宋体" w:eastAsia="宋体"/>
          <w:color w:val="000000"/>
          <w:sz w:val="32"/>
          <w:szCs w:val="32"/>
        </w:rPr>
        <w:t>未举办节庆、晚会、赛事、论坛等活动</w:t>
      </w:r>
      <w:r>
        <w:rPr>
          <w:rFonts w:hint="eastAsia" w:ascii="宋体" w:hAnsi="宋体" w:eastAsia="宋体"/>
          <w:color w:val="000000"/>
          <w:sz w:val="32"/>
          <w:szCs w:val="32"/>
        </w:rPr>
        <w:t>。</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b/>
          <w:bCs/>
          <w:color w:val="000000"/>
          <w:sz w:val="32"/>
          <w:szCs w:val="32"/>
        </w:rPr>
        <w:t>十一、关于政府采购支出说明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 xml:space="preserve">浏阳市文化市场综合执法局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 </w:t>
      </w:r>
    </w:p>
    <w:p>
      <w:pPr>
        <w:pStyle w:val="14"/>
        <w:spacing w:after="2"/>
        <w:ind w:firstLine="640"/>
        <w:rPr>
          <w:color w:val="000000"/>
          <w:sz w:val="27"/>
          <w:szCs w:val="27"/>
        </w:rPr>
      </w:pPr>
      <w:r>
        <w:rPr>
          <w:rFonts w:hint="eastAsia" w:ascii="宋体" w:hAnsi="宋体" w:eastAsia="宋体"/>
          <w:b/>
          <w:bCs/>
          <w:color w:val="000000"/>
          <w:sz w:val="32"/>
          <w:szCs w:val="32"/>
        </w:rPr>
        <w:t>十二、关于国有资产占用情况说明</w:t>
      </w:r>
      <w:r>
        <w:rPr>
          <w:rFonts w:hint="eastAsia"/>
          <w:color w:val="000000"/>
          <w:sz w:val="27"/>
          <w:szCs w:val="27"/>
        </w:rPr>
        <w:t xml:space="preserve"> </w:t>
      </w:r>
    </w:p>
    <w:p>
      <w:pPr>
        <w:pStyle w:val="14"/>
        <w:spacing w:after="2"/>
        <w:ind w:firstLine="640"/>
        <w:rPr>
          <w:color w:val="000000"/>
          <w:sz w:val="27"/>
          <w:szCs w:val="27"/>
        </w:rPr>
      </w:pPr>
      <w:r>
        <w:rPr>
          <w:rFonts w:hint="eastAsia" w:ascii="宋体" w:hAnsi="宋体" w:eastAsia="宋体"/>
          <w:color w:val="000000"/>
          <w:sz w:val="32"/>
          <w:szCs w:val="32"/>
        </w:rPr>
        <w:t>截至2020年12月31日，浏阳市文化市场综合执法局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color w:val="000000"/>
          <w:sz w:val="27"/>
          <w:szCs w:val="27"/>
        </w:rPr>
        <w:t xml:space="preserve"> </w:t>
      </w:r>
    </w:p>
    <w:p>
      <w:pPr>
        <w:pStyle w:val="14"/>
        <w:spacing w:after="2"/>
        <w:ind w:firstLine="641"/>
        <w:rPr>
          <w:color w:val="000000"/>
          <w:sz w:val="27"/>
          <w:szCs w:val="27"/>
        </w:rPr>
      </w:pPr>
      <w:r>
        <w:rPr>
          <w:rFonts w:hint="eastAsia" w:ascii="宋体" w:hAnsi="宋体" w:eastAsia="宋体"/>
          <w:b/>
          <w:bCs/>
          <w:color w:val="000000"/>
          <w:sz w:val="32"/>
          <w:szCs w:val="32"/>
        </w:rPr>
        <w:t>十三、关于2020年度预算绩效情况说明</w:t>
      </w:r>
      <w:r>
        <w:rPr>
          <w:rFonts w:hint="eastAsia"/>
          <w:color w:val="000000"/>
          <w:sz w:val="27"/>
          <w:szCs w:val="27"/>
        </w:rPr>
        <w:t xml:space="preserve"> </w:t>
      </w:r>
    </w:p>
    <w:p>
      <w:pPr>
        <w:pStyle w:val="14"/>
        <w:spacing w:after="2"/>
        <w:ind w:firstLine="640"/>
        <w:rPr>
          <w:color w:val="000000"/>
          <w:sz w:val="27"/>
          <w:szCs w:val="27"/>
        </w:rPr>
      </w:pPr>
      <w:r>
        <w:rPr>
          <w:rStyle w:val="16"/>
          <w:rFonts w:hint="eastAsia" w:ascii="宋体" w:hAnsi="宋体" w:eastAsia="宋体"/>
          <w:color w:val="000000"/>
          <w:sz w:val="32"/>
          <w:szCs w:val="32"/>
        </w:rPr>
        <w:t>2020年，文化执法局认真贯彻中央、省、长沙市、浏阳市有关文件精神，积极推进预算绩效管理工作，不断提高预算绩效管理工作的质量和水平，提高财政资金使用效益，高起点定，高标准要求，全过程、全覆盖预算管理体系建设，取得了明显成效。</w:t>
      </w:r>
      <w:r>
        <w:rPr>
          <w:rFonts w:hint="eastAsia"/>
          <w:color w:val="000000"/>
          <w:sz w:val="27"/>
          <w:szCs w:val="27"/>
        </w:rPr>
        <w:t xml:space="preserve"> </w:t>
      </w:r>
    </w:p>
    <w:p>
      <w:pPr>
        <w:pStyle w:val="6"/>
        <w:spacing w:before="0" w:beforeAutospacing="0" w:after="2" w:afterAutospacing="0"/>
        <w:rPr>
          <w:color w:val="000000"/>
        </w:rPr>
      </w:pPr>
    </w:p>
    <w:p>
      <w:pPr>
        <w:rPr>
          <w:color w:val="000000"/>
        </w:rPr>
      </w:pPr>
    </w:p>
    <w:p>
      <w:pPr>
        <w:spacing w:after="2"/>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财政拨款收入</w:t>
      </w:r>
      <w:r>
        <w:rPr>
          <w:rFonts w:hint="eastAsia" w:ascii="宋体" w:hAnsi="宋体" w:eastAsia="宋体" w:cs="Calibri"/>
          <w:color w:val="000000"/>
          <w:sz w:val="32"/>
          <w:szCs w:val="32"/>
        </w:rPr>
        <w:t>：指财政当年拨付的资金。包括一般公共预算财政拨款和政府性基金财政拨款。</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上级补助收入</w:t>
      </w:r>
      <w:r>
        <w:rPr>
          <w:rFonts w:hint="eastAsia" w:ascii="宋体" w:hAnsi="宋体" w:eastAsia="宋体" w:cs="Calibri"/>
          <w:color w:val="000000"/>
          <w:sz w:val="32"/>
          <w:szCs w:val="32"/>
        </w:rPr>
        <w:t>：指事业单位从主管部门和上级单位取得的非财政补助收入。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事业收入：</w:t>
      </w:r>
      <w:r>
        <w:rPr>
          <w:rFonts w:hint="eastAsia" w:ascii="宋体" w:hAnsi="宋体" w:eastAsia="宋体" w:cs="Calibri"/>
          <w:color w:val="000000"/>
          <w:sz w:val="32"/>
          <w:szCs w:val="32"/>
        </w:rPr>
        <w:t>指事业单位开展专业业务活动及辅助活动所取得的收入。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经营收入：</w:t>
      </w:r>
      <w:r>
        <w:rPr>
          <w:rFonts w:hint="eastAsia" w:ascii="宋体" w:hAnsi="宋体" w:eastAsia="宋体" w:cs="Calibri"/>
          <w:color w:val="000000"/>
          <w:sz w:val="32"/>
          <w:szCs w:val="32"/>
        </w:rPr>
        <w:t>指事业单位在专业业务活动及其辅助活动之外开展非独立核算经营活动取得的收入。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附属单位上缴收入</w:t>
      </w:r>
      <w:r>
        <w:rPr>
          <w:rFonts w:hint="eastAsia" w:ascii="宋体" w:hAnsi="宋体" w:eastAsia="宋体" w:cs="Calibri"/>
          <w:color w:val="000000"/>
          <w:sz w:val="32"/>
          <w:szCs w:val="32"/>
        </w:rPr>
        <w:t>：指事业单位附属独立核算单位按照有关规定上缴的收入。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其他收入</w:t>
      </w:r>
      <w:r>
        <w:rPr>
          <w:rFonts w:hint="eastAsia" w:ascii="宋体" w:hAnsi="宋体" w:eastAsia="宋体" w:cs="Calibri"/>
          <w:color w:val="000000"/>
          <w:sz w:val="32"/>
          <w:szCs w:val="32"/>
        </w:rPr>
        <w:t>：指除上述“财政拨款收入”、“事业收入”、“经营收入”等以外的收入。</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用事业基金弥补收支差额</w:t>
      </w:r>
      <w:r>
        <w:rPr>
          <w:rFonts w:hint="eastAsia" w:ascii="宋体" w:hAnsi="宋体" w:eastAsia="宋体" w:cs="Calibri"/>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年初结转和结余</w:t>
      </w:r>
      <w:r>
        <w:rPr>
          <w:rFonts w:hint="eastAsia" w:ascii="宋体" w:hAnsi="宋体" w:eastAsia="宋体" w:cs="Calibri"/>
          <w:color w:val="000000"/>
          <w:sz w:val="32"/>
          <w:szCs w:val="32"/>
        </w:rPr>
        <w:t>：指以前年度尚未完成、结转到本年按有关规定继续使用的资金。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结余分配</w:t>
      </w:r>
      <w:r>
        <w:rPr>
          <w:rFonts w:hint="eastAsia" w:ascii="宋体" w:hAnsi="宋体" w:eastAsia="宋体" w:cs="Calibri"/>
          <w:color w:val="000000"/>
          <w:sz w:val="32"/>
          <w:szCs w:val="32"/>
        </w:rPr>
        <w:t>：指事业事位按规定从非财政补助结余中分配的事业基金和职工福利基金等。</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年末结转和结余</w:t>
      </w:r>
      <w:r>
        <w:rPr>
          <w:rFonts w:hint="eastAsia" w:ascii="宋体" w:hAnsi="宋体" w:eastAsia="宋体" w:cs="Calibri"/>
          <w:color w:val="000000"/>
          <w:sz w:val="32"/>
          <w:szCs w:val="32"/>
        </w:rPr>
        <w:t>：指本年度或以前年度预算安排、因客观条件发生变化无法按原计划实施，需要延迟到以后年度按有关规定继续使用的资金。</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基本支出</w:t>
      </w:r>
      <w:r>
        <w:rPr>
          <w:rFonts w:hint="eastAsia" w:ascii="宋体" w:hAnsi="宋体" w:eastAsia="宋体" w:cs="Calibri"/>
          <w:color w:val="000000"/>
          <w:sz w:val="32"/>
          <w:szCs w:val="32"/>
        </w:rPr>
        <w:t>：指为保障机构正常运转、完成日常工作任务而发生的人员支出和公用支出。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项目支出</w:t>
      </w:r>
      <w:r>
        <w:rPr>
          <w:rFonts w:hint="eastAsia" w:ascii="宋体" w:hAnsi="宋体" w:eastAsia="宋体" w:cs="Calibri"/>
          <w:color w:val="000000"/>
          <w:sz w:val="32"/>
          <w:szCs w:val="32"/>
        </w:rPr>
        <w:t>：指在基本支出之外为完成特定行政任务和事业发展目标所发生的支出。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经营支出</w:t>
      </w:r>
      <w:r>
        <w:rPr>
          <w:rFonts w:hint="eastAsia" w:ascii="宋体" w:hAnsi="宋体" w:eastAsia="宋体" w:cs="Calibri"/>
          <w:color w:val="000000"/>
          <w:sz w:val="32"/>
          <w:szCs w:val="32"/>
        </w:rPr>
        <w:t>：指事业单位在专业业务活动及其辅助活动之外开展非独立核算经营活动所发生的支出。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“三公”经费</w:t>
      </w:r>
      <w:r>
        <w:rPr>
          <w:rFonts w:hint="eastAsia" w:ascii="宋体" w:hAnsi="宋体" w:eastAsia="宋体" w:cs="Calibri"/>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r>
        <w:rPr>
          <w:rFonts w:hint="eastAsia" w:ascii="宋体" w:hAnsi="宋体" w:eastAsia="宋体" w:cs="Calibri"/>
          <w:b/>
          <w:bCs/>
          <w:color w:val="000000"/>
          <w:sz w:val="32"/>
          <w:szCs w:val="32"/>
        </w:rPr>
        <w:t>机关运行经费</w:t>
      </w:r>
      <w:r>
        <w:rPr>
          <w:rFonts w:hint="eastAsia" w:ascii="宋体" w:hAnsi="宋体" w:eastAsia="宋体" w:cs="Calibri"/>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s="Calibri"/>
          <w:color w:val="000000"/>
          <w:szCs w:val="21"/>
        </w:rPr>
        <w:t xml:space="preserve"> </w:t>
      </w:r>
    </w:p>
    <w:p>
      <w:pPr>
        <w:spacing w:after="2" w:line="336" w:lineRule="atLeast"/>
        <w:ind w:firstLine="643"/>
        <w:rPr>
          <w:rFonts w:ascii="Calibri" w:hAnsi="Calibri" w:cs="Calibri"/>
          <w:color w:val="000000"/>
          <w:szCs w:val="21"/>
        </w:rPr>
      </w:pPr>
    </w:p>
    <w:p>
      <w:pPr>
        <w:spacing w:after="2"/>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spacing w:after="2"/>
        <w:jc w:val="center"/>
        <w:rPr>
          <w:color w:val="000000"/>
          <w:szCs w:val="21"/>
        </w:rPr>
      </w:pPr>
      <w:r>
        <w:fldChar w:fldCharType="begin"/>
      </w:r>
      <w:r>
        <w:instrText xml:space="preserve"> HYPERLINK "http://10.105.39.121/portal/home/downloadAttachment?attachGUID=ccdfcf0ffcf84812b7d757c2672f816a" \t "_blank" </w:instrText>
      </w:r>
      <w:r>
        <w:fldChar w:fldCharType="separate"/>
      </w:r>
      <w:r>
        <w:rPr>
          <w:rStyle w:val="12"/>
          <w:rFonts w:hint="eastAsia" w:ascii="宋体" w:hAnsi="宋体" w:eastAsia="宋体"/>
          <w:sz w:val="28"/>
          <w:szCs w:val="28"/>
          <w:shd w:val="clear" w:color="auto" w:fill="FFFFFF"/>
        </w:rPr>
        <w:t>浏阳市文化市场综合行政执法大队2020年度部门整体支出绩效评价报告.doc</w:t>
      </w:r>
      <w:r>
        <w:rPr>
          <w:rStyle w:val="12"/>
          <w:rFonts w:hint="eastAsia" w:ascii="宋体" w:hAnsi="宋体" w:eastAsia="宋体"/>
          <w:sz w:val="28"/>
          <w:szCs w:val="28"/>
          <w:shd w:val="clear" w:color="auto" w:fill="FFFFFF"/>
        </w:rPr>
        <w:fldChar w:fldCharType="end"/>
      </w:r>
      <w:bookmarkStart w:id="0" w:name="_GoBack"/>
      <w:bookmarkEnd w:id="0"/>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ZWFmZTM1NzRiNzZjYThkMWQ0OTZkNWYwNzlmOTkifQ=="/>
  </w:docVars>
  <w:rsids>
    <w:rsidRoot w:val="003B3968"/>
    <w:rsid w:val="003118DA"/>
    <w:rsid w:val="003B3968"/>
    <w:rsid w:val="00483CB7"/>
    <w:rsid w:val="004B455E"/>
    <w:rsid w:val="17645D09"/>
    <w:rsid w:val="1ADB1FF8"/>
    <w:rsid w:val="2D8F3B8F"/>
    <w:rsid w:val="4EA15200"/>
    <w:rsid w:val="5CA242D0"/>
    <w:rsid w:val="5CCC5BC1"/>
    <w:rsid w:val="6D341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8"/>
    <w:semiHidden/>
    <w:unhideWhenUsed/>
    <w:qFormat/>
    <w:uiPriority w:val="99"/>
    <w:pPr>
      <w:tabs>
        <w:tab w:val="center" w:pos="4153"/>
        <w:tab w:val="right" w:pos="8306"/>
      </w:tabs>
      <w:snapToGrid w:val="0"/>
      <w:jc w:val="left"/>
    </w:pPr>
    <w:rPr>
      <w:sz w:val="18"/>
      <w:szCs w:val="18"/>
    </w:rPr>
  </w:style>
  <w:style w:type="paragraph" w:styleId="5">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1"/>
    <w:semiHidden/>
    <w:unhideWhenUsed/>
    <w:qFormat/>
    <w:uiPriority w:val="99"/>
    <w:rPr>
      <w:b/>
      <w:bCs/>
    </w:rPr>
  </w:style>
  <w:style w:type="character" w:styleId="10">
    <w:name w:val="Strong"/>
    <w:basedOn w:val="9"/>
    <w:qFormat/>
    <w:uiPriority w:val="22"/>
    <w:rPr>
      <w:b/>
      <w:bCs/>
    </w:rPr>
  </w:style>
  <w:style w:type="character" w:styleId="11">
    <w:name w:val="FollowedHyperlink"/>
    <w:basedOn w:val="9"/>
    <w:semiHidden/>
    <w:unhideWhenUsed/>
    <w:qFormat/>
    <w:uiPriority w:val="99"/>
    <w:rPr>
      <w:color w:val="800080"/>
      <w:u w:val="single"/>
    </w:rPr>
  </w:style>
  <w:style w:type="character" w:styleId="12">
    <w:name w:val="Hyperlink"/>
    <w:basedOn w:val="9"/>
    <w:semiHidden/>
    <w:unhideWhenUsed/>
    <w:qFormat/>
    <w:uiPriority w:val="99"/>
    <w:rPr>
      <w:color w:val="0000FF"/>
      <w:u w:val="single"/>
    </w:rPr>
  </w:style>
  <w:style w:type="character" w:styleId="13">
    <w:name w:val="annotation reference"/>
    <w:basedOn w:val="9"/>
    <w:semiHidden/>
    <w:unhideWhenUsed/>
    <w:qFormat/>
    <w:uiPriority w:val="99"/>
    <w:rPr>
      <w:sz w:val="21"/>
      <w:szCs w:val="21"/>
    </w:rPr>
  </w:style>
  <w:style w:type="paragraph" w:customStyle="1" w:styleId="14">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peoplefilling"/>
    <w:basedOn w:val="9"/>
    <w:qFormat/>
    <w:uiPriority w:val="0"/>
  </w:style>
  <w:style w:type="character" w:customStyle="1" w:styleId="17">
    <w:name w:val="页眉 Char"/>
    <w:basedOn w:val="9"/>
    <w:link w:val="5"/>
    <w:semiHidden/>
    <w:qFormat/>
    <w:uiPriority w:val="99"/>
    <w:rPr>
      <w:rFonts w:asciiTheme="minorHAnsi" w:hAnsiTheme="minorHAnsi" w:cstheme="minorBidi"/>
      <w:kern w:val="2"/>
      <w:sz w:val="18"/>
      <w:szCs w:val="18"/>
    </w:rPr>
  </w:style>
  <w:style w:type="character" w:customStyle="1" w:styleId="18">
    <w:name w:val="页脚 Char"/>
    <w:basedOn w:val="9"/>
    <w:link w:val="4"/>
    <w:semiHidden/>
    <w:qFormat/>
    <w:uiPriority w:val="99"/>
    <w:rPr>
      <w:rFonts w:asciiTheme="minorHAnsi" w:hAnsiTheme="minorHAnsi" w:cstheme="minorBidi"/>
      <w:kern w:val="2"/>
      <w:sz w:val="18"/>
      <w:szCs w:val="18"/>
    </w:rPr>
  </w:style>
  <w:style w:type="character" w:customStyle="1" w:styleId="19">
    <w:name w:val="批注框文本 Char"/>
    <w:basedOn w:val="9"/>
    <w:link w:val="3"/>
    <w:semiHidden/>
    <w:qFormat/>
    <w:uiPriority w:val="99"/>
    <w:rPr>
      <w:rFonts w:asciiTheme="minorHAnsi" w:hAnsiTheme="minorHAnsi" w:cstheme="minorBidi"/>
      <w:kern w:val="2"/>
      <w:sz w:val="18"/>
      <w:szCs w:val="18"/>
    </w:rPr>
  </w:style>
  <w:style w:type="character" w:customStyle="1" w:styleId="20">
    <w:name w:val="批注文字 Char"/>
    <w:basedOn w:val="9"/>
    <w:link w:val="2"/>
    <w:semiHidden/>
    <w:qFormat/>
    <w:uiPriority w:val="99"/>
    <w:rPr>
      <w:rFonts w:asciiTheme="minorHAnsi" w:hAnsiTheme="minorHAnsi" w:cstheme="minorBidi"/>
      <w:kern w:val="2"/>
      <w:sz w:val="21"/>
      <w:szCs w:val="22"/>
    </w:rPr>
  </w:style>
  <w:style w:type="character" w:customStyle="1" w:styleId="21">
    <w:name w:val="批注主题 Char"/>
    <w:basedOn w:val="20"/>
    <w:link w:val="7"/>
    <w:semiHidden/>
    <w:qFormat/>
    <w:uiPriority w:val="99"/>
    <w:rPr>
      <w:rFonts w:asciiTheme="minorHAnsi" w:hAnsiTheme="minorHAnsi" w:cstheme="minorBidi"/>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8171</Words>
  <Characters>10180</Characters>
  <Lines>93</Lines>
  <Paragraphs>26</Paragraphs>
  <TotalTime>27</TotalTime>
  <ScaleCrop>false</ScaleCrop>
  <LinksUpToDate>false</LinksUpToDate>
  <CharactersWithSpaces>11243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2021-10-18T06:16:00Z</dcterms:created>
  <dc:creator>PC</dc:creator>
  <cp:lastModifiedBy>Administrator</cp:lastModifiedBy>
  <dcterms:modified xsi:type="dcterms:W3CDTF">2022-06-15T07:01:47Z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D456A7F9CDE64764819D27D92D625979</vt:lpwstr>
  </property>
</Properties>
</file>