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textAlignment w:val="center"/>
        <w:rPr>
          <w:rFonts w:hint="default" w:ascii="Times New Roman" w:hAnsi="Times New Roman" w:eastAsia="方正小标宋简体"/>
          <w:sz w:val="40"/>
          <w:szCs w:val="40"/>
          <w:lang w:val="en-US" w:eastAsia="zh-CN"/>
        </w:rPr>
      </w:pPr>
      <w:r>
        <w:rPr>
          <w:rStyle w:val="7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Style w:val="7"/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23" w:afterLines="50" w:line="600" w:lineRule="exact"/>
        <w:jc w:val="center"/>
        <w:textAlignment w:val="auto"/>
        <w:rPr>
          <w:rFonts w:hint="eastAsia" w:ascii="Times New Roman" w:hAnsi="Times New Roman" w:eastAsia="仿宋_GB2312"/>
          <w:sz w:val="15"/>
          <w:szCs w:val="8"/>
          <w:lang w:val="en-US" w:eastAsia="zh-CN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柏加镇火灾易致伤亡对象（群体）消防安全检查表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900"/>
        <w:gridCol w:w="189"/>
        <w:gridCol w:w="172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  <w:t>对象姓名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664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  <w:t>居住地址</w:t>
            </w:r>
          </w:p>
        </w:tc>
        <w:tc>
          <w:tcPr>
            <w:tcW w:w="63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  <w:t>检查内容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18"/>
                <w:vertAlign w:val="baseline"/>
                <w:lang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1.人员看护（照管）到位情况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2.取暖方式和取暖安全情况（炭火等防一氧化碳中毒，电暖防电器老化、短路起火）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3.无专人经常性看护的卧床失能对象应在居住房间安装烟雾报警器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4.老年痴呆、智残、精神病人家属应告知看护（监护）人加强打火机等火源和煤气、酒精等易燃易爆品管理，切实防范病残人员失火肇事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5.看护（照管）人员是否知晓可能的火灾（一氧化碳中毒）隐患，并知晓如何防范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1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6.其他涉及消防安全的要求和事项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8438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检查结论（整改意见）：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3612" w:firstLineChars="1505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3612" w:firstLineChars="1505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3612" w:firstLineChars="1505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3612" w:firstLineChars="1505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检查单位（盖章）：             检查人员（签字）：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3633" w:firstLineChars="1514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被检查人（签字）：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5520" w:firstLineChars="23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18"/>
                <w:vertAlign w:val="baseline"/>
                <w:lang w:val="en-US" w:eastAsia="zh-CN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76C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2023-02-27T01:43:43Z</dcterms:created>
  <dc:creator>Administrator</dc:creator>
  <cp:lastModifiedBy>Johnny.</cp:lastModifiedBy>
  <dcterms:modified xsi:type="dcterms:W3CDTF">2023-02-27T01:44:11Z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8824947CACD44791BD3DF41348B0F446</vt:lpwstr>
  </property>
</Properties>
</file>