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Style w:val="7"/>
          <w:rFonts w:hint="eastAsia" w:ascii="Times New Roman" w:hAnsi="Times New Roman" w:eastAsia="黑体" w:cs="黑体"/>
          <w:color w:val="000000"/>
          <w:sz w:val="32"/>
          <w:szCs w:val="32"/>
          <w:lang w:eastAsia="zh-CN"/>
        </w:rPr>
      </w:pPr>
      <w:r>
        <w:rPr>
          <w:rStyle w:val="7"/>
          <w:rFonts w:hint="eastAsia" w:ascii="Times New Roman" w:hAnsi="Times New Roman" w:eastAsia="黑体" w:cs="黑体"/>
          <w:color w:val="000000"/>
          <w:sz w:val="32"/>
          <w:szCs w:val="32"/>
          <w:lang w:eastAsia="zh-CN"/>
        </w:rPr>
        <w:t>附件</w:t>
      </w:r>
      <w:r>
        <w:rPr>
          <w:rStyle w:val="7"/>
          <w:rFonts w:hint="eastAsia" w:ascii="Times New Roman" w:hAnsi="Times New Roman" w:eastAsia="黑体" w:cs="黑体"/>
          <w:color w:val="000000"/>
          <w:sz w:val="32"/>
          <w:szCs w:val="32"/>
          <w:lang w:val="en-US" w:eastAsia="zh-CN"/>
        </w:rPr>
        <w:t>6</w:t>
      </w:r>
    </w:p>
    <w:p>
      <w:pPr>
        <w:spacing w:line="600" w:lineRule="exact"/>
        <w:jc w:val="center"/>
        <w:rPr>
          <w:rFonts w:hint="default" w:ascii="Times New Roman" w:hAnsi="Times New Roman" w:eastAsia="方正小标宋简体"/>
          <w:color w:val="000000"/>
          <w:sz w:val="44"/>
          <w:szCs w:val="44"/>
          <w:lang w:val="en-US" w:eastAsia="zh-CN"/>
        </w:rPr>
      </w:pPr>
      <w:r>
        <w:rPr>
          <w:rFonts w:hint="eastAsia" w:ascii="Times New Roman" w:hAnsi="Times New Roman" w:eastAsia="方正小标宋简体"/>
          <w:color w:val="000000"/>
          <w:sz w:val="44"/>
          <w:szCs w:val="44"/>
          <w:lang w:val="en-US" w:eastAsia="zh-CN"/>
        </w:rPr>
        <w:t>部门责任表</w:t>
      </w:r>
    </w:p>
    <w:p>
      <w:pPr>
        <w:rPr>
          <w:rFonts w:ascii="Times New Roman" w:hAnsi="Times New Roman"/>
        </w:rPr>
      </w:pPr>
    </w:p>
    <w:tbl>
      <w:tblPr>
        <w:tblStyle w:val="5"/>
        <w:tblW w:w="9344"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648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506"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责任（牵头）</w:t>
            </w:r>
          </w:p>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部门</w:t>
            </w:r>
          </w:p>
        </w:tc>
        <w:tc>
          <w:tcPr>
            <w:tcW w:w="6489"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责任范围</w:t>
            </w:r>
          </w:p>
        </w:tc>
        <w:tc>
          <w:tcPr>
            <w:tcW w:w="1349"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党政办</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政府机关办公楼、宿舍楼、食堂的消防安全和醇基燃料检查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社会事业综合服务中心</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敬老院、福利彩票店、卫生院、各村卫生室、诊所、全镇餐饮店、散居五保户的消防安全和醇基燃料检查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凌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综合行政执法大队</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燃气销售点、垃圾压缩站，燃气使用生产经营单位的消防安全和醇基燃料检查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经济发展办</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全镇超市、美容美发店、花卉苗木合作社、花木经营门店、修理店、寄递店等的消防安全和醇基燃料检查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章朝晖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农业农村办</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全镇农资店的消防安全和醇基燃料检查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党建办</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金科山水洲、全镇中小学、幼儿园及社会教育培训机构、全镇网吧、健身房、儿童游乐场所消防安全和醇基燃料检查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吴玮祎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政务服务中心</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庙宇、重点项目的消防安全和醇基燃料检查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  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自然资源和生态环境办</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在建项目工地、污水处理厂、集镇高层居民住宅楼、有物业管理的住宅小区的消防安全和醇基燃料检查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袁海军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社会治安和应急管理办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（安监站）</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集镇麻将馆、渡口、校车、加油站、烟花爆竹经营门店等的消防安全和醇基燃料检查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派出所</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全镇宾馆酒店、KTV、出租屋小旅馆、足浴按摩、中小学、幼儿园、敬老院等人员密集消防重点场所的消防安全和醇基燃料检查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朱豪毅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财政所</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驻镇金融机构营业办公、生活场所消防安全和醇基燃料检查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章朝晖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柏铃村</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除集镇外辖区其他生产经营单位消防安全检查及孤寡老人、散居五保户、空巢老人、失能老人（病人）、留守儿童家庭等消防易致伤亡群体居住场所消防安全和醇基燃料检查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联村领导、</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仙湖村</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负责辖区各生产经营单位消防安全检查及孤寡老人、散居五保户、空巢老人、失能老人（病人）、留守儿童家庭等消防易致伤亡群体居住场所消防安全和醇基燃料检查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联村领导、村书记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渡头村</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负责辖区各生产经营单位消防安全检查及孤寡老人、散居五保户、空巢老人、失能老人（病人）、留守儿童家庭等消防易致伤亡群体居住场所消防安全和醇基燃料检查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联村领导、村书记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楠洲村</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负责辖区各生产经营单位消防安全检查及孤寡老人、散居五保户、空巢老人、失能老人（病人）、留守儿童家庭等消防易致伤亡群体居住场所消防安全和醇基燃料检查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联村领导、村书记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15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双源村</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负责辖区各生产经营单位消防安全检查及孤寡老人、散居五保户、空巢老人、失能老人（病人）、留守儿童家庭等消防易致伤亡群体居住场所消防安全和醇基燃料检查</w:t>
            </w:r>
          </w:p>
        </w:tc>
        <w:tc>
          <w:tcPr>
            <w:tcW w:w="134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联村领导、村书记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DA0NDgzZjEyNGRlMzY0ODU5ZTIxNGE4M2ZkYzkifQ=="/>
  </w:docVars>
  <w:rsids>
    <w:rsidRoot w:val="00000000"/>
    <w:rsid w:val="3D6C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next w:val="1"/>
    <w:qFormat/>
    <w:uiPriority w:val="0"/>
    <w:pPr>
      <w:spacing w:before="100" w:beforeAutospacing="1" w:after="120"/>
    </w:pPr>
    <w:rPr>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hint="eastAsia" w:ascii="宋体" w:hAnsi="宋体" w:eastAsia="宋体" w:cs="宋体"/>
      <w:color w:val="303133"/>
      <w:sz w:val="30"/>
      <w:szCs w:val="3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2023-02-27T01:47:48Z</dcterms:created>
  <dc:creator>Administrator</dc:creator>
  <cp:lastModifiedBy>Johnny.</cp:lastModifiedBy>
  <dcterms:modified xsi:type="dcterms:W3CDTF">2023-02-27T01:47:53Z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4B2FE0FD6A88402489FCCCD3B9C84AFD</vt:lpwstr>
  </property>
</Properties>
</file>