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kern w:val="0"/>
          <w:sz w:val="70"/>
          <w:szCs w:val="70"/>
        </w:rPr>
      </w:pPr>
      <w:bookmarkStart w:id="0" w:name="_GoBack"/>
      <w:bookmarkEnd w:id="0"/>
    </w:p>
    <w:p>
      <w:pPr>
        <w:widowControl/>
        <w:jc w:val="left"/>
        <w:rPr>
          <w:rFonts w:ascii="Times New Roman" w:hAnsi="Times New Roman" w:eastAsia="黑体"/>
          <w:kern w:val="0"/>
          <w:sz w:val="70"/>
          <w:szCs w:val="70"/>
        </w:rPr>
      </w:pPr>
    </w:p>
    <w:p>
      <w:pPr>
        <w:widowControl/>
        <w:jc w:val="left"/>
        <w:rPr>
          <w:rFonts w:ascii="Times New Roman" w:hAnsi="Times New Roman" w:eastAsia="黑体"/>
          <w:kern w:val="0"/>
          <w:sz w:val="70"/>
          <w:szCs w:val="70"/>
        </w:rPr>
      </w:pPr>
    </w:p>
    <w:p>
      <w:pPr>
        <w:pStyle w:val="10"/>
        <w:jc w:val="center"/>
        <w:rPr>
          <w:rFonts w:ascii="Times New Roman" w:hAnsi="Times New Roman" w:eastAsia="方正大标宋简体" w:cs="Times New Roman"/>
          <w:color w:val="auto"/>
          <w:sz w:val="60"/>
          <w:szCs w:val="60"/>
        </w:rPr>
      </w:pPr>
    </w:p>
    <w:p>
      <w:pPr>
        <w:pStyle w:val="10"/>
        <w:jc w:val="center"/>
        <w:rPr>
          <w:rFonts w:ascii="Times New Roman" w:hAnsi="Times New Roman" w:eastAsia="方正大标宋简体" w:cs="Times New Roman"/>
          <w:color w:val="auto"/>
          <w:sz w:val="60"/>
          <w:szCs w:val="60"/>
        </w:rPr>
      </w:pPr>
    </w:p>
    <w:p>
      <w:pPr>
        <w:pStyle w:val="10"/>
        <w:jc w:val="center"/>
        <w:rPr>
          <w:rFonts w:ascii="Times New Roman" w:hAnsi="Times New Roman" w:eastAsia="方正大标宋简体" w:cs="Times New Roman"/>
          <w:color w:val="auto"/>
          <w:sz w:val="60"/>
          <w:szCs w:val="60"/>
        </w:rPr>
      </w:pPr>
      <w:r>
        <w:rPr>
          <w:rFonts w:ascii="Times New Roman" w:hAnsi="Times New Roman" w:eastAsia="方正大标宋简体" w:cs="Times New Roman"/>
          <w:color w:val="auto"/>
          <w:sz w:val="60"/>
          <w:szCs w:val="60"/>
        </w:rPr>
        <w:t>2021</w:t>
      </w:r>
      <w:r>
        <w:rPr>
          <w:rFonts w:hint="eastAsia" w:ascii="Times New Roman" w:hAnsi="Times New Roman" w:eastAsia="方正大标宋简体" w:cs="Times New Roman"/>
          <w:color w:val="auto"/>
          <w:sz w:val="60"/>
          <w:szCs w:val="60"/>
        </w:rPr>
        <w:t>年度部门整体支出</w:t>
      </w:r>
    </w:p>
    <w:p>
      <w:pPr>
        <w:pStyle w:val="10"/>
        <w:jc w:val="center"/>
        <w:rPr>
          <w:rFonts w:ascii="Times New Roman" w:hAnsi="Times New Roman" w:eastAsia="方正大标宋简体" w:cs="Times New Roman"/>
          <w:color w:val="auto"/>
          <w:sz w:val="60"/>
          <w:szCs w:val="60"/>
        </w:rPr>
      </w:pPr>
      <w:r>
        <w:rPr>
          <w:rFonts w:hint="eastAsia" w:ascii="Times New Roman" w:hAnsi="Times New Roman" w:eastAsia="方正大标宋简体" w:cs="Times New Roman"/>
          <w:color w:val="auto"/>
          <w:sz w:val="60"/>
          <w:szCs w:val="60"/>
        </w:rPr>
        <w:t>绩效评价报告</w:t>
      </w:r>
    </w:p>
    <w:p>
      <w:pPr>
        <w:spacing w:line="600" w:lineRule="exact"/>
        <w:ind w:firstLine="640" w:firstLineChars="200"/>
        <w:jc w:val="left"/>
        <w:rPr>
          <w:rFonts w:ascii="Times New Roman" w:hAnsi="Times New Roman" w:eastAsia="仿宋_GB2312"/>
          <w:kern w:val="0"/>
          <w:sz w:val="32"/>
          <w:szCs w:val="32"/>
        </w:rPr>
      </w:pPr>
    </w:p>
    <w:p>
      <w:pPr>
        <w:spacing w:line="600" w:lineRule="exact"/>
        <w:jc w:val="left"/>
        <w:rPr>
          <w:rFonts w:ascii="Times New Roman" w:hAnsi="Times New Roman" w:eastAsia="仿宋_GB2312"/>
          <w:sz w:val="32"/>
          <w:szCs w:val="32"/>
        </w:rPr>
      </w:pPr>
    </w:p>
    <w:p>
      <w:pPr>
        <w:spacing w:line="600" w:lineRule="exact"/>
        <w:ind w:firstLine="4480" w:firstLineChars="1400"/>
        <w:jc w:val="left"/>
        <w:rPr>
          <w:rFonts w:ascii="Times New Roman" w:hAnsi="Times New Roman" w:eastAsia="仿宋_GB2312"/>
          <w:sz w:val="32"/>
          <w:szCs w:val="32"/>
        </w:rPr>
      </w:pPr>
    </w:p>
    <w:p>
      <w:pPr>
        <w:spacing w:line="600" w:lineRule="exact"/>
        <w:ind w:firstLine="4480" w:firstLineChars="1400"/>
        <w:jc w:val="left"/>
        <w:rPr>
          <w:rFonts w:ascii="Times New Roman" w:hAnsi="Times New Roman" w:eastAsia="仿宋_GB2312"/>
          <w:sz w:val="32"/>
          <w:szCs w:val="32"/>
        </w:rPr>
      </w:pPr>
    </w:p>
    <w:p>
      <w:pPr>
        <w:spacing w:line="600" w:lineRule="exact"/>
        <w:ind w:firstLine="4480" w:firstLineChars="1400"/>
        <w:jc w:val="left"/>
        <w:rPr>
          <w:rFonts w:ascii="Times New Roman" w:hAnsi="Times New Roman" w:eastAsia="仿宋_GB2312"/>
          <w:sz w:val="32"/>
          <w:szCs w:val="32"/>
        </w:rPr>
      </w:pPr>
    </w:p>
    <w:p>
      <w:pPr>
        <w:spacing w:line="600" w:lineRule="exact"/>
        <w:ind w:firstLine="4480" w:firstLineChars="1400"/>
        <w:jc w:val="left"/>
        <w:rPr>
          <w:rFonts w:ascii="Times New Roman" w:hAnsi="Times New Roman" w:eastAsia="仿宋_GB2312"/>
          <w:sz w:val="32"/>
          <w:szCs w:val="32"/>
        </w:rPr>
      </w:pPr>
    </w:p>
    <w:p>
      <w:pPr>
        <w:spacing w:line="600" w:lineRule="exact"/>
        <w:ind w:firstLine="4480" w:firstLineChars="1400"/>
        <w:jc w:val="left"/>
        <w:rPr>
          <w:rFonts w:ascii="Times New Roman" w:hAnsi="Times New Roman" w:eastAsia="仿宋_GB2312"/>
          <w:sz w:val="32"/>
          <w:szCs w:val="32"/>
        </w:rPr>
      </w:pPr>
      <w:r>
        <w:rPr>
          <w:rFonts w:hint="eastAsia" w:ascii="Times New Roman" w:hAnsi="Times New Roman" w:eastAsia="仿宋_GB2312"/>
          <w:sz w:val="32"/>
          <w:szCs w:val="32"/>
        </w:rPr>
        <w:t>浏阳市达浒镇人民政府</w:t>
      </w:r>
    </w:p>
    <w:p>
      <w:pPr>
        <w:spacing w:line="600" w:lineRule="exact"/>
        <w:ind w:firstLine="5120" w:firstLineChars="1600"/>
        <w:jc w:val="left"/>
        <w:rPr>
          <w:rFonts w:ascii="Times New Roman" w:hAnsi="Times New Roman" w:eastAsia="仿宋_GB2312"/>
          <w:sz w:val="32"/>
          <w:szCs w:val="32"/>
        </w:rPr>
      </w:pP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10</w:t>
      </w:r>
      <w:r>
        <w:rPr>
          <w:rFonts w:hint="eastAsia" w:ascii="Times New Roman" w:hAnsi="Times New Roman" w:eastAsia="仿宋_GB2312"/>
          <w:sz w:val="32"/>
          <w:szCs w:val="32"/>
        </w:rPr>
        <w:t>月</w:t>
      </w:r>
      <w:r>
        <w:rPr>
          <w:rFonts w:ascii="Times New Roman" w:hAnsi="Times New Roman" w:eastAsia="仿宋_GB2312"/>
          <w:sz w:val="32"/>
          <w:szCs w:val="32"/>
        </w:rPr>
        <w:t>20</w:t>
      </w:r>
      <w:r>
        <w:rPr>
          <w:rFonts w:hint="eastAsia" w:ascii="Times New Roman" w:hAnsi="Times New Roman" w:eastAsia="仿宋_GB2312"/>
          <w:sz w:val="32"/>
          <w:szCs w:val="32"/>
        </w:rPr>
        <w:t>日</w:t>
      </w:r>
    </w:p>
    <w:p>
      <w:pPr>
        <w:pStyle w:val="4"/>
        <w:spacing w:before="0" w:beforeAutospacing="0" w:after="0" w:afterAutospacing="0" w:line="570" w:lineRule="atLeast"/>
        <w:jc w:val="center"/>
        <w:rPr>
          <w:rFonts w:cs="Times New Roman"/>
          <w:b/>
          <w:bCs/>
          <w:color w:val="333333"/>
          <w:sz w:val="44"/>
          <w:szCs w:val="44"/>
        </w:rPr>
      </w:pPr>
      <w:r>
        <w:rPr>
          <w:rFonts w:ascii="Times New Roman" w:hAnsi="Times New Roman" w:eastAsia="仿宋_GB2312"/>
          <w:sz w:val="32"/>
          <w:szCs w:val="32"/>
        </w:rPr>
        <w:br w:type="page"/>
      </w:r>
      <w:r>
        <w:rPr>
          <w:rFonts w:hint="eastAsia" w:cs="Times New Roman"/>
          <w:b/>
          <w:bCs/>
          <w:color w:val="333333"/>
          <w:sz w:val="44"/>
          <w:szCs w:val="44"/>
        </w:rPr>
        <w:t>浏阳市达浒镇人民政府</w:t>
      </w:r>
    </w:p>
    <w:p>
      <w:pPr>
        <w:pStyle w:val="4"/>
        <w:spacing w:before="0" w:beforeAutospacing="0" w:after="0" w:afterAutospacing="0" w:line="570" w:lineRule="atLeast"/>
        <w:jc w:val="center"/>
        <w:rPr>
          <w:rFonts w:ascii="Times New Roman" w:hAnsi="Times New Roman" w:cs="Times New Roman"/>
          <w:color w:val="333333"/>
          <w:sz w:val="44"/>
          <w:szCs w:val="44"/>
        </w:rPr>
      </w:pPr>
      <w:r>
        <w:rPr>
          <w:rFonts w:cs="Times New Roman"/>
          <w:b/>
          <w:bCs/>
          <w:color w:val="333333"/>
          <w:sz w:val="44"/>
          <w:szCs w:val="44"/>
        </w:rPr>
        <w:t>2021</w:t>
      </w:r>
      <w:r>
        <w:rPr>
          <w:rFonts w:hint="eastAsia" w:cs="Times New Roman"/>
          <w:b/>
          <w:bCs/>
          <w:color w:val="333333"/>
          <w:sz w:val="44"/>
          <w:szCs w:val="44"/>
        </w:rPr>
        <w:t>年部门整体支出绩效自评报告</w:t>
      </w:r>
    </w:p>
    <w:p>
      <w:pPr>
        <w:pStyle w:val="4"/>
        <w:spacing w:before="0" w:beforeAutospacing="0" w:after="0" w:afterAutospacing="0" w:line="570" w:lineRule="atLeast"/>
        <w:jc w:val="both"/>
        <w:rPr>
          <w:rFonts w:ascii="仿宋" w:hAnsi="仿宋" w:eastAsia="仿宋" w:cs="Times New Roman"/>
          <w:b/>
          <w:bCs/>
          <w:color w:val="333333"/>
          <w:sz w:val="32"/>
          <w:szCs w:val="32"/>
        </w:rPr>
      </w:pPr>
    </w:p>
    <w:p>
      <w:pPr>
        <w:pStyle w:val="4"/>
        <w:spacing w:before="0" w:beforeAutospacing="0" w:after="0" w:afterAutospacing="0" w:line="570" w:lineRule="atLeast"/>
        <w:ind w:firstLine="630" w:firstLineChars="196"/>
        <w:jc w:val="both"/>
        <w:rPr>
          <w:rFonts w:cs="Times New Roman"/>
          <w:color w:val="333333"/>
          <w:sz w:val="21"/>
          <w:szCs w:val="21"/>
        </w:rPr>
      </w:pPr>
      <w:r>
        <w:rPr>
          <w:rFonts w:hint="eastAsia" w:cs="Times New Roman"/>
          <w:b/>
          <w:bCs/>
          <w:color w:val="333333"/>
          <w:sz w:val="32"/>
          <w:szCs w:val="32"/>
        </w:rPr>
        <w:t>一、部门概况</w:t>
      </w:r>
    </w:p>
    <w:p>
      <w:pPr>
        <w:pStyle w:val="4"/>
        <w:spacing w:before="0" w:beforeAutospacing="0" w:after="0" w:afterAutospacing="0" w:line="520" w:lineRule="atLeast"/>
        <w:ind w:firstLine="640"/>
        <w:jc w:val="both"/>
        <w:rPr>
          <w:rFonts w:ascii="仿宋" w:hAnsi="仿宋" w:eastAsia="仿宋" w:cs="Times New Roman"/>
          <w:b/>
          <w:color w:val="333333"/>
          <w:sz w:val="32"/>
          <w:szCs w:val="32"/>
        </w:rPr>
      </w:pPr>
      <w:r>
        <w:rPr>
          <w:rFonts w:hint="eastAsia" w:ascii="仿宋" w:hAnsi="仿宋" w:eastAsia="仿宋" w:cs="Times New Roman"/>
          <w:b/>
          <w:color w:val="333333"/>
          <w:sz w:val="32"/>
          <w:szCs w:val="32"/>
        </w:rPr>
        <w:t>（一）基本情况</w:t>
      </w:r>
    </w:p>
    <w:p>
      <w:pPr>
        <w:pStyle w:val="4"/>
        <w:spacing w:before="0" w:beforeAutospacing="0" w:after="0" w:afterAutospacing="0" w:line="520" w:lineRule="atLeas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浏阳市达浒镇人民政府为独立核算的行政单位，属一级预算单位。根据编委核定，我镇内设机构</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个：党政综合办公室、基层党建办公室、经济发展办公室、农业农村办公室（扶贫办公室）、自然资源和生态环境办公室、公共安全和应急管理办公室（社会治安综合治理中心）、纪检监察室、财政所及司法所。以乡镇为主的事业单位</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个：</w:t>
      </w:r>
      <w:r>
        <w:rPr>
          <w:rFonts w:hint="eastAsia" w:ascii="Times New Roman" w:hAnsi="Times New Roman" w:eastAsia="仿宋_GB2312"/>
          <w:sz w:val="32"/>
          <w:szCs w:val="32"/>
        </w:rPr>
        <w:t>综合行政执法大队、退役军人服务站、政务服务中心、社会事业服务中心、重点项目建设服务中心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年末单位编制人数</w:t>
      </w:r>
      <w:r>
        <w:rPr>
          <w:rFonts w:ascii="Times New Roman" w:hAnsi="Times New Roman" w:eastAsia="仿宋_GB2312" w:cs="Times New Roman"/>
          <w:sz w:val="32"/>
          <w:szCs w:val="32"/>
        </w:rPr>
        <w:t>93</w:t>
      </w:r>
      <w:r>
        <w:rPr>
          <w:rFonts w:hint="eastAsia" w:ascii="Times New Roman" w:hAnsi="Times New Roman" w:eastAsia="仿宋_GB2312" w:cs="Times New Roman"/>
          <w:sz w:val="32"/>
          <w:szCs w:val="32"/>
        </w:rPr>
        <w:t>人，年末在职人员实有人数</w:t>
      </w:r>
      <w:r>
        <w:rPr>
          <w:rFonts w:ascii="Times New Roman" w:hAnsi="Times New Roman" w:eastAsia="仿宋_GB2312" w:cs="Times New Roman"/>
          <w:sz w:val="32"/>
          <w:szCs w:val="32"/>
        </w:rPr>
        <w:t>93</w:t>
      </w:r>
      <w:r>
        <w:rPr>
          <w:rFonts w:hint="eastAsia" w:ascii="Times New Roman" w:hAnsi="Times New Roman" w:eastAsia="仿宋_GB2312" w:cs="Times New Roman"/>
          <w:sz w:val="32"/>
          <w:szCs w:val="32"/>
        </w:rPr>
        <w:t>人。</w:t>
      </w:r>
    </w:p>
    <w:p>
      <w:pPr>
        <w:pStyle w:val="4"/>
        <w:spacing w:before="0" w:beforeAutospacing="0" w:after="0" w:afterAutospacing="0" w:line="520" w:lineRule="atLeast"/>
        <w:ind w:firstLine="640"/>
        <w:jc w:val="both"/>
        <w:rPr>
          <w:rFonts w:ascii="Times New Roman" w:hAnsi="Times New Roman" w:cs="Times New Roman"/>
          <w:b/>
          <w:color w:val="333333"/>
          <w:sz w:val="21"/>
          <w:szCs w:val="21"/>
        </w:rPr>
      </w:pPr>
      <w:r>
        <w:rPr>
          <w:rFonts w:hint="eastAsia" w:ascii="仿宋" w:hAnsi="仿宋" w:eastAsia="仿宋" w:cs="Times New Roman"/>
          <w:b/>
          <w:color w:val="333333"/>
          <w:sz w:val="32"/>
          <w:szCs w:val="32"/>
        </w:rPr>
        <w:t>（二）</w:t>
      </w:r>
      <w:r>
        <w:rPr>
          <w:rFonts w:ascii="仿宋" w:hAnsi="仿宋" w:eastAsia="仿宋" w:cs="Times New Roman"/>
          <w:b/>
          <w:color w:val="333333"/>
          <w:sz w:val="32"/>
          <w:szCs w:val="32"/>
        </w:rPr>
        <w:t>2021</w:t>
      </w:r>
      <w:r>
        <w:rPr>
          <w:rFonts w:hint="eastAsia" w:ascii="仿宋" w:hAnsi="仿宋" w:eastAsia="仿宋" w:cs="Times New Roman"/>
          <w:b/>
          <w:color w:val="333333"/>
          <w:sz w:val="32"/>
          <w:szCs w:val="32"/>
        </w:rPr>
        <w:t>年本单位财政拨款收入支出情况</w:t>
      </w:r>
    </w:p>
    <w:p>
      <w:pPr>
        <w:pStyle w:val="4"/>
        <w:spacing w:before="0" w:beforeAutospacing="0" w:after="0" w:afterAutospacing="0" w:line="520" w:lineRule="atLeas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年本单位财政拨款收入</w:t>
      </w:r>
      <w:r>
        <w:rPr>
          <w:rFonts w:ascii="Times New Roman" w:hAnsi="Times New Roman" w:eastAsia="仿宋_GB2312" w:cs="Times New Roman"/>
          <w:sz w:val="32"/>
          <w:szCs w:val="32"/>
        </w:rPr>
        <w:t>7424.14</w:t>
      </w:r>
      <w:r>
        <w:rPr>
          <w:rFonts w:hint="eastAsia" w:ascii="Times New Roman" w:hAnsi="Times New Roman" w:eastAsia="仿宋_GB2312" w:cs="Times New Roman"/>
          <w:sz w:val="32"/>
          <w:szCs w:val="32"/>
        </w:rPr>
        <w:t>万元，其中：其中一般公共预算财政拨款收入</w:t>
      </w:r>
      <w:r>
        <w:rPr>
          <w:rFonts w:ascii="Times New Roman" w:hAnsi="Times New Roman" w:eastAsia="仿宋_GB2312" w:cs="Times New Roman"/>
          <w:sz w:val="32"/>
          <w:szCs w:val="32"/>
        </w:rPr>
        <w:t>6202.04</w:t>
      </w:r>
      <w:r>
        <w:rPr>
          <w:rFonts w:hint="eastAsia" w:ascii="Times New Roman" w:hAnsi="Times New Roman" w:eastAsia="仿宋_GB2312" w:cs="Times New Roman"/>
          <w:sz w:val="32"/>
          <w:szCs w:val="32"/>
        </w:rPr>
        <w:t>万元，政府性基金预算财政拨款收入</w:t>
      </w:r>
      <w:r>
        <w:rPr>
          <w:rFonts w:ascii="Times New Roman" w:hAnsi="Times New Roman" w:eastAsia="仿宋_GB2312" w:cs="Times New Roman"/>
          <w:sz w:val="32"/>
          <w:szCs w:val="32"/>
        </w:rPr>
        <w:t>132.74</w:t>
      </w:r>
      <w:r>
        <w:rPr>
          <w:rFonts w:hint="eastAsia" w:ascii="Times New Roman" w:hAnsi="Times New Roman" w:eastAsia="仿宋_GB2312" w:cs="Times New Roman"/>
          <w:sz w:val="32"/>
          <w:szCs w:val="32"/>
        </w:rPr>
        <w:t>万元，其他收入</w:t>
      </w:r>
      <w:r>
        <w:rPr>
          <w:rFonts w:ascii="Times New Roman" w:hAnsi="Times New Roman" w:eastAsia="仿宋_GB2312" w:cs="Times New Roman"/>
          <w:sz w:val="32"/>
          <w:szCs w:val="32"/>
        </w:rPr>
        <w:t>1089.36</w:t>
      </w:r>
      <w:r>
        <w:rPr>
          <w:rFonts w:hint="eastAsia" w:ascii="Times New Roman" w:hAnsi="Times New Roman" w:eastAsia="仿宋_GB2312" w:cs="Times New Roman"/>
          <w:sz w:val="32"/>
          <w:szCs w:val="32"/>
        </w:rPr>
        <w:t>万元。</w:t>
      </w:r>
    </w:p>
    <w:p>
      <w:pPr>
        <w:pStyle w:val="4"/>
        <w:spacing w:before="0" w:beforeAutospacing="0" w:after="0" w:afterAutospacing="0" w:line="520" w:lineRule="atLeas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年本部门支出</w:t>
      </w:r>
      <w:r>
        <w:rPr>
          <w:rFonts w:ascii="Times New Roman" w:hAnsi="Times New Roman" w:eastAsia="仿宋_GB2312" w:cs="Times New Roman"/>
          <w:sz w:val="32"/>
          <w:szCs w:val="32"/>
        </w:rPr>
        <w:t>7424.14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其中基本支出</w:t>
      </w:r>
      <w:r>
        <w:rPr>
          <w:rFonts w:ascii="Times New Roman" w:hAnsi="Times New Roman" w:eastAsia="仿宋_GB2312" w:cs="Times New Roman"/>
          <w:sz w:val="32"/>
          <w:szCs w:val="32"/>
        </w:rPr>
        <w:t>1673.04</w:t>
      </w:r>
      <w:r>
        <w:rPr>
          <w:rFonts w:hint="eastAsia" w:ascii="Times New Roman" w:hAnsi="Times New Roman" w:eastAsia="仿宋_GB2312" w:cs="Times New Roman"/>
          <w:sz w:val="32"/>
          <w:szCs w:val="32"/>
        </w:rPr>
        <w:t>万元（是指为保障单位正常运转、完成日常工作任务而发生的各项支出其中人员经费</w:t>
      </w:r>
      <w:r>
        <w:rPr>
          <w:rFonts w:ascii="Times New Roman" w:hAnsi="Times New Roman" w:eastAsia="仿宋_GB2312" w:cs="Times New Roman"/>
          <w:sz w:val="32"/>
          <w:szCs w:val="32"/>
        </w:rPr>
        <w:t>1555.98</w:t>
      </w:r>
      <w:r>
        <w:rPr>
          <w:rFonts w:hint="eastAsia" w:ascii="Times New Roman" w:hAnsi="Times New Roman" w:eastAsia="仿宋_GB2312" w:cs="Times New Roman"/>
          <w:sz w:val="32"/>
          <w:szCs w:val="32"/>
        </w:rPr>
        <w:t>万元，日常公用经费</w:t>
      </w:r>
      <w:r>
        <w:rPr>
          <w:rFonts w:ascii="Times New Roman" w:hAnsi="Times New Roman" w:eastAsia="仿宋_GB2312" w:cs="Times New Roman"/>
          <w:sz w:val="32"/>
          <w:szCs w:val="32"/>
        </w:rPr>
        <w:t>117.06</w:t>
      </w:r>
      <w:r>
        <w:rPr>
          <w:rFonts w:hint="eastAsia" w:ascii="Times New Roman" w:hAnsi="Times New Roman" w:eastAsia="仿宋_GB2312" w:cs="Times New Roman"/>
          <w:sz w:val="32"/>
          <w:szCs w:val="32"/>
        </w:rPr>
        <w:t>万元）。项目支出</w:t>
      </w:r>
      <w:r>
        <w:rPr>
          <w:rFonts w:ascii="Times New Roman" w:hAnsi="Times New Roman" w:eastAsia="仿宋_GB2312" w:cs="Times New Roman"/>
          <w:sz w:val="32"/>
          <w:szCs w:val="32"/>
        </w:rPr>
        <w:t>5751.1</w:t>
      </w:r>
      <w:r>
        <w:rPr>
          <w:rFonts w:hint="eastAsia" w:ascii="Times New Roman" w:hAnsi="Times New Roman" w:eastAsia="仿宋_GB2312" w:cs="Times New Roman"/>
          <w:sz w:val="32"/>
          <w:szCs w:val="32"/>
        </w:rPr>
        <w:t>万元（是指单位为完成特定行政工作任务或事业发展目标而发生的支出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其中政府性基金项目支出</w:t>
      </w:r>
      <w:r>
        <w:rPr>
          <w:rFonts w:ascii="Times New Roman" w:hAnsi="Times New Roman" w:eastAsia="仿宋_GB2312" w:cs="Times New Roman"/>
          <w:sz w:val="32"/>
          <w:szCs w:val="32"/>
        </w:rPr>
        <w:t>132.74</w:t>
      </w:r>
      <w:r>
        <w:rPr>
          <w:rFonts w:hint="eastAsia" w:ascii="Times New Roman" w:hAnsi="Times New Roman" w:eastAsia="仿宋_GB2312" w:cs="Times New Roman"/>
          <w:sz w:val="32"/>
          <w:szCs w:val="32"/>
        </w:rPr>
        <w:t>万元，农林水项目支出</w:t>
      </w:r>
      <w:r>
        <w:rPr>
          <w:rFonts w:ascii="Times New Roman" w:hAnsi="Times New Roman" w:eastAsia="仿宋_GB2312" w:cs="Times New Roman"/>
          <w:sz w:val="32"/>
          <w:szCs w:val="32"/>
        </w:rPr>
        <w:t>3198.4</w:t>
      </w:r>
      <w:r>
        <w:rPr>
          <w:rFonts w:hint="eastAsia" w:ascii="Times New Roman" w:hAnsi="Times New Roman" w:eastAsia="仿宋_GB2312" w:cs="Times New Roman"/>
          <w:sz w:val="32"/>
          <w:szCs w:val="32"/>
        </w:rPr>
        <w:t>万元）。</w:t>
      </w:r>
    </w:p>
    <w:p>
      <w:pPr>
        <w:pStyle w:val="4"/>
        <w:spacing w:before="0" w:beforeAutospacing="0" w:after="0" w:afterAutospacing="0" w:line="520" w:lineRule="atLeast"/>
        <w:ind w:firstLine="630" w:firstLineChars="196"/>
        <w:jc w:val="both"/>
        <w:rPr>
          <w:rFonts w:cs="Times New Roman"/>
          <w:color w:val="333333"/>
          <w:sz w:val="21"/>
          <w:szCs w:val="21"/>
        </w:rPr>
      </w:pPr>
      <w:r>
        <w:rPr>
          <w:rFonts w:hint="eastAsia" w:cs="Times New Roman"/>
          <w:b/>
          <w:bCs/>
          <w:color w:val="333333"/>
          <w:sz w:val="32"/>
          <w:szCs w:val="32"/>
        </w:rPr>
        <w:t>二、部门整体支出管理及使用情况</w:t>
      </w:r>
    </w:p>
    <w:p>
      <w:pPr>
        <w:pStyle w:val="4"/>
        <w:spacing w:before="0" w:beforeAutospacing="0" w:after="0" w:afterAutospacing="0" w:line="520" w:lineRule="atLeas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、基本支出：</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年度我镇基本支出</w:t>
      </w:r>
      <w:r>
        <w:rPr>
          <w:rFonts w:ascii="Times New Roman" w:hAnsi="Times New Roman" w:eastAsia="仿宋_GB2312" w:cs="Times New Roman"/>
          <w:sz w:val="32"/>
          <w:szCs w:val="32"/>
        </w:rPr>
        <w:t>1673.04</w:t>
      </w:r>
      <w:r>
        <w:rPr>
          <w:rFonts w:hint="eastAsia" w:ascii="Times New Roman" w:hAnsi="Times New Roman" w:eastAsia="仿宋_GB2312" w:cs="Times New Roman"/>
          <w:sz w:val="32"/>
          <w:szCs w:val="32"/>
        </w:rPr>
        <w:t>万元，其中用于人员经费支出</w:t>
      </w:r>
      <w:r>
        <w:rPr>
          <w:rFonts w:ascii="Times New Roman" w:hAnsi="Times New Roman" w:eastAsia="仿宋_GB2312" w:cs="Times New Roman"/>
          <w:sz w:val="32"/>
          <w:szCs w:val="32"/>
        </w:rPr>
        <w:t>1555.98</w:t>
      </w:r>
      <w:r>
        <w:rPr>
          <w:rFonts w:hint="eastAsia" w:ascii="Times New Roman" w:hAnsi="Times New Roman" w:eastAsia="仿宋_GB2312" w:cs="Times New Roman"/>
          <w:sz w:val="32"/>
          <w:szCs w:val="32"/>
        </w:rPr>
        <w:t>万元，日常公用经费支出</w:t>
      </w:r>
      <w:r>
        <w:rPr>
          <w:rFonts w:ascii="Times New Roman" w:hAnsi="Times New Roman" w:eastAsia="仿宋_GB2312" w:cs="Times New Roman"/>
          <w:sz w:val="32"/>
          <w:szCs w:val="32"/>
        </w:rPr>
        <w:t>117.06</w:t>
      </w:r>
      <w:r>
        <w:rPr>
          <w:rFonts w:hint="eastAsia" w:ascii="Times New Roman" w:hAnsi="Times New Roman" w:eastAsia="仿宋_GB2312" w:cs="Times New Roman"/>
          <w:sz w:val="32"/>
          <w:szCs w:val="32"/>
        </w:rPr>
        <w:t>万元。</w:t>
      </w:r>
    </w:p>
    <w:p>
      <w:pPr>
        <w:pStyle w:val="4"/>
        <w:spacing w:before="0" w:beforeAutospacing="0" w:after="0" w:afterAutospacing="0" w:line="520" w:lineRule="atLeas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年三公经费支出</w:t>
      </w:r>
      <w:r>
        <w:rPr>
          <w:rFonts w:ascii="Times New Roman" w:hAnsi="Times New Roman" w:eastAsia="仿宋_GB2312" w:cs="Times New Roman"/>
          <w:sz w:val="32"/>
          <w:szCs w:val="32"/>
        </w:rPr>
        <w:t>12.88</w:t>
      </w:r>
      <w:r>
        <w:rPr>
          <w:rFonts w:hint="eastAsia" w:ascii="Times New Roman" w:hAnsi="Times New Roman" w:eastAsia="仿宋_GB2312" w:cs="Times New Roman"/>
          <w:sz w:val="32"/>
          <w:szCs w:val="32"/>
        </w:rPr>
        <w:t>万元（预算为</w:t>
      </w:r>
      <w:r>
        <w:rPr>
          <w:rFonts w:ascii="Times New Roman" w:hAnsi="Times New Roman" w:eastAsia="仿宋_GB2312" w:cs="Times New Roman"/>
          <w:sz w:val="32"/>
          <w:szCs w:val="32"/>
        </w:rPr>
        <w:t>21.9</w:t>
      </w:r>
      <w:r>
        <w:rPr>
          <w:rFonts w:hint="eastAsia" w:ascii="Times New Roman" w:hAnsi="Times New Roman" w:eastAsia="仿宋_GB2312" w:cs="Times New Roman"/>
          <w:sz w:val="32"/>
          <w:szCs w:val="32"/>
        </w:rPr>
        <w:t>万元），与上年同比减少</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。其中公务接待费完成</w:t>
      </w:r>
      <w:r>
        <w:rPr>
          <w:rFonts w:ascii="Times New Roman" w:hAnsi="Times New Roman" w:eastAsia="仿宋_GB2312" w:cs="Times New Roman"/>
          <w:sz w:val="32"/>
          <w:szCs w:val="32"/>
        </w:rPr>
        <w:t>12.77</w:t>
      </w:r>
      <w:r>
        <w:rPr>
          <w:rFonts w:hint="eastAsia" w:ascii="Times New Roman" w:hAnsi="Times New Roman" w:eastAsia="仿宋_GB2312" w:cs="Times New Roman"/>
          <w:sz w:val="32"/>
          <w:szCs w:val="32"/>
        </w:rPr>
        <w:t>万元（预算为</w:t>
      </w:r>
      <w:r>
        <w:rPr>
          <w:rFonts w:ascii="Times New Roman" w:hAnsi="Times New Roman" w:eastAsia="仿宋_GB2312" w:cs="Times New Roman"/>
          <w:sz w:val="32"/>
          <w:szCs w:val="32"/>
        </w:rPr>
        <w:t>12.90</w:t>
      </w:r>
      <w:r>
        <w:rPr>
          <w:rFonts w:hint="eastAsia" w:ascii="Times New Roman" w:hAnsi="Times New Roman" w:eastAsia="仿宋_GB2312" w:cs="Times New Roman"/>
          <w:sz w:val="32"/>
          <w:szCs w:val="32"/>
        </w:rPr>
        <w:t>万元），与上年同比增加</w:t>
      </w:r>
      <w:r>
        <w:rPr>
          <w:rFonts w:ascii="Times New Roman" w:hAnsi="Times New Roman" w:eastAsia="仿宋_GB2312" w:cs="Times New Roman"/>
          <w:sz w:val="32"/>
          <w:szCs w:val="32"/>
        </w:rPr>
        <w:t>4.5%</w:t>
      </w:r>
      <w:r>
        <w:rPr>
          <w:rFonts w:hint="eastAsia" w:ascii="Times New Roman" w:hAnsi="Times New Roman" w:eastAsia="仿宋_GB2312" w:cs="Times New Roman"/>
          <w:sz w:val="32"/>
          <w:szCs w:val="32"/>
        </w:rPr>
        <w:t>，公务用车运行维护费完成</w:t>
      </w:r>
      <w:r>
        <w:rPr>
          <w:rFonts w:ascii="Times New Roman" w:hAnsi="Times New Roman" w:eastAsia="仿宋_GB2312" w:cs="Times New Roman"/>
          <w:sz w:val="32"/>
          <w:szCs w:val="32"/>
        </w:rPr>
        <w:t>0.11</w:t>
      </w:r>
      <w:r>
        <w:rPr>
          <w:rFonts w:hint="eastAsia" w:ascii="Times New Roman" w:hAnsi="Times New Roman" w:eastAsia="仿宋_GB2312" w:cs="Times New Roman"/>
          <w:sz w:val="32"/>
          <w:szCs w:val="32"/>
        </w:rPr>
        <w:t>万元（预算为</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万元），与上年同比减少</w:t>
      </w:r>
      <w:r>
        <w:rPr>
          <w:rFonts w:ascii="Times New Roman" w:hAnsi="Times New Roman" w:eastAsia="仿宋_GB2312" w:cs="Times New Roman"/>
          <w:sz w:val="32"/>
          <w:szCs w:val="32"/>
        </w:rPr>
        <w:t>88.04%</w:t>
      </w:r>
      <w:r>
        <w:rPr>
          <w:rFonts w:hint="eastAsia" w:ascii="Times New Roman" w:hAnsi="Times New Roman" w:eastAsia="仿宋_GB2312" w:cs="Times New Roman"/>
          <w:sz w:val="32"/>
          <w:szCs w:val="32"/>
        </w:rPr>
        <w:t>。</w:t>
      </w:r>
    </w:p>
    <w:p>
      <w:pPr>
        <w:pStyle w:val="4"/>
        <w:spacing w:before="0" w:beforeAutospacing="0" w:after="0" w:afterAutospacing="0" w:line="520" w:lineRule="atLeas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、项目支出：</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年项目支出</w:t>
      </w:r>
      <w:r>
        <w:rPr>
          <w:rFonts w:ascii="Times New Roman" w:hAnsi="Times New Roman" w:eastAsia="仿宋_GB2312" w:cs="Times New Roman"/>
          <w:sz w:val="32"/>
          <w:szCs w:val="32"/>
        </w:rPr>
        <w:t>5751.1</w:t>
      </w:r>
      <w:r>
        <w:rPr>
          <w:rFonts w:hint="eastAsia" w:ascii="Times New Roman" w:hAnsi="Times New Roman" w:eastAsia="仿宋_GB2312" w:cs="Times New Roman"/>
          <w:sz w:val="32"/>
          <w:szCs w:val="32"/>
        </w:rPr>
        <w:t>万元（其中政府性基金项目支出</w:t>
      </w:r>
      <w:r>
        <w:rPr>
          <w:rFonts w:ascii="Times New Roman" w:hAnsi="Times New Roman" w:eastAsia="仿宋_GB2312" w:cs="Times New Roman"/>
          <w:sz w:val="32"/>
          <w:szCs w:val="32"/>
        </w:rPr>
        <w:t>132.74</w:t>
      </w:r>
      <w:r>
        <w:rPr>
          <w:rFonts w:hint="eastAsia" w:ascii="Times New Roman" w:hAnsi="Times New Roman" w:eastAsia="仿宋_GB2312" w:cs="Times New Roman"/>
          <w:sz w:val="32"/>
          <w:szCs w:val="32"/>
        </w:rPr>
        <w:t>万元，农林水项目支出</w:t>
      </w:r>
      <w:r>
        <w:rPr>
          <w:rFonts w:ascii="Times New Roman" w:hAnsi="Times New Roman" w:eastAsia="仿宋_GB2312" w:cs="Times New Roman"/>
          <w:sz w:val="32"/>
          <w:szCs w:val="32"/>
        </w:rPr>
        <w:t>3198.4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 </w:t>
      </w:r>
    </w:p>
    <w:p>
      <w:pPr>
        <w:pStyle w:val="4"/>
        <w:spacing w:before="0" w:beforeAutospacing="0" w:after="0" w:afterAutospacing="0" w:line="520" w:lineRule="atLeast"/>
        <w:jc w:val="both"/>
        <w:rPr>
          <w:rFonts w:cs="Times New Roman"/>
          <w:b/>
          <w:bCs/>
          <w:color w:val="333333"/>
          <w:sz w:val="32"/>
          <w:szCs w:val="32"/>
        </w:rPr>
      </w:pPr>
      <w:r>
        <w:rPr>
          <w:rFonts w:cs="Times New Roman"/>
          <w:color w:val="333333"/>
          <w:sz w:val="32"/>
          <w:szCs w:val="32"/>
        </w:rPr>
        <w:t>  </w:t>
      </w:r>
      <w:r>
        <w:rPr>
          <w:rFonts w:hint="eastAsia" w:cs="Times New Roman"/>
          <w:b/>
          <w:bCs/>
          <w:color w:val="333333"/>
          <w:sz w:val="32"/>
          <w:szCs w:val="32"/>
        </w:rPr>
        <w:t>三、部门项目组织实施情况</w:t>
      </w:r>
    </w:p>
    <w:p>
      <w:pPr>
        <w:pStyle w:val="4"/>
        <w:spacing w:before="0" w:beforeAutospacing="0" w:after="0" w:afterAutospacing="0" w:line="520" w:lineRule="atLeas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（一）项目组织情况分析，主要包括项目招投标、调整、竣工验收等情况。</w:t>
      </w:r>
    </w:p>
    <w:p>
      <w:pPr>
        <w:pStyle w:val="4"/>
        <w:spacing w:before="0" w:beforeAutospacing="0" w:after="0" w:afterAutospacing="0" w:line="520" w:lineRule="atLeas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项目招投标、调整及竣工验收等严格按照《达浒镇公共投资项目管理试行办法》及相关招投标法律法规执行。招标方式：</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万元以下的工程项目各部门可通过自行询价后确定施工单位；</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万元（不含</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万）工程项目由各部门通过自行询价、竞争性谈判等方式进行招；</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万元（不含</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万元）工程项目各部门所请招标代理公司依法依规进行招标；</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-400</w:t>
      </w:r>
      <w:r>
        <w:rPr>
          <w:rFonts w:hint="eastAsia" w:ascii="Times New Roman" w:hAnsi="Times New Roman" w:eastAsia="仿宋_GB2312" w:cs="Times New Roman"/>
          <w:sz w:val="32"/>
          <w:szCs w:val="32"/>
        </w:rPr>
        <w:t>万元（不含</w:t>
      </w:r>
      <w:r>
        <w:rPr>
          <w:rFonts w:ascii="Times New Roman" w:hAnsi="Times New Roman" w:eastAsia="仿宋_GB2312" w:cs="Times New Roman"/>
          <w:sz w:val="32"/>
          <w:szCs w:val="32"/>
        </w:rPr>
        <w:t>400</w:t>
      </w:r>
      <w:r>
        <w:rPr>
          <w:rFonts w:hint="eastAsia" w:ascii="Times New Roman" w:hAnsi="Times New Roman" w:eastAsia="仿宋_GB2312" w:cs="Times New Roman"/>
          <w:sz w:val="32"/>
          <w:szCs w:val="32"/>
        </w:rPr>
        <w:t>万元）项目按程序由招标代理公司在浏阳市公共资源交易中心公开招标；</w:t>
      </w:r>
      <w:r>
        <w:rPr>
          <w:rFonts w:ascii="Times New Roman" w:hAnsi="Times New Roman" w:eastAsia="仿宋_GB2312" w:cs="Times New Roman"/>
          <w:sz w:val="32"/>
          <w:szCs w:val="32"/>
        </w:rPr>
        <w:t>400</w:t>
      </w:r>
      <w:r>
        <w:rPr>
          <w:rFonts w:hint="eastAsia" w:ascii="Times New Roman" w:hAnsi="Times New Roman" w:eastAsia="仿宋_GB2312" w:cs="Times New Roman"/>
          <w:sz w:val="32"/>
          <w:szCs w:val="32"/>
        </w:rPr>
        <w:t>万元以上工程项目在长沙市公共资源交易中心公开招标。工程项目施工过程需拍摄事前、事中、事后的图片。工程项目如因实地情况需出现变更（超过总工程额的</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或超过</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万元），需按照工程项目申报流程报各领导和相关部门审批后方可实施。工程项目（主要针对</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万元的工程）完工后，由重点项目服务中心组织牵头，镇纪委、镇财政所（三方共</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人及以上）参与、监督和监管验收过程，验收表由建设单位、施工单位及监理单位（如有监理单位）等相关验收人员共同签字盖章。验收表不等同于结算表，建设单位（各部门）需根据验收工程量督促施工单位按规定做好工程项目结算表。公开招投标项目按照上级相关验收程序组织竣工验收和结算审计。</w:t>
      </w:r>
    </w:p>
    <w:p>
      <w:pPr>
        <w:pStyle w:val="4"/>
        <w:spacing w:before="0" w:beforeAutospacing="0" w:after="0" w:afterAutospacing="0" w:line="520" w:lineRule="atLeas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（二）项目管理情况分析，主要包括项目管理制度建设、日常检查监督管理等情况。</w:t>
      </w:r>
    </w:p>
    <w:p>
      <w:pPr>
        <w:pStyle w:val="4"/>
        <w:spacing w:before="0" w:beforeAutospacing="0" w:after="0" w:afterAutospacing="0" w:line="520" w:lineRule="atLeas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镇项目管理、日常检查监督管理严格按照《达浒镇公共投资项目管理试行办法》《达浒镇财经管理制度》、《达浒镇采购管理制度》《扶贫资金管理办法》执行。严格预算执行，对项目资金制定了专项资金管理办法，规范了资金的审批和支付程序，每一笔收支都做到有依据、有凭证、有程序、有责任。对项目资金使用都能保证及时安排到位，确保项目有序开展。同时，认真开展专项资金绩效管理工作，对专项资金实时监控，及时发现问题，提出整改意见，确保专项资金依法管理和使用。</w:t>
      </w:r>
    </w:p>
    <w:p>
      <w:pPr>
        <w:pStyle w:val="4"/>
        <w:spacing w:before="0" w:beforeAutospacing="0" w:after="0" w:afterAutospacing="0" w:line="520" w:lineRule="atLeast"/>
        <w:ind w:firstLine="957" w:firstLineChars="298"/>
        <w:jc w:val="both"/>
        <w:rPr>
          <w:rFonts w:cs="Times New Roman"/>
          <w:color w:val="333333"/>
          <w:sz w:val="21"/>
          <w:szCs w:val="21"/>
        </w:rPr>
      </w:pPr>
      <w:r>
        <w:rPr>
          <w:rFonts w:hint="eastAsia" w:cs="Times New Roman"/>
          <w:b/>
          <w:bCs/>
          <w:color w:val="333333"/>
          <w:sz w:val="32"/>
          <w:szCs w:val="32"/>
        </w:rPr>
        <w:t>四、资产管理情况</w:t>
      </w:r>
    </w:p>
    <w:p>
      <w:pPr>
        <w:pStyle w:val="4"/>
        <w:spacing w:before="0" w:beforeAutospacing="0" w:after="0" w:afterAutospacing="0" w:line="520" w:lineRule="atLeas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我镇</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年固定资产期末账面数原值</w:t>
      </w:r>
      <w:r>
        <w:rPr>
          <w:rFonts w:ascii="Times New Roman" w:hAnsi="Times New Roman" w:eastAsia="仿宋_GB2312" w:cs="Times New Roman"/>
          <w:sz w:val="32"/>
          <w:szCs w:val="32"/>
        </w:rPr>
        <w:t>667.19</w:t>
      </w:r>
      <w:r>
        <w:rPr>
          <w:rFonts w:hint="eastAsia" w:ascii="Times New Roman" w:hAnsi="Times New Roman" w:eastAsia="仿宋_GB2312" w:cs="Times New Roman"/>
          <w:sz w:val="32"/>
          <w:szCs w:val="32"/>
        </w:rPr>
        <w:t>万元，累计折旧</w:t>
      </w:r>
      <w:r>
        <w:rPr>
          <w:rFonts w:ascii="Times New Roman" w:hAnsi="Times New Roman" w:eastAsia="仿宋_GB2312" w:cs="Times New Roman"/>
          <w:sz w:val="32"/>
          <w:szCs w:val="32"/>
        </w:rPr>
        <w:t>268.26</w:t>
      </w:r>
      <w:r>
        <w:rPr>
          <w:rFonts w:hint="eastAsia" w:ascii="Times New Roman" w:hAnsi="Times New Roman" w:eastAsia="仿宋_GB2312" w:cs="Times New Roman"/>
          <w:sz w:val="32"/>
          <w:szCs w:val="32"/>
        </w:rPr>
        <w:t>万元，净值</w:t>
      </w:r>
      <w:r>
        <w:rPr>
          <w:rFonts w:ascii="Times New Roman" w:hAnsi="Times New Roman" w:eastAsia="仿宋_GB2312" w:cs="Times New Roman"/>
          <w:sz w:val="32"/>
          <w:szCs w:val="32"/>
        </w:rPr>
        <w:t>398.93</w:t>
      </w:r>
      <w:r>
        <w:rPr>
          <w:rFonts w:hint="eastAsia" w:ascii="Times New Roman" w:hAnsi="Times New Roman" w:eastAsia="仿宋_GB2312" w:cs="Times New Roman"/>
          <w:sz w:val="32"/>
          <w:szCs w:val="32"/>
        </w:rPr>
        <w:t>万元。与资产管理</w:t>
      </w:r>
      <w:r>
        <w:rPr>
          <w:rFonts w:hint="eastAsia" w:ascii="仿宋_GB2312" w:hAnsi="仿宋_GB2312" w:eastAsia="仿宋_GB2312" w:cs="仿宋_GB2312"/>
          <w:sz w:val="32"/>
          <w:szCs w:val="32"/>
        </w:rPr>
        <w:t>信息系统中余额一致、账面数与实有数一致。</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我镇进一步规范和完善了资产管理。建立健全资产管理制度，合理配备并节约、有效使用资产，提高资产使用效率，保障资产的安全和完整。管理和使用应坚持统一政策、统一领导、分级管理、责任到人、物尽其用的原则。成立了由镇长负总责的“资产管理领导小组”，具体负责本单位资产的采购、分配、清查，以及资产使用、维护过程中的监督任务。党政办确定专人负责资产的日常管理工作，包括资产的登记统计、维护、保管等，并对所管资产的安全完整负有责任。资产管理人员应相对稳定，工作调动时必须办理交接手续。</w:t>
      </w:r>
    </w:p>
    <w:p>
      <w:pPr>
        <w:pStyle w:val="4"/>
        <w:spacing w:before="0" w:beforeAutospacing="0" w:after="0" w:afterAutospacing="0" w:line="520" w:lineRule="atLeast"/>
        <w:jc w:val="both"/>
        <w:rPr>
          <w:rFonts w:cs="Times New Roman"/>
          <w:color w:val="333333"/>
          <w:sz w:val="21"/>
          <w:szCs w:val="21"/>
        </w:rPr>
      </w:pPr>
      <w:r>
        <w:rPr>
          <w:rFonts w:cs="Times New Roman"/>
          <w:color w:val="333333"/>
          <w:sz w:val="32"/>
          <w:szCs w:val="32"/>
        </w:rPr>
        <w:t> </w:t>
      </w:r>
      <w:r>
        <w:rPr>
          <w:rFonts w:cs="Times New Roman"/>
          <w:b/>
          <w:bCs/>
          <w:color w:val="333333"/>
          <w:sz w:val="32"/>
          <w:szCs w:val="32"/>
        </w:rPr>
        <w:t> </w:t>
      </w:r>
      <w:r>
        <w:rPr>
          <w:rFonts w:hint="eastAsia" w:cs="Times New Roman"/>
          <w:b/>
          <w:bCs/>
          <w:color w:val="333333"/>
          <w:sz w:val="32"/>
          <w:szCs w:val="32"/>
        </w:rPr>
        <w:t>五、部门整体支出绩效情况</w:t>
      </w:r>
    </w:p>
    <w:p>
      <w:pPr>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2021</w:t>
      </w:r>
      <w:r>
        <w:rPr>
          <w:rFonts w:hint="eastAsia" w:ascii="Times New Roman" w:hAnsi="Times New Roman" w:eastAsia="仿宋_GB2312"/>
          <w:kern w:val="0"/>
          <w:sz w:val="32"/>
          <w:szCs w:val="32"/>
        </w:rPr>
        <w:t>年，在市委、市政府和镇党委的正确领导下，我镇切实提高政治站位，始终保持战略定力，围绕既定目标持续发力，高质高量完成了全年各项工作。同时通过加强预算收支管理，不断建立健全内部管理制度，梳理内部管理流程，部门整体支出管理情况得到提升。部门整体支出绩效情况如下：</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（一）单位总支出情况绩效分析。</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年本单位共支出资金</w:t>
      </w:r>
      <w:r>
        <w:rPr>
          <w:rFonts w:ascii="Times New Roman" w:hAnsi="Times New Roman" w:eastAsia="仿宋_GB2312"/>
          <w:sz w:val="32"/>
          <w:szCs w:val="32"/>
        </w:rPr>
        <w:t>7424.14</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其中基本支出</w:t>
      </w:r>
      <w:r>
        <w:rPr>
          <w:rFonts w:ascii="Times New Roman" w:hAnsi="Times New Roman" w:eastAsia="仿宋_GB2312"/>
          <w:sz w:val="32"/>
          <w:szCs w:val="32"/>
        </w:rPr>
        <w:t>1673.04</w:t>
      </w:r>
      <w:r>
        <w:rPr>
          <w:rFonts w:hint="eastAsia" w:ascii="Times New Roman" w:hAnsi="Times New Roman" w:eastAsia="仿宋_GB2312"/>
          <w:sz w:val="32"/>
          <w:szCs w:val="32"/>
        </w:rPr>
        <w:t>万元，项目支出</w:t>
      </w:r>
      <w:r>
        <w:rPr>
          <w:rFonts w:ascii="Times New Roman" w:hAnsi="Times New Roman" w:eastAsia="仿宋_GB2312"/>
          <w:sz w:val="32"/>
          <w:szCs w:val="32"/>
        </w:rPr>
        <w:t>5751.1</w:t>
      </w:r>
      <w:r>
        <w:rPr>
          <w:rFonts w:hint="eastAsia" w:ascii="Times New Roman" w:hAnsi="Times New Roman" w:eastAsia="仿宋_GB2312"/>
          <w:sz w:val="32"/>
          <w:szCs w:val="32"/>
        </w:rPr>
        <w:t>万元，</w:t>
      </w:r>
      <w:r>
        <w:rPr>
          <w:rFonts w:hint="eastAsia" w:ascii="仿宋_GB2312" w:hAnsi="仿宋_GB2312" w:eastAsia="仿宋_GB2312" w:cs="仿宋_GB2312"/>
          <w:sz w:val="32"/>
          <w:szCs w:val="32"/>
        </w:rPr>
        <w:t>达浒镇预算控制良好，所有支出均在预算范围内合理使用。预算执行时厉行节约，全面落实各项管理制度要求，努力降低行政成本。严格公务接待费、差旅费、会议费和培训费审核审批程序，加强对公务用车的管理，“三公”经费较好地控制在预算范围之内。</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单位项目资金绩效评价。按年初确定的工作思路和目标，大力推进工作的开展，各项工作任务均按质按量按时完成，较好的履行了部门职能。一是保障了人员工资、津补贴的及时发放；二是保障了单位的正常运转；三是保障了各项目的有序开展。</w:t>
      </w:r>
    </w:p>
    <w:p>
      <w:pPr>
        <w:autoSpaceDE w:val="0"/>
        <w:spacing w:line="560" w:lineRule="exact"/>
        <w:ind w:firstLine="640" w:firstLineChars="200"/>
        <w:rPr>
          <w:rFonts w:ascii="楷体_GB2312" w:eastAsia="楷体_GB2312"/>
          <w:b/>
          <w:bCs/>
          <w:color w:val="000000"/>
          <w:sz w:val="32"/>
          <w:szCs w:val="32"/>
        </w:rPr>
      </w:pPr>
      <w:r>
        <w:rPr>
          <w:rFonts w:hint="eastAsia" w:ascii="仿宋_GB2312" w:hAnsi="仿宋_GB2312" w:eastAsia="仿宋_GB2312" w:cs="仿宋_GB2312"/>
          <w:sz w:val="32"/>
          <w:szCs w:val="32"/>
        </w:rPr>
        <w:t>（三）有效性评价。创新出台“产业项目建设年”十条举措。椒花水库</w:t>
      </w:r>
      <w:r>
        <w:rPr>
          <w:rFonts w:hint="eastAsia" w:ascii="仿宋_GB2312" w:eastAsia="仿宋_GB2312"/>
          <w:bCs/>
          <w:color w:val="000000"/>
          <w:sz w:val="32"/>
          <w:szCs w:val="32"/>
        </w:rPr>
        <w:t>移民集中安置区建设、集镇污水管网、达金公路建设</w:t>
      </w:r>
      <w:r>
        <w:rPr>
          <w:rFonts w:hint="eastAsia" w:ascii="仿宋_GB2312" w:hAnsi="宋体" w:eastAsia="仿宋_GB2312"/>
          <w:color w:val="000000"/>
          <w:sz w:val="32"/>
          <w:szCs w:val="32"/>
        </w:rPr>
        <w:t>等民生重点项目高质量如期竣工并投入使用。</w:t>
      </w:r>
    </w:p>
    <w:p>
      <w:pPr>
        <w:autoSpaceDE w:val="0"/>
        <w:spacing w:line="560" w:lineRule="exact"/>
        <w:ind w:firstLine="640" w:firstLineChars="200"/>
        <w:rPr>
          <w:rFonts w:ascii="Times New Roman" w:hAnsi="Times New Roman" w:eastAsia="仿宋_GB2312"/>
          <w:sz w:val="32"/>
          <w:szCs w:val="32"/>
        </w:rPr>
      </w:pPr>
      <w:r>
        <w:rPr>
          <w:rFonts w:hint="eastAsia" w:ascii="仿宋_GB2312" w:hAnsi="宋体" w:eastAsia="仿宋_GB2312"/>
          <w:color w:val="000000"/>
          <w:sz w:val="32"/>
          <w:szCs w:val="32"/>
        </w:rPr>
        <w:t>（四）可持续性评价。达浒镇通过加强全面预算管理，严格按照国家财经法规和本单位财务管理制度规定以及有关专项资金管理办法的规定使用资金，保证了基本开支和项目资金使用的合法合规、安全有效。通过开展部门整体支出绩效评价，促进我镇从整体上提升预算绩效管理工作水平，强化部门支出责任，规范资金管理行为，提高财政资金使用效益，保障我镇更好地履行职责，较好地保证了我镇可持续发展。</w:t>
      </w:r>
    </w:p>
    <w:p>
      <w:pPr>
        <w:pStyle w:val="4"/>
        <w:spacing w:before="0" w:beforeAutospacing="0" w:after="0" w:afterAutospacing="0" w:line="520" w:lineRule="atLeast"/>
        <w:ind w:firstLine="640"/>
        <w:jc w:val="both"/>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根据部门整体支出绩效评价指标体系，我镇</w:t>
      </w:r>
      <w:r>
        <w:rPr>
          <w:rFonts w:ascii="仿宋_GB2312" w:eastAsia="仿宋_GB2312" w:cs="Times New Roman"/>
          <w:color w:val="000000"/>
          <w:kern w:val="2"/>
          <w:sz w:val="32"/>
          <w:szCs w:val="32"/>
        </w:rPr>
        <w:t>2021</w:t>
      </w:r>
      <w:r>
        <w:rPr>
          <w:rFonts w:hint="eastAsia" w:ascii="仿宋_GB2312" w:eastAsia="仿宋_GB2312" w:cs="Times New Roman"/>
          <w:color w:val="000000"/>
          <w:kern w:val="2"/>
          <w:sz w:val="32"/>
          <w:szCs w:val="32"/>
        </w:rPr>
        <w:t>年度部门整体支出绩效自评</w:t>
      </w:r>
      <w:r>
        <w:rPr>
          <w:rFonts w:ascii="仿宋_GB2312" w:eastAsia="仿宋_GB2312" w:cs="Times New Roman"/>
          <w:color w:val="000000"/>
          <w:kern w:val="2"/>
          <w:sz w:val="32"/>
          <w:szCs w:val="32"/>
        </w:rPr>
        <w:t>94</w:t>
      </w:r>
      <w:r>
        <w:rPr>
          <w:rFonts w:hint="eastAsia" w:ascii="仿宋_GB2312" w:eastAsia="仿宋_GB2312" w:cs="Times New Roman"/>
          <w:color w:val="000000"/>
          <w:kern w:val="2"/>
          <w:sz w:val="32"/>
          <w:szCs w:val="32"/>
        </w:rPr>
        <w:t>分。部门整体支出绩效情况详见附表。</w:t>
      </w:r>
    </w:p>
    <w:p>
      <w:pPr>
        <w:pStyle w:val="4"/>
        <w:spacing w:before="0" w:beforeAutospacing="0" w:after="0" w:afterAutospacing="0" w:line="520" w:lineRule="atLeast"/>
        <w:jc w:val="both"/>
        <w:rPr>
          <w:rFonts w:cs="Times New Roman"/>
          <w:color w:val="333333"/>
          <w:sz w:val="21"/>
          <w:szCs w:val="21"/>
        </w:rPr>
      </w:pPr>
      <w:r>
        <w:rPr>
          <w:rFonts w:cs="Times New Roman"/>
          <w:color w:val="333333"/>
          <w:sz w:val="32"/>
          <w:szCs w:val="32"/>
        </w:rPr>
        <w:t> </w:t>
      </w:r>
      <w:r>
        <w:rPr>
          <w:rFonts w:cs="Times New Roman"/>
          <w:b/>
          <w:bCs/>
          <w:color w:val="333333"/>
          <w:sz w:val="32"/>
          <w:szCs w:val="32"/>
        </w:rPr>
        <w:t> </w:t>
      </w:r>
      <w:r>
        <w:rPr>
          <w:rFonts w:hint="eastAsia" w:cs="Times New Roman"/>
          <w:b/>
          <w:bCs/>
          <w:color w:val="333333"/>
          <w:sz w:val="32"/>
          <w:szCs w:val="32"/>
        </w:rPr>
        <w:t>六、存在的问题及原因</w:t>
      </w:r>
    </w:p>
    <w:p>
      <w:pPr>
        <w:pStyle w:val="4"/>
        <w:spacing w:before="0" w:beforeAutospacing="0" w:after="0" w:afterAutospacing="0" w:line="520" w:lineRule="atLeast"/>
        <w:ind w:firstLine="640"/>
        <w:jc w:val="both"/>
        <w:rPr>
          <w:rFonts w:ascii="仿宋_GB2312" w:eastAsia="仿宋_GB2312" w:cs="Times New Roman"/>
          <w:color w:val="000000"/>
          <w:kern w:val="2"/>
          <w:sz w:val="32"/>
          <w:szCs w:val="32"/>
        </w:rPr>
      </w:pPr>
      <w:r>
        <w:rPr>
          <w:rFonts w:ascii="仿宋_GB2312" w:eastAsia="仿宋_GB2312" w:cs="Times New Roman"/>
          <w:color w:val="000000"/>
          <w:kern w:val="2"/>
          <w:sz w:val="32"/>
          <w:szCs w:val="32"/>
        </w:rPr>
        <w:t>1.</w:t>
      </w:r>
      <w:r>
        <w:rPr>
          <w:rFonts w:hint="eastAsia" w:ascii="仿宋_GB2312" w:eastAsia="仿宋_GB2312" w:cs="Times New Roman"/>
          <w:color w:val="000000"/>
          <w:kern w:val="2"/>
          <w:sz w:val="32"/>
          <w:szCs w:val="32"/>
        </w:rPr>
        <w:t>内控制度需进一步完善，随着资金管理改革的进一步推进，我单位内部机构进行了相应的优化，建立健全了财务管理制度、固定资产管理制度、费用报销规程等制度，但仍需进一步强化财务约束监督体制。</w:t>
      </w:r>
    </w:p>
    <w:p>
      <w:pPr>
        <w:pStyle w:val="4"/>
        <w:spacing w:before="0" w:beforeAutospacing="0" w:after="0" w:afterAutospacing="0" w:line="520" w:lineRule="atLeast"/>
        <w:ind w:firstLine="640"/>
        <w:jc w:val="both"/>
        <w:rPr>
          <w:rFonts w:ascii="仿宋_GB2312" w:eastAsia="仿宋_GB2312" w:cs="Times New Roman"/>
          <w:color w:val="000000"/>
          <w:kern w:val="2"/>
          <w:sz w:val="32"/>
          <w:szCs w:val="32"/>
        </w:rPr>
      </w:pPr>
      <w:r>
        <w:rPr>
          <w:rFonts w:ascii="仿宋_GB2312" w:eastAsia="仿宋_GB2312" w:cs="Times New Roman"/>
          <w:color w:val="000000"/>
          <w:kern w:val="2"/>
          <w:sz w:val="32"/>
          <w:szCs w:val="32"/>
        </w:rPr>
        <w:t>2.</w:t>
      </w:r>
      <w:r>
        <w:rPr>
          <w:rFonts w:hint="eastAsia" w:ascii="仿宋_GB2312" w:eastAsia="仿宋_GB2312" w:cs="Times New Roman"/>
          <w:color w:val="000000"/>
          <w:kern w:val="2"/>
          <w:sz w:val="32"/>
          <w:szCs w:val="32"/>
        </w:rPr>
        <w:t>预决算项目支出编制需进一步明确、精细化。同时项目执行率需进一步提高。</w:t>
      </w:r>
    </w:p>
    <w:p>
      <w:pPr>
        <w:pStyle w:val="4"/>
        <w:spacing w:before="0" w:beforeAutospacing="0" w:after="0" w:afterAutospacing="0" w:line="520" w:lineRule="atLeast"/>
        <w:ind w:firstLine="640"/>
        <w:jc w:val="both"/>
        <w:rPr>
          <w:rFonts w:ascii="仿宋_GB2312" w:eastAsia="仿宋_GB2312" w:cs="Times New Roman"/>
          <w:color w:val="000000"/>
          <w:kern w:val="2"/>
          <w:sz w:val="32"/>
          <w:szCs w:val="32"/>
        </w:rPr>
      </w:pPr>
      <w:r>
        <w:rPr>
          <w:rFonts w:ascii="仿宋_GB2312" w:eastAsia="仿宋_GB2312" w:cs="Times New Roman"/>
          <w:color w:val="000000"/>
          <w:kern w:val="2"/>
          <w:sz w:val="32"/>
          <w:szCs w:val="32"/>
        </w:rPr>
        <w:t>3.</w:t>
      </w:r>
      <w:r>
        <w:rPr>
          <w:rFonts w:hint="eastAsia" w:ascii="仿宋_GB2312" w:eastAsia="仿宋_GB2312" w:cs="Times New Roman"/>
          <w:color w:val="000000"/>
          <w:kern w:val="2"/>
          <w:sz w:val="32"/>
          <w:szCs w:val="32"/>
        </w:rPr>
        <w:t>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w:t>
      </w:r>
    </w:p>
    <w:p>
      <w:pPr>
        <w:pStyle w:val="4"/>
        <w:spacing w:before="0" w:beforeAutospacing="0" w:after="0" w:afterAutospacing="0" w:line="520" w:lineRule="atLeast"/>
        <w:ind w:firstLine="480"/>
        <w:jc w:val="both"/>
        <w:rPr>
          <w:rFonts w:cs="Times New Roman"/>
          <w:color w:val="333333"/>
          <w:sz w:val="21"/>
          <w:szCs w:val="21"/>
        </w:rPr>
      </w:pPr>
      <w:r>
        <w:rPr>
          <w:rFonts w:hint="eastAsia" w:cs="Times New Roman"/>
          <w:b/>
          <w:bCs/>
          <w:color w:val="333333"/>
          <w:sz w:val="32"/>
          <w:szCs w:val="32"/>
        </w:rPr>
        <w:t>七、意见及建议</w:t>
      </w:r>
    </w:p>
    <w:p>
      <w:pPr>
        <w:pStyle w:val="4"/>
        <w:spacing w:before="0" w:beforeAutospacing="0" w:after="0" w:afterAutospacing="0" w:line="520" w:lineRule="atLeas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进一步完善内部管理制度，提升管理效能，更好地履行生态文明建设职能。</w:t>
      </w:r>
    </w:p>
    <w:p>
      <w:pPr>
        <w:pStyle w:val="4"/>
        <w:spacing w:before="0" w:beforeAutospacing="0" w:after="0" w:afterAutospacing="0" w:line="520" w:lineRule="atLeas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进一步加强项目资金管理。严格实行项目管理程序化，实现项目申报、实施、拨付、评价全流程监督与控制，规范专项资金管理，提高专项资金的使用效益。</w:t>
      </w:r>
    </w:p>
    <w:p>
      <w:pPr>
        <w:pStyle w:val="4"/>
        <w:spacing w:before="0" w:beforeAutospacing="0" w:after="0" w:afterAutospacing="0" w:line="520" w:lineRule="atLeas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3.</w:t>
      </w:r>
      <w:r>
        <w:rPr>
          <w:rFonts w:hint="eastAsia" w:ascii="Times New Roman" w:hAnsi="Times New Roman" w:eastAsia="仿宋_GB2312" w:cs="Times New Roman"/>
          <w:sz w:val="32"/>
          <w:szCs w:val="32"/>
        </w:rPr>
        <w:t>科学合理编制预算，严格执行预算。进一步提高预算编制到位率，做准做全基本支出预算，做全项目支出预算，加强预算支出的审核、跟踪及预算执行情况分析，提高预算编制严谨性和可控性。　</w:t>
      </w:r>
    </w:p>
    <w:p>
      <w:pPr>
        <w:spacing w:line="560" w:lineRule="exact"/>
        <w:rPr>
          <w:rFonts w:ascii="仿宋" w:hAnsi="仿宋" w:eastAsia="仿宋"/>
          <w:b/>
          <w:kern w:val="0"/>
          <w:sz w:val="30"/>
          <w:szCs w:val="30"/>
        </w:rPr>
      </w:pPr>
    </w:p>
    <w:p>
      <w:pPr>
        <w:spacing w:line="560" w:lineRule="exact"/>
        <w:jc w:val="center"/>
        <w:rPr>
          <w:rFonts w:ascii="宋体"/>
          <w:b/>
          <w:kern w:val="0"/>
          <w:sz w:val="44"/>
          <w:szCs w:val="44"/>
        </w:rPr>
      </w:pPr>
      <w:r>
        <w:rPr>
          <w:rFonts w:ascii="宋体"/>
          <w:b/>
          <w:kern w:val="0"/>
          <w:sz w:val="44"/>
          <w:szCs w:val="44"/>
        </w:rPr>
        <w:br w:type="page"/>
      </w:r>
      <w:r>
        <w:rPr>
          <w:rFonts w:hint="eastAsia" w:ascii="宋体" w:hAnsi="宋体"/>
          <w:b/>
          <w:kern w:val="0"/>
          <w:sz w:val="44"/>
          <w:szCs w:val="44"/>
        </w:rPr>
        <w:t>浏阳市达浒镇人民政府</w:t>
      </w:r>
      <w:r>
        <w:rPr>
          <w:rFonts w:ascii="宋体" w:hAnsi="宋体"/>
          <w:b/>
          <w:kern w:val="0"/>
          <w:sz w:val="44"/>
          <w:szCs w:val="44"/>
        </w:rPr>
        <w:t>2021</w:t>
      </w:r>
      <w:r>
        <w:rPr>
          <w:rFonts w:hint="eastAsia" w:ascii="宋体" w:hAnsi="宋体"/>
          <w:b/>
          <w:kern w:val="0"/>
          <w:sz w:val="44"/>
          <w:szCs w:val="44"/>
        </w:rPr>
        <w:t>年单位整体支出绩效评价指标表</w:t>
      </w:r>
    </w:p>
    <w:p>
      <w:pPr>
        <w:spacing w:line="240" w:lineRule="exact"/>
        <w:jc w:val="center"/>
        <w:rPr>
          <w:rFonts w:ascii="仿宋" w:hAnsi="仿宋" w:eastAsia="仿宋"/>
          <w:kern w:val="0"/>
          <w:sz w:val="40"/>
          <w:szCs w:val="40"/>
        </w:rPr>
      </w:pPr>
    </w:p>
    <w:tbl>
      <w:tblPr>
        <w:tblStyle w:val="5"/>
        <w:tblW w:w="90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21"/>
        <w:gridCol w:w="400"/>
        <w:gridCol w:w="478"/>
        <w:gridCol w:w="396"/>
        <w:gridCol w:w="992"/>
        <w:gridCol w:w="284"/>
        <w:gridCol w:w="2126"/>
        <w:gridCol w:w="3364"/>
        <w:gridCol w:w="4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blHeader/>
          <w:jc w:val="center"/>
        </w:trPr>
        <w:tc>
          <w:tcPr>
            <w:tcW w:w="521" w:type="dxa"/>
            <w:tcBorders>
              <w:top w:val="single" w:color="auto" w:sz="12" w:space="0"/>
            </w:tcBorders>
            <w:vAlign w:val="center"/>
          </w:tcPr>
          <w:p>
            <w:pPr>
              <w:spacing w:line="340" w:lineRule="exact"/>
              <w:jc w:val="left"/>
              <w:rPr>
                <w:rFonts w:ascii="仿宋" w:hAnsi="仿宋" w:eastAsia="仿宋"/>
                <w:kern w:val="0"/>
                <w:szCs w:val="21"/>
              </w:rPr>
            </w:pPr>
            <w:r>
              <w:rPr>
                <w:rFonts w:hint="eastAsia" w:ascii="仿宋" w:hAnsi="仿宋" w:eastAsia="仿宋"/>
                <w:kern w:val="0"/>
                <w:szCs w:val="21"/>
              </w:rPr>
              <w:t>一级指标</w:t>
            </w:r>
          </w:p>
        </w:tc>
        <w:tc>
          <w:tcPr>
            <w:tcW w:w="400"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分值</w:t>
            </w:r>
          </w:p>
        </w:tc>
        <w:tc>
          <w:tcPr>
            <w:tcW w:w="478"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二级</w:t>
            </w:r>
          </w:p>
          <w:p>
            <w:pPr>
              <w:spacing w:line="340" w:lineRule="exact"/>
              <w:jc w:val="center"/>
              <w:rPr>
                <w:rFonts w:ascii="仿宋" w:hAnsi="仿宋" w:eastAsia="仿宋"/>
                <w:kern w:val="0"/>
                <w:szCs w:val="21"/>
              </w:rPr>
            </w:pPr>
            <w:r>
              <w:rPr>
                <w:rFonts w:hint="eastAsia" w:ascii="仿宋" w:hAnsi="仿宋" w:eastAsia="仿宋"/>
                <w:kern w:val="0"/>
                <w:szCs w:val="21"/>
              </w:rPr>
              <w:t>指标</w:t>
            </w:r>
          </w:p>
        </w:tc>
        <w:tc>
          <w:tcPr>
            <w:tcW w:w="396"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分值</w:t>
            </w:r>
          </w:p>
        </w:tc>
        <w:tc>
          <w:tcPr>
            <w:tcW w:w="992"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三级</w:t>
            </w:r>
          </w:p>
          <w:p>
            <w:pPr>
              <w:spacing w:line="340" w:lineRule="exact"/>
              <w:jc w:val="center"/>
              <w:rPr>
                <w:rFonts w:ascii="仿宋" w:hAnsi="仿宋" w:eastAsia="仿宋"/>
                <w:kern w:val="0"/>
                <w:szCs w:val="21"/>
              </w:rPr>
            </w:pPr>
            <w:r>
              <w:rPr>
                <w:rFonts w:hint="eastAsia" w:ascii="仿宋" w:hAnsi="仿宋" w:eastAsia="仿宋"/>
                <w:kern w:val="0"/>
                <w:szCs w:val="21"/>
              </w:rPr>
              <w:t>指标</w:t>
            </w:r>
          </w:p>
        </w:tc>
        <w:tc>
          <w:tcPr>
            <w:tcW w:w="284"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分值</w:t>
            </w:r>
          </w:p>
        </w:tc>
        <w:tc>
          <w:tcPr>
            <w:tcW w:w="2126"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评价标准</w:t>
            </w:r>
          </w:p>
        </w:tc>
        <w:tc>
          <w:tcPr>
            <w:tcW w:w="3364"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指标说明</w:t>
            </w:r>
          </w:p>
        </w:tc>
        <w:tc>
          <w:tcPr>
            <w:tcW w:w="498"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44" w:hRule="atLeast"/>
          <w:jc w:val="center"/>
        </w:trPr>
        <w:tc>
          <w:tcPr>
            <w:tcW w:w="521"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投入</w:t>
            </w:r>
          </w:p>
        </w:tc>
        <w:tc>
          <w:tcPr>
            <w:tcW w:w="400"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10</w:t>
            </w:r>
          </w:p>
        </w:tc>
        <w:tc>
          <w:tcPr>
            <w:tcW w:w="478"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预算配置</w:t>
            </w:r>
          </w:p>
        </w:tc>
        <w:tc>
          <w:tcPr>
            <w:tcW w:w="396"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10</w:t>
            </w: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在职人员控制率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以</w:t>
            </w:r>
            <w:r>
              <w:rPr>
                <w:rFonts w:ascii="仿宋" w:hAnsi="仿宋" w:eastAsia="仿宋"/>
                <w:kern w:val="0"/>
                <w:szCs w:val="21"/>
              </w:rPr>
              <w:t>100%</w:t>
            </w:r>
            <w:r>
              <w:rPr>
                <w:rFonts w:hint="eastAsia" w:ascii="仿宋" w:hAnsi="仿宋" w:eastAsia="仿宋"/>
                <w:kern w:val="0"/>
                <w:szCs w:val="21"/>
              </w:rPr>
              <w:t>为标准。在职人员控制率≦</w:t>
            </w:r>
            <w:r>
              <w:rPr>
                <w:rFonts w:ascii="仿宋" w:hAnsi="仿宋" w:eastAsia="仿宋"/>
                <w:kern w:val="0"/>
                <w:szCs w:val="21"/>
              </w:rPr>
              <w:t>100%</w:t>
            </w:r>
            <w:r>
              <w:rPr>
                <w:rFonts w:hint="eastAsia" w:ascii="仿宋" w:hAnsi="仿宋" w:eastAsia="仿宋"/>
                <w:kern w:val="0"/>
                <w:szCs w:val="21"/>
              </w:rPr>
              <w:t>，计</w:t>
            </w:r>
            <w:r>
              <w:rPr>
                <w:rFonts w:ascii="仿宋" w:hAnsi="仿宋" w:eastAsia="仿宋"/>
                <w:kern w:val="0"/>
                <w:szCs w:val="21"/>
              </w:rPr>
              <w:t>5</w:t>
            </w:r>
            <w:r>
              <w:rPr>
                <w:rFonts w:hint="eastAsia" w:ascii="仿宋" w:hAnsi="仿宋" w:eastAsia="仿宋"/>
                <w:kern w:val="0"/>
                <w:szCs w:val="21"/>
              </w:rPr>
              <w:t>分；每超过一个百分点扣</w:t>
            </w:r>
            <w:r>
              <w:rPr>
                <w:rFonts w:ascii="仿宋" w:hAnsi="仿宋" w:eastAsia="仿宋"/>
                <w:kern w:val="0"/>
                <w:szCs w:val="21"/>
              </w:rPr>
              <w:t>0.5</w:t>
            </w:r>
            <w:r>
              <w:rPr>
                <w:rFonts w:hint="eastAsia" w:ascii="仿宋" w:hAnsi="仿宋" w:eastAsia="仿宋"/>
                <w:kern w:val="0"/>
                <w:szCs w:val="21"/>
              </w:rPr>
              <w:t>分，扣完为止。</w:t>
            </w:r>
          </w:p>
        </w:tc>
        <w:tc>
          <w:tcPr>
            <w:tcW w:w="3364" w:type="dxa"/>
            <w:vAlign w:val="center"/>
          </w:tcPr>
          <w:p>
            <w:pPr>
              <w:spacing w:line="240" w:lineRule="exact"/>
              <w:jc w:val="left"/>
              <w:rPr>
                <w:rFonts w:hint="eastAsia" w:ascii="仿宋" w:hAnsi="仿宋" w:eastAsia="仿宋"/>
                <w:kern w:val="0"/>
                <w:szCs w:val="21"/>
                <w:lang w:eastAsia="zh-CN"/>
              </w:rPr>
            </w:pPr>
            <w:r>
              <w:rPr>
                <w:rFonts w:hint="eastAsia" w:ascii="仿宋" w:hAnsi="仿宋" w:eastAsia="仿宋"/>
                <w:kern w:val="0"/>
                <w:szCs w:val="21"/>
              </w:rPr>
              <w:t>在职人员控制率</w:t>
            </w:r>
            <w:r>
              <w:rPr>
                <w:rFonts w:ascii="仿宋" w:hAnsi="仿宋" w:eastAsia="仿宋"/>
                <w:kern w:val="0"/>
                <w:szCs w:val="21"/>
              </w:rPr>
              <w:t>=</w:t>
            </w:r>
            <w:r>
              <w:rPr>
                <w:rFonts w:hint="eastAsia" w:ascii="仿宋" w:hAnsi="仿宋" w:eastAsia="仿宋"/>
                <w:kern w:val="0"/>
                <w:szCs w:val="21"/>
              </w:rPr>
              <w:t>（在职人员数</w:t>
            </w:r>
            <w:r>
              <w:rPr>
                <w:rFonts w:ascii="仿宋" w:hAnsi="仿宋" w:eastAsia="仿宋"/>
                <w:kern w:val="0"/>
                <w:szCs w:val="21"/>
              </w:rPr>
              <w:t>/</w:t>
            </w:r>
            <w:r>
              <w:rPr>
                <w:rFonts w:hint="eastAsia" w:ascii="仿宋" w:hAnsi="仿宋" w:eastAsia="仿宋"/>
                <w:kern w:val="0"/>
                <w:szCs w:val="21"/>
              </w:rPr>
              <w:t>编制数）×</w:t>
            </w:r>
            <w:r>
              <w:rPr>
                <w:rFonts w:ascii="仿宋" w:hAnsi="仿宋" w:eastAsia="仿宋"/>
                <w:kern w:val="0"/>
                <w:szCs w:val="21"/>
              </w:rPr>
              <w:t>100%</w:t>
            </w:r>
            <w:r>
              <w:rPr>
                <w:rFonts w:hint="eastAsia" w:ascii="仿宋" w:hAnsi="仿宋" w:eastAsia="仿宋"/>
                <w:kern w:val="0"/>
                <w:szCs w:val="21"/>
              </w:rPr>
              <w:t>，在职人员数：部门（单位）实际在职人数，以财政厅确定的部门决算编制口径为准。</w:t>
            </w:r>
          </w:p>
          <w:p>
            <w:pPr>
              <w:spacing w:line="240" w:lineRule="exact"/>
              <w:jc w:val="left"/>
              <w:rPr>
                <w:rFonts w:ascii="仿宋" w:hAnsi="仿宋" w:eastAsia="仿宋"/>
                <w:kern w:val="0"/>
                <w:szCs w:val="21"/>
              </w:rPr>
            </w:pPr>
            <w:r>
              <w:rPr>
                <w:rFonts w:hint="eastAsia" w:ascii="仿宋" w:hAnsi="仿宋" w:eastAsia="仿宋"/>
                <w:kern w:val="0"/>
                <w:szCs w:val="21"/>
              </w:rPr>
              <w:t>编制数：机构编制部门核定批复的部门（单位）的人员编制数。</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left"/>
              <w:rPr>
                <w:rFonts w:ascii="仿宋" w:hAnsi="仿宋" w:eastAsia="仿宋"/>
                <w:kern w:val="0"/>
                <w:szCs w:val="21"/>
              </w:rPr>
            </w:pPr>
          </w:p>
        </w:tc>
        <w:tc>
          <w:tcPr>
            <w:tcW w:w="396" w:type="dxa"/>
            <w:vMerge w:val="continue"/>
            <w:vAlign w:val="center"/>
          </w:tcPr>
          <w:p>
            <w:pPr>
              <w:spacing w:line="240" w:lineRule="exact"/>
              <w:jc w:val="left"/>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“三公经费”变动率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“三公经费”变动率≦</w:t>
            </w:r>
            <w:r>
              <w:rPr>
                <w:rFonts w:ascii="仿宋" w:hAnsi="仿宋" w:eastAsia="仿宋"/>
                <w:kern w:val="0"/>
                <w:szCs w:val="21"/>
              </w:rPr>
              <w:t>0,</w:t>
            </w:r>
            <w:r>
              <w:rPr>
                <w:rFonts w:hint="eastAsia" w:ascii="仿宋" w:hAnsi="仿宋" w:eastAsia="仿宋"/>
                <w:kern w:val="0"/>
                <w:szCs w:val="21"/>
              </w:rPr>
              <w:t>计</w:t>
            </w:r>
            <w:r>
              <w:rPr>
                <w:rFonts w:ascii="仿宋" w:hAnsi="仿宋" w:eastAsia="仿宋"/>
                <w:kern w:val="0"/>
                <w:szCs w:val="21"/>
              </w:rPr>
              <w:t>8</w:t>
            </w:r>
            <w:r>
              <w:rPr>
                <w:rFonts w:hint="eastAsia" w:ascii="仿宋" w:hAnsi="仿宋" w:eastAsia="仿宋"/>
                <w:kern w:val="0"/>
                <w:szCs w:val="21"/>
              </w:rPr>
              <w:t>分；“三公经费”＞</w:t>
            </w:r>
            <w:r>
              <w:rPr>
                <w:rFonts w:ascii="仿宋" w:hAnsi="仿宋" w:eastAsia="仿宋"/>
                <w:kern w:val="0"/>
                <w:szCs w:val="21"/>
              </w:rPr>
              <w:t>0</w:t>
            </w:r>
            <w:r>
              <w:rPr>
                <w:rFonts w:hint="eastAsia" w:ascii="仿宋" w:hAnsi="仿宋" w:eastAsia="仿宋"/>
                <w:kern w:val="0"/>
                <w:szCs w:val="21"/>
              </w:rPr>
              <w:t>，每超过一个百分点扣</w:t>
            </w:r>
            <w:r>
              <w:rPr>
                <w:rFonts w:ascii="仿宋" w:hAnsi="仿宋" w:eastAsia="仿宋"/>
                <w:kern w:val="0"/>
                <w:szCs w:val="21"/>
              </w:rPr>
              <w:t>0.8</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“三公经费”变动率</w:t>
            </w:r>
            <w:r>
              <w:rPr>
                <w:rFonts w:ascii="仿宋" w:hAnsi="仿宋" w:eastAsia="仿宋"/>
                <w:kern w:val="0"/>
                <w:szCs w:val="21"/>
              </w:rPr>
              <w:t>=[</w:t>
            </w:r>
            <w:r>
              <w:rPr>
                <w:rFonts w:hint="eastAsia" w:ascii="仿宋" w:hAnsi="仿宋" w:eastAsia="仿宋"/>
                <w:kern w:val="0"/>
                <w:szCs w:val="21"/>
              </w:rPr>
              <w:t>（本年度“三公经费”预算数</w:t>
            </w:r>
            <w:r>
              <w:rPr>
                <w:rFonts w:ascii="仿宋" w:hAnsi="仿宋" w:eastAsia="仿宋"/>
                <w:kern w:val="0"/>
                <w:szCs w:val="21"/>
              </w:rPr>
              <w:t>-</w:t>
            </w:r>
            <w:r>
              <w:rPr>
                <w:rFonts w:hint="eastAsia" w:ascii="仿宋" w:hAnsi="仿宋" w:eastAsia="仿宋"/>
                <w:kern w:val="0"/>
                <w:szCs w:val="21"/>
              </w:rPr>
              <w:t>上年度“三公经费”预算数）</w:t>
            </w:r>
            <w:r>
              <w:rPr>
                <w:rFonts w:ascii="仿宋" w:hAnsi="仿宋" w:eastAsia="仿宋"/>
                <w:kern w:val="0"/>
                <w:szCs w:val="21"/>
              </w:rPr>
              <w:t>/</w:t>
            </w:r>
            <w:r>
              <w:rPr>
                <w:rFonts w:hint="eastAsia" w:ascii="仿宋" w:hAnsi="仿宋" w:eastAsia="仿宋"/>
                <w:kern w:val="0"/>
                <w:szCs w:val="21"/>
              </w:rPr>
              <w:t>上年度“三公经费”预算数</w:t>
            </w:r>
            <w:r>
              <w:rPr>
                <w:rFonts w:ascii="仿宋" w:hAnsi="仿宋" w:eastAsia="仿宋"/>
                <w:kern w:val="0"/>
                <w:szCs w:val="21"/>
              </w:rPr>
              <w:t>]</w:t>
            </w:r>
            <w:r>
              <w:rPr>
                <w:rFonts w:hint="eastAsia" w:ascii="仿宋" w:hAnsi="仿宋" w:eastAsia="仿宋"/>
                <w:kern w:val="0"/>
                <w:szCs w:val="21"/>
              </w:rPr>
              <w:t>×</w:t>
            </w:r>
            <w:r>
              <w:rPr>
                <w:rFonts w:ascii="仿宋" w:hAnsi="仿宋" w:eastAsia="仿宋"/>
                <w:kern w:val="0"/>
                <w:szCs w:val="21"/>
              </w:rPr>
              <w:t>100%</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4" w:hRule="atLeast"/>
          <w:jc w:val="center"/>
        </w:trPr>
        <w:tc>
          <w:tcPr>
            <w:tcW w:w="521"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过程</w:t>
            </w:r>
          </w:p>
        </w:tc>
        <w:tc>
          <w:tcPr>
            <w:tcW w:w="400"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60</w:t>
            </w:r>
          </w:p>
        </w:tc>
        <w:tc>
          <w:tcPr>
            <w:tcW w:w="478"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预算执行</w:t>
            </w:r>
          </w:p>
          <w:p>
            <w:pPr>
              <w:spacing w:line="240" w:lineRule="exact"/>
              <w:jc w:val="center"/>
              <w:rPr>
                <w:rFonts w:ascii="仿宋" w:hAnsi="仿宋" w:eastAsia="仿宋"/>
                <w:kern w:val="0"/>
                <w:szCs w:val="21"/>
              </w:rPr>
            </w:pPr>
          </w:p>
        </w:tc>
        <w:tc>
          <w:tcPr>
            <w:tcW w:w="396"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40</w:t>
            </w:r>
          </w:p>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w:t>
            </w:r>
          </w:p>
          <w:p>
            <w:pPr>
              <w:spacing w:line="240" w:lineRule="exact"/>
              <w:jc w:val="center"/>
              <w:rPr>
                <w:rFonts w:ascii="仿宋" w:hAnsi="仿宋" w:eastAsia="仿宋"/>
                <w:kern w:val="0"/>
                <w:szCs w:val="21"/>
              </w:rPr>
            </w:pPr>
            <w:r>
              <w:rPr>
                <w:rFonts w:hint="eastAsia" w:ascii="仿宋" w:hAnsi="仿宋" w:eastAsia="仿宋"/>
                <w:kern w:val="0"/>
                <w:szCs w:val="21"/>
              </w:rPr>
              <w:t>完成率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计满分，每低于</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预算完成率</w:t>
            </w:r>
            <w:r>
              <w:rPr>
                <w:rFonts w:ascii="仿宋" w:hAnsi="仿宋" w:eastAsia="仿宋"/>
                <w:kern w:val="0"/>
                <w:szCs w:val="21"/>
              </w:rPr>
              <w:t>=</w:t>
            </w:r>
            <w:r>
              <w:rPr>
                <w:rFonts w:hint="eastAsia" w:ascii="仿宋" w:hAnsi="仿宋" w:eastAsia="仿宋"/>
                <w:kern w:val="0"/>
                <w:szCs w:val="21"/>
              </w:rPr>
              <w:t>（上年结转</w:t>
            </w:r>
            <w:r>
              <w:rPr>
                <w:rFonts w:ascii="仿宋" w:hAnsi="仿宋" w:eastAsia="仿宋"/>
                <w:kern w:val="0"/>
                <w:szCs w:val="21"/>
              </w:rPr>
              <w:t>+</w:t>
            </w:r>
            <w:r>
              <w:rPr>
                <w:rFonts w:hint="eastAsia" w:ascii="仿宋" w:hAnsi="仿宋" w:eastAsia="仿宋"/>
                <w:kern w:val="0"/>
                <w:szCs w:val="21"/>
              </w:rPr>
              <w:t>年初预算</w:t>
            </w:r>
            <w:r>
              <w:rPr>
                <w:rFonts w:ascii="仿宋" w:hAnsi="仿宋" w:eastAsia="仿宋"/>
                <w:kern w:val="0"/>
                <w:szCs w:val="21"/>
              </w:rPr>
              <w:t>+</w:t>
            </w:r>
            <w:r>
              <w:rPr>
                <w:rFonts w:hint="eastAsia" w:ascii="仿宋" w:hAnsi="仿宋" w:eastAsia="仿宋"/>
                <w:kern w:val="0"/>
                <w:szCs w:val="21"/>
              </w:rPr>
              <w:t>本年追加预算</w:t>
            </w:r>
            <w:r>
              <w:rPr>
                <w:rFonts w:ascii="仿宋" w:hAnsi="仿宋" w:eastAsia="仿宋"/>
                <w:kern w:val="0"/>
                <w:szCs w:val="21"/>
              </w:rPr>
              <w:t>-</w:t>
            </w:r>
            <w:r>
              <w:rPr>
                <w:rFonts w:hint="eastAsia" w:ascii="仿宋" w:hAnsi="仿宋" w:eastAsia="仿宋"/>
                <w:kern w:val="0"/>
                <w:szCs w:val="21"/>
              </w:rPr>
              <w:t>年末结余）</w:t>
            </w:r>
            <w:r>
              <w:rPr>
                <w:rFonts w:ascii="仿宋" w:hAnsi="仿宋" w:eastAsia="仿宋"/>
                <w:kern w:val="0"/>
                <w:szCs w:val="21"/>
              </w:rPr>
              <w:t>/</w:t>
            </w:r>
            <w:r>
              <w:rPr>
                <w:rFonts w:hint="eastAsia" w:ascii="仿宋" w:hAnsi="仿宋" w:eastAsia="仿宋"/>
                <w:kern w:val="0"/>
                <w:szCs w:val="21"/>
              </w:rPr>
              <w:t>（上年结转</w:t>
            </w:r>
            <w:r>
              <w:rPr>
                <w:rFonts w:ascii="仿宋" w:hAnsi="仿宋" w:eastAsia="仿宋"/>
                <w:kern w:val="0"/>
                <w:szCs w:val="21"/>
              </w:rPr>
              <w:t>+</w:t>
            </w:r>
            <w:r>
              <w:rPr>
                <w:rFonts w:hint="eastAsia" w:ascii="仿宋" w:hAnsi="仿宋" w:eastAsia="仿宋"/>
                <w:kern w:val="0"/>
                <w:szCs w:val="21"/>
              </w:rPr>
              <w:t>年初预算</w:t>
            </w:r>
            <w:r>
              <w:rPr>
                <w:rFonts w:ascii="仿宋" w:hAnsi="仿宋" w:eastAsia="仿宋"/>
                <w:kern w:val="0"/>
                <w:szCs w:val="21"/>
              </w:rPr>
              <w:t>+</w:t>
            </w:r>
            <w:r>
              <w:rPr>
                <w:rFonts w:hint="eastAsia" w:ascii="仿宋" w:hAnsi="仿宋" w:eastAsia="仿宋"/>
                <w:kern w:val="0"/>
                <w:szCs w:val="21"/>
              </w:rPr>
              <w:t>本年追加预算）×</w:t>
            </w:r>
            <w:r>
              <w:rPr>
                <w:rFonts w:ascii="仿宋" w:hAnsi="仿宋" w:eastAsia="仿宋"/>
                <w:kern w:val="0"/>
                <w:szCs w:val="21"/>
              </w:rPr>
              <w:t>100%</w:t>
            </w:r>
            <w:r>
              <w:rPr>
                <w:rFonts w:hint="eastAsia" w:ascii="仿宋" w:hAnsi="仿宋" w:eastAsia="仿宋"/>
                <w:kern w:val="0"/>
                <w:szCs w:val="21"/>
              </w:rPr>
              <w:t>。</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37"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w:t>
            </w:r>
          </w:p>
          <w:p>
            <w:pPr>
              <w:spacing w:line="240" w:lineRule="exact"/>
              <w:jc w:val="center"/>
              <w:rPr>
                <w:rFonts w:ascii="仿宋" w:hAnsi="仿宋" w:eastAsia="仿宋"/>
                <w:kern w:val="0"/>
                <w:szCs w:val="21"/>
              </w:rPr>
            </w:pPr>
            <w:r>
              <w:rPr>
                <w:rFonts w:hint="eastAsia" w:ascii="仿宋" w:hAnsi="仿宋" w:eastAsia="仿宋"/>
                <w:kern w:val="0"/>
                <w:szCs w:val="21"/>
              </w:rPr>
              <w:t>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预算控制率</w:t>
            </w:r>
            <w:r>
              <w:rPr>
                <w:rFonts w:ascii="仿宋" w:hAnsi="仿宋" w:eastAsia="仿宋"/>
                <w:kern w:val="0"/>
                <w:szCs w:val="21"/>
              </w:rPr>
              <w:t>=0</w:t>
            </w:r>
            <w:r>
              <w:rPr>
                <w:rFonts w:hint="eastAsia" w:ascii="仿宋" w:hAnsi="仿宋" w:eastAsia="仿宋"/>
                <w:kern w:val="0"/>
                <w:szCs w:val="21"/>
              </w:rPr>
              <w:t>，计</w:t>
            </w:r>
            <w:r>
              <w:rPr>
                <w:rFonts w:ascii="仿宋" w:hAnsi="仿宋" w:eastAsia="仿宋"/>
                <w:kern w:val="0"/>
                <w:szCs w:val="21"/>
              </w:rPr>
              <w:t>5</w:t>
            </w:r>
            <w:r>
              <w:rPr>
                <w:rFonts w:hint="eastAsia" w:ascii="仿宋" w:hAnsi="仿宋" w:eastAsia="仿宋"/>
                <w:kern w:val="0"/>
                <w:szCs w:val="21"/>
              </w:rPr>
              <w:t>分；</w:t>
            </w:r>
            <w:r>
              <w:rPr>
                <w:rFonts w:ascii="仿宋" w:hAnsi="仿宋" w:eastAsia="仿宋"/>
                <w:kern w:val="0"/>
                <w:szCs w:val="21"/>
              </w:rPr>
              <w:t>0-10%</w:t>
            </w:r>
            <w:r>
              <w:rPr>
                <w:rFonts w:hint="eastAsia" w:ascii="仿宋" w:hAnsi="仿宋" w:eastAsia="仿宋"/>
                <w:kern w:val="0"/>
                <w:szCs w:val="21"/>
              </w:rPr>
              <w:t>（含），计</w:t>
            </w:r>
            <w:r>
              <w:rPr>
                <w:rFonts w:ascii="仿宋" w:hAnsi="仿宋" w:eastAsia="仿宋"/>
                <w:kern w:val="0"/>
                <w:szCs w:val="21"/>
              </w:rPr>
              <w:t>4</w:t>
            </w:r>
            <w:r>
              <w:rPr>
                <w:rFonts w:hint="eastAsia" w:ascii="仿宋" w:hAnsi="仿宋" w:eastAsia="仿宋"/>
                <w:kern w:val="0"/>
                <w:szCs w:val="21"/>
              </w:rPr>
              <w:t>分；</w:t>
            </w:r>
            <w:r>
              <w:rPr>
                <w:rFonts w:ascii="仿宋" w:hAnsi="仿宋" w:eastAsia="仿宋"/>
                <w:kern w:val="0"/>
                <w:szCs w:val="21"/>
              </w:rPr>
              <w:t>10-20%</w:t>
            </w:r>
            <w:r>
              <w:rPr>
                <w:rFonts w:hint="eastAsia" w:ascii="仿宋" w:hAnsi="仿宋" w:eastAsia="仿宋"/>
                <w:kern w:val="0"/>
                <w:szCs w:val="21"/>
              </w:rPr>
              <w:t>（含），计</w:t>
            </w:r>
            <w:r>
              <w:rPr>
                <w:rFonts w:ascii="仿宋" w:hAnsi="仿宋" w:eastAsia="仿宋"/>
                <w:kern w:val="0"/>
                <w:szCs w:val="21"/>
              </w:rPr>
              <w:t>3</w:t>
            </w:r>
            <w:r>
              <w:rPr>
                <w:rFonts w:hint="eastAsia" w:ascii="仿宋" w:hAnsi="仿宋" w:eastAsia="仿宋"/>
                <w:kern w:val="0"/>
                <w:szCs w:val="21"/>
              </w:rPr>
              <w:t>分；</w:t>
            </w:r>
            <w:r>
              <w:rPr>
                <w:rFonts w:ascii="仿宋" w:hAnsi="仿宋" w:eastAsia="仿宋"/>
                <w:kern w:val="0"/>
                <w:szCs w:val="21"/>
              </w:rPr>
              <w:t>20-30%</w:t>
            </w:r>
            <w:r>
              <w:rPr>
                <w:rFonts w:hint="eastAsia" w:ascii="仿宋" w:hAnsi="仿宋" w:eastAsia="仿宋"/>
                <w:kern w:val="0"/>
                <w:szCs w:val="21"/>
              </w:rPr>
              <w:t>（含），计</w:t>
            </w:r>
            <w:r>
              <w:rPr>
                <w:rFonts w:ascii="仿宋" w:hAnsi="仿宋" w:eastAsia="仿宋"/>
                <w:kern w:val="0"/>
                <w:szCs w:val="21"/>
              </w:rPr>
              <w:t>2</w:t>
            </w:r>
            <w:r>
              <w:rPr>
                <w:rFonts w:hint="eastAsia" w:ascii="仿宋" w:hAnsi="仿宋" w:eastAsia="仿宋"/>
                <w:kern w:val="0"/>
                <w:szCs w:val="21"/>
              </w:rPr>
              <w:t>分；大于</w:t>
            </w:r>
            <w:r>
              <w:rPr>
                <w:rFonts w:ascii="仿宋" w:hAnsi="仿宋" w:eastAsia="仿宋"/>
                <w:kern w:val="0"/>
                <w:szCs w:val="21"/>
              </w:rPr>
              <w:t>30%</w:t>
            </w:r>
            <w:r>
              <w:rPr>
                <w:rFonts w:hint="eastAsia" w:ascii="仿宋" w:hAnsi="仿宋" w:eastAsia="仿宋"/>
                <w:kern w:val="0"/>
                <w:szCs w:val="21"/>
              </w:rPr>
              <w:t>不得分。</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预算控制率</w:t>
            </w:r>
            <w:r>
              <w:rPr>
                <w:rFonts w:ascii="仿宋" w:hAnsi="仿宋" w:eastAsia="仿宋"/>
                <w:kern w:val="0"/>
                <w:szCs w:val="21"/>
              </w:rPr>
              <w:t>=</w:t>
            </w:r>
            <w:r>
              <w:rPr>
                <w:rFonts w:hint="eastAsia" w:ascii="仿宋" w:hAnsi="仿宋" w:eastAsia="仿宋"/>
                <w:kern w:val="0"/>
                <w:szCs w:val="21"/>
              </w:rPr>
              <w:t>（本年追加预算</w:t>
            </w:r>
            <w:r>
              <w:rPr>
                <w:rFonts w:ascii="仿宋" w:hAnsi="仿宋" w:eastAsia="仿宋"/>
                <w:kern w:val="0"/>
                <w:szCs w:val="21"/>
              </w:rPr>
              <w:t>/</w:t>
            </w:r>
            <w:r>
              <w:rPr>
                <w:rFonts w:hint="eastAsia" w:ascii="仿宋" w:hAnsi="仿宋" w:eastAsia="仿宋"/>
                <w:kern w:val="0"/>
                <w:szCs w:val="21"/>
              </w:rPr>
              <w:t>年初预算）×</w:t>
            </w:r>
            <w:r>
              <w:rPr>
                <w:rFonts w:ascii="仿宋" w:hAnsi="仿宋" w:eastAsia="仿宋"/>
                <w:kern w:val="0"/>
                <w:szCs w:val="21"/>
              </w:rPr>
              <w:t>100%</w:t>
            </w:r>
            <w:r>
              <w:rPr>
                <w:rFonts w:hint="eastAsia" w:ascii="仿宋" w:hAnsi="仿宋" w:eastAsia="仿宋"/>
                <w:kern w:val="0"/>
                <w:szCs w:val="21"/>
              </w:rPr>
              <w:t>。</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新建楼堂馆所面积控制率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分，扣完为止。没有楼堂馆所项目的部门按满分计算。</w:t>
            </w:r>
          </w:p>
        </w:tc>
        <w:tc>
          <w:tcPr>
            <w:tcW w:w="3364" w:type="dxa"/>
            <w:vAlign w:val="center"/>
          </w:tcPr>
          <w:p>
            <w:pPr>
              <w:spacing w:line="240" w:lineRule="exact"/>
              <w:jc w:val="left"/>
              <w:rPr>
                <w:rFonts w:hint="eastAsia" w:ascii="仿宋" w:hAnsi="仿宋" w:eastAsia="仿宋"/>
                <w:kern w:val="0"/>
                <w:szCs w:val="21"/>
                <w:lang w:eastAsia="zh-CN"/>
              </w:rPr>
            </w:pPr>
            <w:r>
              <w:rPr>
                <w:rFonts w:hint="eastAsia" w:ascii="仿宋" w:hAnsi="仿宋" w:eastAsia="仿宋"/>
                <w:kern w:val="0"/>
                <w:szCs w:val="21"/>
              </w:rPr>
              <w:t>楼堂馆所面积控制率</w:t>
            </w:r>
            <w:r>
              <w:rPr>
                <w:rFonts w:ascii="仿宋" w:hAnsi="仿宋" w:eastAsia="仿宋"/>
                <w:kern w:val="0"/>
                <w:szCs w:val="21"/>
              </w:rPr>
              <w:t>=</w:t>
            </w:r>
            <w:r>
              <w:rPr>
                <w:rFonts w:hint="eastAsia" w:ascii="仿宋" w:hAnsi="仿宋" w:eastAsia="仿宋"/>
                <w:kern w:val="0"/>
                <w:szCs w:val="21"/>
              </w:rPr>
              <w:t>实际建设面积</w:t>
            </w:r>
            <w:r>
              <w:rPr>
                <w:rFonts w:ascii="仿宋" w:hAnsi="仿宋" w:eastAsia="仿宋"/>
                <w:kern w:val="0"/>
                <w:szCs w:val="21"/>
              </w:rPr>
              <w:t>/</w:t>
            </w:r>
            <w:r>
              <w:rPr>
                <w:rFonts w:hint="eastAsia" w:ascii="仿宋" w:hAnsi="仿宋" w:eastAsia="仿宋"/>
                <w:kern w:val="0"/>
                <w:szCs w:val="21"/>
              </w:rPr>
              <w:t>批准建设面积×</w:t>
            </w:r>
            <w:r>
              <w:rPr>
                <w:rFonts w:ascii="仿宋" w:hAnsi="仿宋" w:eastAsia="仿宋"/>
                <w:kern w:val="0"/>
                <w:szCs w:val="21"/>
              </w:rPr>
              <w:t xml:space="preserve">100% </w:t>
            </w:r>
            <w:r>
              <w:rPr>
                <w:rFonts w:hint="eastAsia" w:ascii="仿宋" w:hAnsi="仿宋" w:eastAsia="仿宋"/>
                <w:kern w:val="0"/>
                <w:szCs w:val="21"/>
              </w:rPr>
              <w:t>。</w:t>
            </w:r>
          </w:p>
          <w:p>
            <w:pPr>
              <w:spacing w:line="240" w:lineRule="exact"/>
              <w:jc w:val="left"/>
              <w:rPr>
                <w:rFonts w:ascii="仿宋" w:hAnsi="仿宋" w:eastAsia="仿宋"/>
                <w:kern w:val="0"/>
                <w:szCs w:val="21"/>
              </w:rPr>
            </w:pPr>
            <w:r>
              <w:rPr>
                <w:rFonts w:hint="eastAsia" w:ascii="仿宋" w:hAnsi="仿宋" w:eastAsia="仿宋"/>
                <w:kern w:val="0"/>
                <w:szCs w:val="21"/>
              </w:rPr>
              <w:t>该指标以</w:t>
            </w:r>
            <w:r>
              <w:rPr>
                <w:rFonts w:ascii="仿宋" w:hAnsi="仿宋" w:eastAsia="仿宋"/>
                <w:kern w:val="0"/>
                <w:szCs w:val="21"/>
              </w:rPr>
              <w:t>2017</w:t>
            </w:r>
            <w:r>
              <w:rPr>
                <w:rFonts w:hint="eastAsia" w:ascii="仿宋" w:hAnsi="仿宋" w:eastAsia="仿宋"/>
                <w:kern w:val="0"/>
                <w:szCs w:val="21"/>
              </w:rPr>
              <w:t>年完工的新建楼堂馆所为评价内容。</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新建楼堂馆所投资概算控制率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w:t>
            </w:r>
          </w:p>
        </w:tc>
        <w:tc>
          <w:tcPr>
            <w:tcW w:w="3364" w:type="dxa"/>
            <w:vAlign w:val="center"/>
          </w:tcPr>
          <w:p>
            <w:pPr>
              <w:spacing w:line="240" w:lineRule="exact"/>
              <w:jc w:val="left"/>
              <w:rPr>
                <w:rFonts w:hint="eastAsia" w:ascii="仿宋" w:hAnsi="仿宋" w:eastAsia="仿宋"/>
                <w:kern w:val="0"/>
                <w:szCs w:val="21"/>
                <w:lang w:eastAsia="zh-CN"/>
              </w:rPr>
            </w:pPr>
            <w:r>
              <w:rPr>
                <w:rFonts w:hint="eastAsia" w:ascii="仿宋" w:hAnsi="仿宋" w:eastAsia="仿宋"/>
                <w:kern w:val="0"/>
                <w:szCs w:val="21"/>
              </w:rPr>
              <w:t>楼堂馆所投资预算控制率</w:t>
            </w:r>
            <w:r>
              <w:rPr>
                <w:rFonts w:ascii="仿宋" w:hAnsi="仿宋" w:eastAsia="仿宋"/>
                <w:kern w:val="0"/>
                <w:szCs w:val="21"/>
              </w:rPr>
              <w:t>=</w:t>
            </w:r>
            <w:r>
              <w:rPr>
                <w:rFonts w:hint="eastAsia" w:ascii="仿宋" w:hAnsi="仿宋" w:eastAsia="仿宋"/>
                <w:kern w:val="0"/>
                <w:szCs w:val="21"/>
              </w:rPr>
              <w:t>实际投资金额</w:t>
            </w:r>
            <w:r>
              <w:rPr>
                <w:rFonts w:ascii="仿宋" w:hAnsi="仿宋" w:eastAsia="仿宋"/>
                <w:kern w:val="0"/>
                <w:szCs w:val="21"/>
              </w:rPr>
              <w:t>/</w:t>
            </w:r>
            <w:r>
              <w:rPr>
                <w:rFonts w:hint="eastAsia" w:ascii="仿宋" w:hAnsi="仿宋" w:eastAsia="仿宋"/>
                <w:kern w:val="0"/>
                <w:szCs w:val="21"/>
              </w:rPr>
              <w:t>批准投资金额×</w:t>
            </w:r>
            <w:r>
              <w:rPr>
                <w:rFonts w:ascii="仿宋" w:hAnsi="仿宋" w:eastAsia="仿宋"/>
                <w:kern w:val="0"/>
                <w:szCs w:val="21"/>
              </w:rPr>
              <w:t xml:space="preserve">100% </w:t>
            </w:r>
            <w:r>
              <w:rPr>
                <w:rFonts w:hint="eastAsia" w:ascii="仿宋" w:hAnsi="仿宋" w:eastAsia="仿宋"/>
                <w:kern w:val="0"/>
                <w:szCs w:val="21"/>
              </w:rPr>
              <w:t>。</w:t>
            </w:r>
          </w:p>
          <w:p>
            <w:pPr>
              <w:spacing w:line="240" w:lineRule="exact"/>
              <w:jc w:val="left"/>
              <w:rPr>
                <w:rFonts w:ascii="仿宋" w:hAnsi="仿宋" w:eastAsia="仿宋"/>
                <w:kern w:val="0"/>
                <w:szCs w:val="21"/>
              </w:rPr>
            </w:pPr>
            <w:r>
              <w:rPr>
                <w:rFonts w:hint="eastAsia" w:ascii="仿宋" w:hAnsi="仿宋" w:eastAsia="仿宋"/>
                <w:kern w:val="0"/>
                <w:szCs w:val="21"/>
              </w:rPr>
              <w:t>该指标以</w:t>
            </w:r>
            <w:r>
              <w:rPr>
                <w:rFonts w:ascii="仿宋" w:hAnsi="仿宋" w:eastAsia="仿宋"/>
                <w:kern w:val="0"/>
                <w:szCs w:val="21"/>
              </w:rPr>
              <w:t>2017</w:t>
            </w:r>
            <w:r>
              <w:rPr>
                <w:rFonts w:hint="eastAsia" w:ascii="仿宋" w:hAnsi="仿宋" w:eastAsia="仿宋"/>
                <w:kern w:val="0"/>
                <w:szCs w:val="21"/>
              </w:rPr>
              <w:t>年完工的新建楼堂馆所为评价内容。</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62"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公用经费控制率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8</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 xml:space="preserve">  1%</w:t>
            </w:r>
            <w:r>
              <w:rPr>
                <w:rFonts w:hint="eastAsia" w:ascii="仿宋" w:hAnsi="仿宋" w:eastAsia="仿宋"/>
                <w:kern w:val="0"/>
                <w:szCs w:val="21"/>
              </w:rPr>
              <w:t>扣</w:t>
            </w:r>
            <w:r>
              <w:rPr>
                <w:rFonts w:ascii="仿宋" w:hAnsi="仿宋" w:eastAsia="仿宋"/>
                <w:kern w:val="0"/>
                <w:szCs w:val="21"/>
              </w:rPr>
              <w:t>1</w:t>
            </w:r>
            <w:r>
              <w:rPr>
                <w:rFonts w:hint="eastAsia" w:ascii="仿宋" w:hAnsi="仿宋" w:eastAsia="仿宋"/>
                <w:kern w:val="0"/>
                <w:szCs w:val="21"/>
              </w:rPr>
              <w:t>分，扣完为止。</w:t>
            </w:r>
          </w:p>
        </w:tc>
        <w:tc>
          <w:tcPr>
            <w:tcW w:w="3364" w:type="dxa"/>
            <w:vAlign w:val="center"/>
          </w:tcPr>
          <w:p>
            <w:pPr>
              <w:spacing w:line="240" w:lineRule="exact"/>
              <w:jc w:val="left"/>
              <w:rPr>
                <w:rFonts w:hint="eastAsia" w:ascii="仿宋" w:hAnsi="仿宋" w:eastAsia="仿宋"/>
                <w:kern w:val="0"/>
                <w:szCs w:val="21"/>
                <w:lang w:eastAsia="zh-CN"/>
              </w:rPr>
            </w:pPr>
            <w:r>
              <w:rPr>
                <w:rFonts w:hint="eastAsia" w:ascii="仿宋" w:hAnsi="仿宋" w:eastAsia="仿宋"/>
                <w:kern w:val="0"/>
                <w:szCs w:val="21"/>
              </w:rPr>
              <w:t>公用经费控制率</w:t>
            </w:r>
            <w:r>
              <w:rPr>
                <w:rFonts w:ascii="仿宋" w:hAnsi="仿宋" w:eastAsia="仿宋"/>
                <w:kern w:val="0"/>
                <w:szCs w:val="21"/>
              </w:rPr>
              <w:t>=</w:t>
            </w:r>
            <w:r>
              <w:rPr>
                <w:rFonts w:hint="eastAsia" w:ascii="仿宋" w:hAnsi="仿宋" w:eastAsia="仿宋"/>
                <w:kern w:val="0"/>
                <w:szCs w:val="21"/>
              </w:rPr>
              <w:t>（实际支出公用经费总额</w:t>
            </w:r>
            <w:r>
              <w:rPr>
                <w:rFonts w:ascii="仿宋" w:hAnsi="仿宋" w:eastAsia="仿宋"/>
                <w:kern w:val="0"/>
                <w:szCs w:val="21"/>
              </w:rPr>
              <w:t>/</w:t>
            </w:r>
            <w:r>
              <w:rPr>
                <w:rFonts w:hint="eastAsia" w:ascii="仿宋" w:hAnsi="仿宋" w:eastAsia="仿宋"/>
                <w:kern w:val="0"/>
                <w:szCs w:val="21"/>
              </w:rPr>
              <w:t>预算安排公用经费总额）×</w:t>
            </w:r>
            <w:r>
              <w:rPr>
                <w:rFonts w:ascii="仿宋" w:hAnsi="仿宋" w:eastAsia="仿宋"/>
                <w:kern w:val="0"/>
                <w:szCs w:val="21"/>
              </w:rPr>
              <w:t>100%</w:t>
            </w:r>
            <w:r>
              <w:rPr>
                <w:rFonts w:hint="eastAsia" w:ascii="仿宋" w:hAnsi="仿宋" w:eastAsia="仿宋"/>
                <w:kern w:val="0"/>
                <w:szCs w:val="21"/>
              </w:rPr>
              <w:t>。</w:t>
            </w:r>
          </w:p>
          <w:p>
            <w:pPr>
              <w:spacing w:line="240" w:lineRule="exact"/>
              <w:jc w:val="left"/>
              <w:rPr>
                <w:rFonts w:ascii="仿宋" w:hAnsi="仿宋" w:eastAsia="仿宋"/>
                <w:kern w:val="0"/>
                <w:szCs w:val="21"/>
              </w:rPr>
            </w:pPr>
            <w:r>
              <w:rPr>
                <w:rFonts w:hint="eastAsia" w:ascii="仿宋" w:hAnsi="仿宋" w:eastAsia="仿宋"/>
                <w:kern w:val="0"/>
                <w:szCs w:val="21"/>
              </w:rPr>
              <w:t>公用经费支出是指部门基本支出中的一般商品和服务支出。</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left"/>
              <w:rPr>
                <w:rFonts w:ascii="仿宋" w:hAnsi="仿宋" w:eastAsia="仿宋"/>
                <w:kern w:val="0"/>
                <w:szCs w:val="21"/>
              </w:rPr>
            </w:pPr>
          </w:p>
        </w:tc>
        <w:tc>
          <w:tcPr>
            <w:tcW w:w="396" w:type="dxa"/>
            <w:vMerge w:val="continue"/>
            <w:vAlign w:val="center"/>
          </w:tcPr>
          <w:p>
            <w:pPr>
              <w:spacing w:line="240" w:lineRule="exact"/>
              <w:jc w:val="left"/>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“三公经费”控制率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6</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1%</w:t>
            </w:r>
            <w:r>
              <w:rPr>
                <w:rFonts w:hint="eastAsia" w:ascii="仿宋" w:hAnsi="仿宋" w:eastAsia="仿宋"/>
                <w:kern w:val="0"/>
                <w:szCs w:val="21"/>
              </w:rPr>
              <w:t>扣</w:t>
            </w:r>
            <w:r>
              <w:rPr>
                <w:rFonts w:ascii="仿宋" w:hAnsi="仿宋" w:eastAsia="仿宋"/>
                <w:kern w:val="0"/>
                <w:szCs w:val="21"/>
              </w:rPr>
              <w:t>1</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“三公经费”控制率</w:t>
            </w:r>
            <w:r>
              <w:rPr>
                <w:rFonts w:ascii="仿宋" w:hAnsi="仿宋" w:eastAsia="仿宋"/>
                <w:kern w:val="0"/>
                <w:szCs w:val="21"/>
              </w:rPr>
              <w:t>-</w:t>
            </w:r>
            <w:r>
              <w:rPr>
                <w:rFonts w:hint="eastAsia" w:ascii="仿宋" w:hAnsi="仿宋" w:eastAsia="仿宋"/>
                <w:kern w:val="0"/>
                <w:szCs w:val="21"/>
              </w:rPr>
              <w:t>（“三公经费”实际支出数</w:t>
            </w:r>
            <w:r>
              <w:rPr>
                <w:rFonts w:ascii="仿宋" w:hAnsi="仿宋" w:eastAsia="仿宋"/>
                <w:kern w:val="0"/>
                <w:szCs w:val="21"/>
              </w:rPr>
              <w:t>/</w:t>
            </w:r>
            <w:r>
              <w:rPr>
                <w:rFonts w:hint="eastAsia" w:ascii="仿宋" w:hAnsi="仿宋" w:eastAsia="仿宋"/>
                <w:kern w:val="0"/>
                <w:szCs w:val="21"/>
              </w:rPr>
              <w:t>“三公经费”预算安排数）×</w:t>
            </w:r>
            <w:r>
              <w:rPr>
                <w:rFonts w:ascii="仿宋" w:hAnsi="仿宋" w:eastAsia="仿宋"/>
                <w:kern w:val="0"/>
                <w:szCs w:val="21"/>
              </w:rPr>
              <w:t>100%</w:t>
            </w:r>
            <w:r>
              <w:rPr>
                <w:rFonts w:hint="eastAsia" w:ascii="仿宋" w:hAnsi="仿宋" w:eastAsia="仿宋"/>
                <w:kern w:val="0"/>
                <w:szCs w:val="21"/>
              </w:rPr>
              <w:t>。</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8"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left"/>
              <w:rPr>
                <w:rFonts w:ascii="仿宋" w:hAnsi="仿宋" w:eastAsia="仿宋"/>
                <w:kern w:val="0"/>
                <w:szCs w:val="21"/>
              </w:rPr>
            </w:pPr>
          </w:p>
        </w:tc>
        <w:tc>
          <w:tcPr>
            <w:tcW w:w="396" w:type="dxa"/>
            <w:vMerge w:val="continue"/>
            <w:vAlign w:val="center"/>
          </w:tcPr>
          <w:p>
            <w:pPr>
              <w:spacing w:line="240" w:lineRule="exact"/>
              <w:jc w:val="left"/>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政府采购执行率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6</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计满分，每超过（降低）</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政府采购执行率</w:t>
            </w:r>
            <w:r>
              <w:rPr>
                <w:rFonts w:ascii="仿宋" w:hAnsi="仿宋" w:eastAsia="仿宋"/>
                <w:kern w:val="0"/>
                <w:szCs w:val="21"/>
              </w:rPr>
              <w:t>=</w:t>
            </w:r>
            <w:r>
              <w:rPr>
                <w:rFonts w:hint="eastAsia" w:ascii="仿宋" w:hAnsi="仿宋" w:eastAsia="仿宋"/>
                <w:kern w:val="0"/>
                <w:szCs w:val="21"/>
              </w:rPr>
              <w:t>（实际政府采购金额</w:t>
            </w:r>
            <w:r>
              <w:rPr>
                <w:rFonts w:ascii="仿宋" w:hAnsi="仿宋" w:eastAsia="仿宋"/>
                <w:kern w:val="0"/>
                <w:szCs w:val="21"/>
              </w:rPr>
              <w:t>/</w:t>
            </w:r>
            <w:r>
              <w:rPr>
                <w:rFonts w:hint="eastAsia" w:ascii="仿宋" w:hAnsi="仿宋" w:eastAsia="仿宋"/>
                <w:kern w:val="0"/>
                <w:szCs w:val="21"/>
              </w:rPr>
              <w:t>政府采购预算数）×</w:t>
            </w:r>
            <w:r>
              <w:rPr>
                <w:rFonts w:ascii="仿宋" w:hAnsi="仿宋" w:eastAsia="仿宋"/>
                <w:kern w:val="0"/>
                <w:szCs w:val="21"/>
              </w:rPr>
              <w:t>100%</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过</w:t>
            </w:r>
          </w:p>
          <w:p>
            <w:pPr>
              <w:spacing w:line="280" w:lineRule="exact"/>
              <w:jc w:val="center"/>
              <w:rPr>
                <w:rFonts w:ascii="仿宋" w:hAnsi="仿宋" w:eastAsia="仿宋"/>
                <w:kern w:val="0"/>
                <w:szCs w:val="21"/>
              </w:rPr>
            </w:pPr>
            <w:r>
              <w:rPr>
                <w:rFonts w:hint="eastAsia" w:ascii="仿宋" w:hAnsi="仿宋" w:eastAsia="仿宋"/>
                <w:kern w:val="0"/>
                <w:szCs w:val="21"/>
              </w:rPr>
              <w:t>程</w:t>
            </w:r>
          </w:p>
        </w:tc>
        <w:tc>
          <w:tcPr>
            <w:tcW w:w="400" w:type="dxa"/>
            <w:vMerge w:val="restart"/>
            <w:vAlign w:val="center"/>
          </w:tcPr>
          <w:p>
            <w:pPr>
              <w:spacing w:line="280" w:lineRule="exact"/>
              <w:jc w:val="left"/>
              <w:rPr>
                <w:rFonts w:ascii="仿宋" w:hAnsi="仿宋" w:eastAsia="仿宋"/>
                <w:kern w:val="0"/>
                <w:szCs w:val="21"/>
              </w:rPr>
            </w:pPr>
          </w:p>
        </w:tc>
        <w:tc>
          <w:tcPr>
            <w:tcW w:w="478" w:type="dxa"/>
            <w:vMerge w:val="restart"/>
            <w:vAlign w:val="center"/>
          </w:tcPr>
          <w:p>
            <w:pPr>
              <w:spacing w:line="280" w:lineRule="exact"/>
              <w:jc w:val="left"/>
              <w:rPr>
                <w:rFonts w:ascii="仿宋" w:hAnsi="仿宋" w:eastAsia="仿宋"/>
                <w:kern w:val="0"/>
                <w:szCs w:val="21"/>
              </w:rPr>
            </w:pPr>
            <w:r>
              <w:rPr>
                <w:rFonts w:hint="eastAsia" w:ascii="仿宋" w:hAnsi="仿宋" w:eastAsia="仿宋"/>
                <w:kern w:val="0"/>
                <w:szCs w:val="21"/>
              </w:rPr>
              <w:t>预算管理</w:t>
            </w:r>
          </w:p>
        </w:tc>
        <w:tc>
          <w:tcPr>
            <w:tcW w:w="396" w:type="dxa"/>
            <w:vMerge w:val="restart"/>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管理制度健全性</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9</w:t>
            </w:r>
          </w:p>
        </w:tc>
        <w:tc>
          <w:tcPr>
            <w:tcW w:w="5490" w:type="dxa"/>
            <w:gridSpan w:val="2"/>
            <w:vAlign w:val="center"/>
          </w:tcPr>
          <w:p>
            <w:pPr>
              <w:spacing w:line="280" w:lineRule="exact"/>
              <w:jc w:val="left"/>
              <w:rPr>
                <w:rFonts w:hint="eastAsia" w:ascii="仿宋" w:hAnsi="仿宋" w:eastAsia="仿宋"/>
                <w:kern w:val="0"/>
                <w:szCs w:val="21"/>
                <w:lang w:eastAsia="zh-CN"/>
              </w:rPr>
            </w:pPr>
            <w:r>
              <w:rPr>
                <w:rFonts w:hint="eastAsia" w:ascii="仿宋" w:hAnsi="仿宋" w:eastAsia="仿宋" w:cs="宋体"/>
                <w:kern w:val="0"/>
                <w:szCs w:val="21"/>
              </w:rPr>
              <w:t>①</w:t>
            </w:r>
            <w:r>
              <w:rPr>
                <w:rFonts w:hint="eastAsia" w:ascii="仿宋" w:hAnsi="仿宋" w:eastAsia="仿宋"/>
                <w:kern w:val="0"/>
                <w:szCs w:val="21"/>
              </w:rPr>
              <w:t>有内部财务管理制度、会计核算制度等管理制度，</w:t>
            </w:r>
            <w:r>
              <w:rPr>
                <w:rFonts w:ascii="仿宋" w:hAnsi="仿宋" w:eastAsia="仿宋"/>
                <w:kern w:val="0"/>
                <w:szCs w:val="21"/>
              </w:rPr>
              <w:t>2</w:t>
            </w:r>
            <w:r>
              <w:rPr>
                <w:rFonts w:hint="eastAsia" w:ascii="仿宋" w:hAnsi="仿宋" w:eastAsia="仿宋"/>
                <w:kern w:val="0"/>
                <w:szCs w:val="21"/>
              </w:rPr>
              <w:t>分；</w:t>
            </w:r>
          </w:p>
          <w:p>
            <w:pPr>
              <w:spacing w:line="280" w:lineRule="exact"/>
              <w:jc w:val="left"/>
              <w:rPr>
                <w:rFonts w:hint="eastAsia" w:ascii="仿宋" w:hAnsi="仿宋" w:eastAsia="仿宋"/>
                <w:kern w:val="0"/>
                <w:szCs w:val="21"/>
                <w:lang w:eastAsia="zh-CN"/>
              </w:rPr>
            </w:pPr>
            <w:r>
              <w:rPr>
                <w:rFonts w:hint="eastAsia" w:ascii="仿宋" w:hAnsi="仿宋" w:eastAsia="仿宋" w:cs="宋体"/>
                <w:kern w:val="0"/>
                <w:szCs w:val="21"/>
              </w:rPr>
              <w:t>②</w:t>
            </w:r>
            <w:r>
              <w:rPr>
                <w:rFonts w:hint="eastAsia" w:ascii="仿宋" w:hAnsi="仿宋" w:eastAsia="仿宋"/>
                <w:kern w:val="0"/>
                <w:szCs w:val="21"/>
              </w:rPr>
              <w:t>有本部门厉行节约制度</w:t>
            </w:r>
            <w:r>
              <w:rPr>
                <w:rFonts w:ascii="仿宋" w:hAnsi="仿宋" w:eastAsia="仿宋"/>
                <w:kern w:val="0"/>
                <w:szCs w:val="21"/>
              </w:rPr>
              <w:t>,2</w:t>
            </w:r>
            <w:r>
              <w:rPr>
                <w:rFonts w:hint="eastAsia" w:ascii="仿宋" w:hAnsi="仿宋" w:eastAsia="仿宋"/>
                <w:kern w:val="0"/>
                <w:szCs w:val="21"/>
              </w:rPr>
              <w:t>分；</w:t>
            </w:r>
          </w:p>
          <w:p>
            <w:pPr>
              <w:spacing w:line="280" w:lineRule="exact"/>
              <w:jc w:val="left"/>
              <w:rPr>
                <w:rFonts w:ascii="仿宋" w:hAnsi="仿宋" w:eastAsia="仿宋"/>
                <w:kern w:val="0"/>
                <w:szCs w:val="21"/>
              </w:rPr>
            </w:pPr>
            <w:r>
              <w:rPr>
                <w:rFonts w:hint="eastAsia" w:ascii="仿宋" w:hAnsi="仿宋" w:eastAsia="仿宋" w:cs="宋体"/>
                <w:kern w:val="0"/>
                <w:szCs w:val="21"/>
              </w:rPr>
              <w:t>③</w:t>
            </w:r>
            <w:r>
              <w:rPr>
                <w:rFonts w:hint="eastAsia" w:ascii="仿宋" w:hAnsi="仿宋" w:eastAsia="仿宋"/>
                <w:kern w:val="0"/>
                <w:szCs w:val="21"/>
              </w:rPr>
              <w:t>相关管理制度合法、合规、完整，</w:t>
            </w:r>
            <w:r>
              <w:rPr>
                <w:rFonts w:ascii="仿宋" w:hAnsi="仿宋" w:eastAsia="仿宋"/>
                <w:kern w:val="0"/>
                <w:szCs w:val="21"/>
              </w:rPr>
              <w:t>3</w:t>
            </w:r>
            <w:r>
              <w:rPr>
                <w:rFonts w:hint="eastAsia" w:ascii="仿宋" w:hAnsi="仿宋" w:eastAsia="仿宋"/>
                <w:kern w:val="0"/>
                <w:szCs w:val="21"/>
              </w:rPr>
              <w:t>分；</w:t>
            </w:r>
            <w:r>
              <w:rPr>
                <w:rFonts w:hint="eastAsia" w:ascii="仿宋" w:hAnsi="仿宋" w:eastAsia="仿宋" w:cs="宋体"/>
                <w:kern w:val="0"/>
                <w:szCs w:val="21"/>
              </w:rPr>
              <w:t>④</w:t>
            </w:r>
            <w:r>
              <w:rPr>
                <w:rFonts w:hint="eastAsia" w:ascii="仿宋" w:hAnsi="仿宋" w:eastAsia="仿宋"/>
                <w:kern w:val="0"/>
                <w:szCs w:val="21"/>
              </w:rPr>
              <w:t>相关管理制度得到有效执行，</w:t>
            </w:r>
            <w:r>
              <w:rPr>
                <w:rFonts w:ascii="仿宋" w:hAnsi="仿宋" w:eastAsia="仿宋"/>
                <w:kern w:val="0"/>
                <w:szCs w:val="21"/>
              </w:rPr>
              <w:t>2</w:t>
            </w:r>
            <w:r>
              <w:rPr>
                <w:rFonts w:hint="eastAsia" w:ascii="仿宋" w:hAnsi="仿宋" w:eastAsia="仿宋"/>
                <w:kern w:val="0"/>
                <w:szCs w:val="21"/>
              </w:rPr>
              <w:t>分。</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资金使用合规性</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c>
          <w:tcPr>
            <w:tcW w:w="5490" w:type="dxa"/>
            <w:gridSpan w:val="2"/>
            <w:vAlign w:val="center"/>
          </w:tcPr>
          <w:p>
            <w:pPr>
              <w:spacing w:line="280" w:lineRule="exact"/>
              <w:jc w:val="left"/>
              <w:rPr>
                <w:rFonts w:hint="eastAsia" w:ascii="仿宋" w:hAnsi="仿宋" w:eastAsia="仿宋"/>
                <w:kern w:val="0"/>
                <w:szCs w:val="21"/>
                <w:lang w:eastAsia="zh-CN"/>
              </w:rPr>
            </w:pPr>
            <w:r>
              <w:rPr>
                <w:rFonts w:hint="eastAsia" w:ascii="仿宋" w:hAnsi="仿宋" w:eastAsia="仿宋" w:cs="宋体"/>
                <w:kern w:val="0"/>
                <w:szCs w:val="21"/>
              </w:rPr>
              <w:t>①</w:t>
            </w:r>
            <w:r>
              <w:rPr>
                <w:rFonts w:hint="eastAsia" w:ascii="仿宋" w:hAnsi="仿宋" w:eastAsia="仿宋"/>
                <w:kern w:val="0"/>
                <w:szCs w:val="21"/>
              </w:rPr>
              <w:t>支出符合国家财经法规和财务管理制度规定以及有关专项资金管理办法的规定；</w:t>
            </w:r>
            <w:r>
              <w:rPr>
                <w:rFonts w:hint="eastAsia" w:ascii="仿宋" w:hAnsi="仿宋" w:eastAsia="仿宋" w:cs="宋体"/>
                <w:kern w:val="0"/>
                <w:szCs w:val="21"/>
              </w:rPr>
              <w:t>②</w:t>
            </w:r>
            <w:r>
              <w:rPr>
                <w:rFonts w:hint="eastAsia" w:ascii="仿宋" w:hAnsi="仿宋" w:eastAsia="仿宋"/>
                <w:kern w:val="0"/>
                <w:szCs w:val="21"/>
              </w:rPr>
              <w:t>资金拨付有完整的审批程序和手续；</w:t>
            </w:r>
            <w:r>
              <w:rPr>
                <w:rFonts w:hint="eastAsia" w:ascii="仿宋" w:hAnsi="仿宋" w:eastAsia="仿宋" w:cs="宋体"/>
                <w:kern w:val="0"/>
                <w:szCs w:val="21"/>
              </w:rPr>
              <w:t>③</w:t>
            </w:r>
            <w:r>
              <w:rPr>
                <w:rFonts w:hint="eastAsia" w:ascii="仿宋" w:hAnsi="仿宋" w:eastAsia="仿宋"/>
                <w:kern w:val="0"/>
                <w:szCs w:val="21"/>
              </w:rPr>
              <w:t>项目支出按规定经过评估论证；</w:t>
            </w:r>
            <w:r>
              <w:rPr>
                <w:rFonts w:hint="eastAsia" w:ascii="仿宋" w:hAnsi="仿宋" w:eastAsia="仿宋" w:cs="宋体"/>
                <w:kern w:val="0"/>
                <w:szCs w:val="21"/>
              </w:rPr>
              <w:t>④</w:t>
            </w:r>
            <w:r>
              <w:rPr>
                <w:rFonts w:hint="eastAsia" w:ascii="仿宋" w:hAnsi="仿宋" w:eastAsia="仿宋"/>
                <w:kern w:val="0"/>
                <w:szCs w:val="21"/>
              </w:rPr>
              <w:t>支出符合部门预算批复的用途；</w:t>
            </w:r>
            <w:r>
              <w:rPr>
                <w:rFonts w:hint="eastAsia" w:ascii="仿宋" w:hAnsi="仿宋" w:eastAsia="仿宋" w:cs="宋体"/>
                <w:kern w:val="0"/>
                <w:szCs w:val="21"/>
              </w:rPr>
              <w:t>⑤</w:t>
            </w:r>
            <w:r>
              <w:rPr>
                <w:rFonts w:hint="eastAsia" w:ascii="仿宋" w:hAnsi="仿宋" w:eastAsia="仿宋"/>
                <w:kern w:val="0"/>
                <w:szCs w:val="21"/>
              </w:rPr>
              <w:t>资金使用无截留、挤占、挪用、虚列支出等情况。</w:t>
            </w:r>
          </w:p>
          <w:p>
            <w:pPr>
              <w:spacing w:line="280" w:lineRule="exact"/>
              <w:jc w:val="left"/>
              <w:rPr>
                <w:rFonts w:ascii="仿宋" w:hAnsi="仿宋" w:eastAsia="仿宋"/>
                <w:kern w:val="0"/>
                <w:szCs w:val="21"/>
              </w:rPr>
            </w:pPr>
            <w:r>
              <w:rPr>
                <w:rFonts w:hint="eastAsia" w:ascii="仿宋" w:hAnsi="仿宋" w:eastAsia="仿宋"/>
                <w:kern w:val="0"/>
                <w:szCs w:val="21"/>
              </w:rPr>
              <w:t>以上情况每出现一例不符合要求的扣</w:t>
            </w:r>
            <w:r>
              <w:rPr>
                <w:rFonts w:ascii="仿宋" w:hAnsi="仿宋" w:eastAsia="仿宋"/>
                <w:kern w:val="0"/>
                <w:szCs w:val="21"/>
              </w:rPr>
              <w:t>1</w:t>
            </w:r>
            <w:r>
              <w:rPr>
                <w:rFonts w:hint="eastAsia" w:ascii="仿宋" w:hAnsi="仿宋" w:eastAsia="仿宋"/>
                <w:kern w:val="0"/>
                <w:szCs w:val="21"/>
              </w:rPr>
              <w:t>分，扣完为止。</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预决算信息公开性</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80" w:lineRule="exact"/>
              <w:jc w:val="left"/>
              <w:rPr>
                <w:rFonts w:ascii="仿宋" w:hAnsi="仿宋" w:eastAsia="仿宋"/>
                <w:kern w:val="0"/>
                <w:szCs w:val="21"/>
              </w:rPr>
            </w:pPr>
            <w:r>
              <w:rPr>
                <w:rFonts w:hint="eastAsia" w:ascii="仿宋" w:hAnsi="仿宋" w:eastAsia="仿宋" w:cs="宋体"/>
                <w:kern w:val="0"/>
                <w:szCs w:val="21"/>
              </w:rPr>
              <w:t>①</w:t>
            </w:r>
            <w:r>
              <w:rPr>
                <w:rFonts w:hint="eastAsia" w:ascii="仿宋" w:hAnsi="仿宋" w:eastAsia="仿宋"/>
                <w:kern w:val="0"/>
                <w:szCs w:val="21"/>
              </w:rPr>
              <w:t>按规定内容公开预决算信息，</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②</w:t>
            </w:r>
            <w:r>
              <w:rPr>
                <w:rFonts w:hint="eastAsia" w:ascii="仿宋" w:hAnsi="仿宋" w:eastAsia="仿宋"/>
                <w:kern w:val="0"/>
                <w:szCs w:val="21"/>
              </w:rPr>
              <w:t>按规定时限公开预决算信息，</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③</w:t>
            </w:r>
            <w:r>
              <w:rPr>
                <w:rFonts w:hint="eastAsia" w:ascii="仿宋" w:hAnsi="仿宋" w:eastAsia="仿宋"/>
                <w:kern w:val="0"/>
                <w:szCs w:val="21"/>
              </w:rPr>
              <w:t>基础数据信息和会计信息资料真实，</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④</w:t>
            </w:r>
            <w:r>
              <w:rPr>
                <w:rFonts w:hint="eastAsia" w:ascii="仿宋" w:hAnsi="仿宋" w:eastAsia="仿宋"/>
                <w:kern w:val="0"/>
                <w:szCs w:val="21"/>
              </w:rPr>
              <w:t>基础数据信息和会计信息资料完整，</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⑤</w:t>
            </w:r>
            <w:r>
              <w:rPr>
                <w:rFonts w:hint="eastAsia" w:ascii="仿宋" w:hAnsi="仿宋" w:eastAsia="仿宋"/>
                <w:kern w:val="0"/>
                <w:szCs w:val="21"/>
              </w:rPr>
              <w:t>基础数据信息和汇集信息资料准确，</w:t>
            </w:r>
            <w:r>
              <w:rPr>
                <w:rFonts w:ascii="仿宋" w:hAnsi="仿宋" w:eastAsia="仿宋"/>
                <w:kern w:val="0"/>
                <w:szCs w:val="21"/>
              </w:rPr>
              <w:t>1</w:t>
            </w:r>
            <w:r>
              <w:rPr>
                <w:rFonts w:hint="eastAsia" w:ascii="仿宋" w:hAnsi="仿宋" w:eastAsia="仿宋"/>
                <w:kern w:val="0"/>
                <w:szCs w:val="21"/>
              </w:rPr>
              <w:t>分。</w:t>
            </w:r>
          </w:p>
        </w:tc>
        <w:tc>
          <w:tcPr>
            <w:tcW w:w="3364"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预决算信息是指与部门预算、执行、决算、监督、绩效等管理相关的信息。</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产出及效率</w:t>
            </w:r>
          </w:p>
        </w:tc>
        <w:tc>
          <w:tcPr>
            <w:tcW w:w="400"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30</w:t>
            </w:r>
          </w:p>
        </w:tc>
        <w:tc>
          <w:tcPr>
            <w:tcW w:w="478"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职责履行</w:t>
            </w:r>
          </w:p>
        </w:tc>
        <w:tc>
          <w:tcPr>
            <w:tcW w:w="396" w:type="dxa"/>
            <w:vAlign w:val="center"/>
          </w:tcPr>
          <w:p>
            <w:pPr>
              <w:spacing w:line="280" w:lineRule="exact"/>
              <w:jc w:val="center"/>
              <w:rPr>
                <w:rFonts w:ascii="仿宋" w:hAnsi="仿宋" w:eastAsia="仿宋"/>
                <w:kern w:val="0"/>
                <w:szCs w:val="21"/>
              </w:rPr>
            </w:pPr>
            <w:r>
              <w:rPr>
                <w:rFonts w:ascii="仿宋" w:hAnsi="仿宋" w:eastAsia="仿宋"/>
                <w:kern w:val="0"/>
                <w:szCs w:val="21"/>
              </w:rPr>
              <w:t>8</w:t>
            </w: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重点工作实际完成率</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8</w:t>
            </w:r>
          </w:p>
        </w:tc>
        <w:tc>
          <w:tcPr>
            <w:tcW w:w="5490" w:type="dxa"/>
            <w:gridSpan w:val="2"/>
            <w:vAlign w:val="center"/>
          </w:tcPr>
          <w:p>
            <w:pPr>
              <w:spacing w:line="280" w:lineRule="exact"/>
              <w:jc w:val="left"/>
              <w:rPr>
                <w:rFonts w:hint="eastAsia" w:ascii="仿宋" w:hAnsi="仿宋" w:eastAsia="仿宋"/>
                <w:kern w:val="0"/>
                <w:szCs w:val="21"/>
                <w:lang w:eastAsia="zh-CN"/>
              </w:rPr>
            </w:pPr>
            <w:r>
              <w:rPr>
                <w:rFonts w:hint="eastAsia" w:ascii="仿宋" w:hAnsi="仿宋" w:eastAsia="仿宋"/>
                <w:kern w:val="0"/>
                <w:szCs w:val="21"/>
              </w:rPr>
              <w:t>根据绩效办</w:t>
            </w:r>
            <w:r>
              <w:rPr>
                <w:rFonts w:ascii="仿宋" w:hAnsi="仿宋" w:eastAsia="仿宋"/>
                <w:kern w:val="0"/>
                <w:szCs w:val="21"/>
              </w:rPr>
              <w:t>2019</w:t>
            </w:r>
            <w:r>
              <w:rPr>
                <w:rFonts w:hint="eastAsia" w:ascii="仿宋" w:hAnsi="仿宋" w:eastAsia="仿宋"/>
                <w:kern w:val="0"/>
                <w:szCs w:val="21"/>
              </w:rPr>
              <w:t>年对各单位为民办实事和单位重点工程与重点工作考核分数折算。</w:t>
            </w:r>
          </w:p>
          <w:p>
            <w:pPr>
              <w:spacing w:line="280" w:lineRule="exact"/>
              <w:jc w:val="left"/>
              <w:rPr>
                <w:rFonts w:ascii="仿宋" w:hAnsi="仿宋" w:eastAsia="仿宋"/>
                <w:kern w:val="0"/>
                <w:szCs w:val="21"/>
              </w:rPr>
            </w:pPr>
            <w:r>
              <w:rPr>
                <w:rFonts w:hint="eastAsia" w:ascii="仿宋" w:hAnsi="仿宋" w:eastAsia="仿宋"/>
                <w:kern w:val="0"/>
                <w:szCs w:val="21"/>
              </w:rPr>
              <w:t>该项得分</w:t>
            </w:r>
            <w:r>
              <w:rPr>
                <w:rFonts w:ascii="仿宋" w:hAnsi="仿宋" w:eastAsia="仿宋"/>
                <w:kern w:val="0"/>
                <w:szCs w:val="21"/>
              </w:rPr>
              <w:t>=</w:t>
            </w:r>
            <w:r>
              <w:rPr>
                <w:rFonts w:hint="eastAsia" w:ascii="仿宋" w:hAnsi="仿宋" w:eastAsia="仿宋"/>
                <w:kern w:val="0"/>
                <w:szCs w:val="21"/>
              </w:rPr>
              <w:t>（绩效办对应部分考核得分</w:t>
            </w:r>
            <w:r>
              <w:rPr>
                <w:rFonts w:ascii="仿宋" w:hAnsi="仿宋" w:eastAsia="仿宋"/>
                <w:kern w:val="0"/>
                <w:szCs w:val="21"/>
              </w:rPr>
              <w:t>/100</w:t>
            </w:r>
            <w:r>
              <w:rPr>
                <w:rFonts w:hint="eastAsia" w:ascii="仿宋" w:hAnsi="仿宋" w:eastAsia="仿宋"/>
                <w:kern w:val="0"/>
                <w:szCs w:val="21"/>
              </w:rPr>
              <w:t>）</w:t>
            </w:r>
            <w:r>
              <w:rPr>
                <w:rFonts w:ascii="仿宋" w:hAnsi="仿宋" w:eastAsia="仿宋"/>
                <w:kern w:val="0"/>
                <w:szCs w:val="21"/>
              </w:rPr>
              <w:t>*8</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履职效益</w:t>
            </w:r>
          </w:p>
        </w:tc>
        <w:tc>
          <w:tcPr>
            <w:tcW w:w="396"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10</w:t>
            </w: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经济</w:t>
            </w:r>
          </w:p>
          <w:p>
            <w:pPr>
              <w:spacing w:line="280" w:lineRule="exact"/>
              <w:jc w:val="center"/>
              <w:rPr>
                <w:rFonts w:ascii="仿宋" w:hAnsi="仿宋" w:eastAsia="仿宋"/>
                <w:kern w:val="0"/>
                <w:szCs w:val="21"/>
              </w:rPr>
            </w:pPr>
            <w:r>
              <w:rPr>
                <w:rFonts w:hint="eastAsia" w:ascii="仿宋" w:hAnsi="仿宋" w:eastAsia="仿宋"/>
                <w:kern w:val="0"/>
                <w:szCs w:val="21"/>
              </w:rPr>
              <w:t>效益</w:t>
            </w:r>
          </w:p>
        </w:tc>
        <w:tc>
          <w:tcPr>
            <w:tcW w:w="284"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10</w:t>
            </w:r>
          </w:p>
        </w:tc>
        <w:tc>
          <w:tcPr>
            <w:tcW w:w="5490" w:type="dxa"/>
            <w:gridSpan w:val="2"/>
            <w:vMerge w:val="restart"/>
            <w:vAlign w:val="center"/>
          </w:tcPr>
          <w:p>
            <w:pPr>
              <w:spacing w:line="280" w:lineRule="exact"/>
              <w:jc w:val="left"/>
              <w:rPr>
                <w:rFonts w:ascii="仿宋" w:hAnsi="仿宋" w:eastAsia="仿宋"/>
                <w:kern w:val="0"/>
                <w:szCs w:val="21"/>
              </w:rPr>
            </w:pPr>
            <w:r>
              <w:rPr>
                <w:rFonts w:hint="eastAsia" w:ascii="仿宋" w:hAnsi="仿宋" w:eastAsia="仿宋"/>
                <w:kern w:val="0"/>
                <w:szCs w:val="21"/>
              </w:rPr>
              <w:t>此两项指标为设置部门整体支出绩效评价指标时必须考虑的共性要素，可根据部门实际情况有选择的进行设置，并将其细化为相应的个性化指标。</w:t>
            </w:r>
          </w:p>
        </w:tc>
        <w:tc>
          <w:tcPr>
            <w:tcW w:w="498"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社会</w:t>
            </w:r>
          </w:p>
          <w:p>
            <w:pPr>
              <w:spacing w:line="280" w:lineRule="exact"/>
              <w:jc w:val="center"/>
              <w:rPr>
                <w:rFonts w:ascii="仿宋" w:hAnsi="仿宋" w:eastAsia="仿宋"/>
                <w:kern w:val="0"/>
                <w:szCs w:val="21"/>
              </w:rPr>
            </w:pPr>
            <w:r>
              <w:rPr>
                <w:rFonts w:hint="eastAsia" w:ascii="仿宋" w:hAnsi="仿宋" w:eastAsia="仿宋"/>
                <w:kern w:val="0"/>
                <w:szCs w:val="21"/>
              </w:rPr>
              <w:t>效益</w:t>
            </w:r>
          </w:p>
        </w:tc>
        <w:tc>
          <w:tcPr>
            <w:tcW w:w="284" w:type="dxa"/>
            <w:vMerge w:val="continue"/>
            <w:vAlign w:val="center"/>
          </w:tcPr>
          <w:p>
            <w:pPr>
              <w:spacing w:line="280" w:lineRule="exact"/>
              <w:jc w:val="left"/>
              <w:rPr>
                <w:rFonts w:ascii="仿宋" w:hAnsi="仿宋" w:eastAsia="仿宋"/>
                <w:kern w:val="0"/>
                <w:szCs w:val="21"/>
              </w:rPr>
            </w:pPr>
          </w:p>
        </w:tc>
        <w:tc>
          <w:tcPr>
            <w:tcW w:w="5490" w:type="dxa"/>
            <w:gridSpan w:val="2"/>
            <w:vMerge w:val="continue"/>
            <w:vAlign w:val="center"/>
          </w:tcPr>
          <w:p>
            <w:pPr>
              <w:spacing w:line="280" w:lineRule="exact"/>
              <w:jc w:val="left"/>
              <w:rPr>
                <w:rFonts w:ascii="仿宋" w:hAnsi="仿宋" w:eastAsia="仿宋"/>
                <w:kern w:val="0"/>
                <w:szCs w:val="21"/>
              </w:rPr>
            </w:pPr>
          </w:p>
        </w:tc>
        <w:tc>
          <w:tcPr>
            <w:tcW w:w="498" w:type="dxa"/>
            <w:vMerge w:val="continue"/>
            <w:vAlign w:val="center"/>
          </w:tcPr>
          <w:p>
            <w:pPr>
              <w:spacing w:line="280" w:lineRule="exact"/>
              <w:jc w:val="center"/>
              <w:rPr>
                <w:rFonts w:ascii="仿宋" w:hAnsi="仿宋" w:eastAsia="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12</w:t>
            </w: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行政</w:t>
            </w:r>
          </w:p>
          <w:p>
            <w:pPr>
              <w:spacing w:line="280" w:lineRule="exact"/>
              <w:jc w:val="center"/>
              <w:rPr>
                <w:rFonts w:ascii="仿宋" w:hAnsi="仿宋" w:eastAsia="仿宋"/>
                <w:kern w:val="0"/>
                <w:szCs w:val="21"/>
              </w:rPr>
            </w:pPr>
            <w:r>
              <w:rPr>
                <w:rFonts w:hint="eastAsia" w:ascii="仿宋" w:hAnsi="仿宋" w:eastAsia="仿宋"/>
                <w:kern w:val="0"/>
                <w:szCs w:val="21"/>
              </w:rPr>
              <w:t>效能</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c>
          <w:tcPr>
            <w:tcW w:w="2126"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促进部门改进文风会风，加强经费及资产管理，推动网上办事，提高行政效率，降低行政成本效果较好的计</w:t>
            </w:r>
            <w:r>
              <w:rPr>
                <w:rFonts w:ascii="仿宋" w:hAnsi="仿宋" w:eastAsia="仿宋"/>
                <w:kern w:val="0"/>
                <w:szCs w:val="21"/>
              </w:rPr>
              <w:t>6</w:t>
            </w:r>
            <w:r>
              <w:rPr>
                <w:rFonts w:hint="eastAsia" w:ascii="仿宋" w:hAnsi="仿宋" w:eastAsia="仿宋"/>
                <w:kern w:val="0"/>
                <w:szCs w:val="21"/>
              </w:rPr>
              <w:t>分；一般</w:t>
            </w:r>
            <w:r>
              <w:rPr>
                <w:rFonts w:ascii="仿宋" w:hAnsi="仿宋" w:eastAsia="仿宋"/>
                <w:kern w:val="0"/>
                <w:szCs w:val="21"/>
              </w:rPr>
              <w:t>3</w:t>
            </w:r>
            <w:r>
              <w:rPr>
                <w:rFonts w:hint="eastAsia" w:ascii="仿宋" w:hAnsi="仿宋" w:eastAsia="仿宋"/>
                <w:kern w:val="0"/>
                <w:szCs w:val="21"/>
              </w:rPr>
              <w:t>分；无效果或者效果不明显</w:t>
            </w:r>
            <w:r>
              <w:rPr>
                <w:rFonts w:ascii="仿宋" w:hAnsi="仿宋" w:eastAsia="仿宋"/>
                <w:kern w:val="0"/>
                <w:szCs w:val="21"/>
              </w:rPr>
              <w:t>0</w:t>
            </w:r>
            <w:r>
              <w:rPr>
                <w:rFonts w:hint="eastAsia" w:ascii="仿宋" w:hAnsi="仿宋" w:eastAsia="仿宋"/>
                <w:kern w:val="0"/>
                <w:szCs w:val="21"/>
              </w:rPr>
              <w:t>分。</w:t>
            </w:r>
          </w:p>
        </w:tc>
        <w:tc>
          <w:tcPr>
            <w:tcW w:w="3364"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根据部门自评材料评定。</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社会公众或服务对象满意度</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c>
          <w:tcPr>
            <w:tcW w:w="2126" w:type="dxa"/>
            <w:vAlign w:val="center"/>
          </w:tcPr>
          <w:p>
            <w:pPr>
              <w:spacing w:line="280" w:lineRule="exact"/>
              <w:jc w:val="left"/>
              <w:rPr>
                <w:rFonts w:hint="eastAsia" w:ascii="仿宋" w:hAnsi="仿宋" w:eastAsia="仿宋"/>
                <w:kern w:val="0"/>
                <w:szCs w:val="21"/>
                <w:lang w:eastAsia="zh-CN"/>
              </w:rPr>
            </w:pPr>
            <w:r>
              <w:rPr>
                <w:rFonts w:ascii="仿宋" w:hAnsi="仿宋" w:eastAsia="仿宋"/>
                <w:kern w:val="0"/>
                <w:szCs w:val="21"/>
              </w:rPr>
              <w:t>90%</w:t>
            </w:r>
            <w:r>
              <w:rPr>
                <w:rFonts w:hint="eastAsia" w:ascii="仿宋" w:hAnsi="仿宋" w:eastAsia="仿宋"/>
                <w:kern w:val="0"/>
                <w:szCs w:val="21"/>
              </w:rPr>
              <w:t>（含）以上计</w:t>
            </w:r>
            <w:r>
              <w:rPr>
                <w:rFonts w:ascii="仿宋" w:hAnsi="仿宋" w:eastAsia="仿宋"/>
                <w:kern w:val="0"/>
                <w:szCs w:val="21"/>
              </w:rPr>
              <w:t>6</w:t>
            </w:r>
            <w:r>
              <w:rPr>
                <w:rFonts w:hint="eastAsia" w:ascii="仿宋" w:hAnsi="仿宋" w:eastAsia="仿宋"/>
                <w:kern w:val="0"/>
                <w:szCs w:val="21"/>
              </w:rPr>
              <w:t>分；</w:t>
            </w:r>
          </w:p>
          <w:p>
            <w:pPr>
              <w:spacing w:line="280" w:lineRule="exact"/>
              <w:jc w:val="left"/>
              <w:rPr>
                <w:rFonts w:ascii="仿宋" w:hAnsi="仿宋" w:eastAsia="仿宋"/>
                <w:kern w:val="0"/>
                <w:szCs w:val="21"/>
              </w:rPr>
            </w:pPr>
            <w:r>
              <w:rPr>
                <w:rFonts w:ascii="仿宋" w:hAnsi="仿宋" w:eastAsia="仿宋"/>
                <w:kern w:val="0"/>
                <w:szCs w:val="21"/>
              </w:rPr>
              <w:t>80%</w:t>
            </w:r>
            <w:r>
              <w:rPr>
                <w:rFonts w:hint="eastAsia" w:ascii="仿宋" w:hAnsi="仿宋" w:eastAsia="仿宋"/>
                <w:kern w:val="0"/>
                <w:szCs w:val="21"/>
              </w:rPr>
              <w:t>（含）</w:t>
            </w:r>
            <w:r>
              <w:rPr>
                <w:rFonts w:ascii="仿宋" w:hAnsi="仿宋" w:eastAsia="仿宋"/>
                <w:kern w:val="0"/>
                <w:szCs w:val="21"/>
              </w:rPr>
              <w:t>-90%</w:t>
            </w:r>
            <w:r>
              <w:rPr>
                <w:rFonts w:hint="eastAsia" w:ascii="仿宋" w:hAnsi="仿宋" w:eastAsia="仿宋"/>
                <w:kern w:val="0"/>
                <w:szCs w:val="21"/>
              </w:rPr>
              <w:t>，计</w:t>
            </w:r>
            <w:r>
              <w:rPr>
                <w:rFonts w:ascii="仿宋" w:hAnsi="仿宋" w:eastAsia="仿宋"/>
                <w:kern w:val="0"/>
                <w:szCs w:val="21"/>
              </w:rPr>
              <w:t>4</w:t>
            </w:r>
            <w:r>
              <w:rPr>
                <w:rFonts w:hint="eastAsia" w:ascii="仿宋" w:hAnsi="仿宋" w:eastAsia="仿宋"/>
                <w:kern w:val="0"/>
                <w:szCs w:val="21"/>
              </w:rPr>
              <w:t>分；</w:t>
            </w:r>
            <w:r>
              <w:rPr>
                <w:rFonts w:ascii="仿宋" w:hAnsi="仿宋" w:eastAsia="仿宋"/>
                <w:kern w:val="0"/>
                <w:szCs w:val="21"/>
              </w:rPr>
              <w:t xml:space="preserve"> 70%</w:t>
            </w:r>
            <w:r>
              <w:rPr>
                <w:rFonts w:hint="eastAsia" w:ascii="仿宋" w:hAnsi="仿宋" w:eastAsia="仿宋"/>
                <w:kern w:val="0"/>
                <w:szCs w:val="21"/>
              </w:rPr>
              <w:t>（含）</w:t>
            </w:r>
            <w:r>
              <w:rPr>
                <w:rFonts w:ascii="仿宋" w:hAnsi="仿宋" w:eastAsia="仿宋"/>
                <w:kern w:val="0"/>
                <w:szCs w:val="21"/>
              </w:rPr>
              <w:t>-80%</w:t>
            </w:r>
            <w:r>
              <w:rPr>
                <w:rFonts w:hint="eastAsia" w:ascii="仿宋" w:hAnsi="仿宋" w:eastAsia="仿宋"/>
                <w:kern w:val="0"/>
                <w:szCs w:val="21"/>
              </w:rPr>
              <w:t>，计</w:t>
            </w:r>
            <w:r>
              <w:rPr>
                <w:rFonts w:ascii="仿宋" w:hAnsi="仿宋" w:eastAsia="仿宋"/>
                <w:kern w:val="0"/>
                <w:szCs w:val="21"/>
              </w:rPr>
              <w:t>2</w:t>
            </w:r>
            <w:r>
              <w:rPr>
                <w:rFonts w:hint="eastAsia" w:ascii="仿宋" w:hAnsi="仿宋" w:eastAsia="仿宋"/>
                <w:kern w:val="0"/>
                <w:szCs w:val="21"/>
              </w:rPr>
              <w:t>分；低于</w:t>
            </w:r>
            <w:r>
              <w:rPr>
                <w:rFonts w:ascii="仿宋" w:hAnsi="仿宋" w:eastAsia="仿宋"/>
                <w:kern w:val="0"/>
                <w:szCs w:val="21"/>
              </w:rPr>
              <w:t>70%</w:t>
            </w:r>
            <w:r>
              <w:rPr>
                <w:rFonts w:hint="eastAsia" w:ascii="仿宋" w:hAnsi="仿宋" w:eastAsia="仿宋"/>
                <w:kern w:val="0"/>
                <w:szCs w:val="21"/>
              </w:rPr>
              <w:t>计</w:t>
            </w:r>
            <w:r>
              <w:rPr>
                <w:rFonts w:ascii="仿宋" w:hAnsi="仿宋" w:eastAsia="仿宋"/>
                <w:kern w:val="0"/>
                <w:szCs w:val="21"/>
              </w:rPr>
              <w:t>0</w:t>
            </w:r>
            <w:r>
              <w:rPr>
                <w:rFonts w:hint="eastAsia" w:ascii="仿宋" w:hAnsi="仿宋" w:eastAsia="仿宋"/>
                <w:kern w:val="0"/>
                <w:szCs w:val="21"/>
              </w:rPr>
              <w:t>分。</w:t>
            </w:r>
          </w:p>
        </w:tc>
        <w:tc>
          <w:tcPr>
            <w:tcW w:w="3364"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社会公众或服务对象是指部门（单位）履行职责而影响到的部门、群体或个人，一般采取社会调查的方式。</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总分</w:t>
            </w:r>
          </w:p>
        </w:tc>
        <w:tc>
          <w:tcPr>
            <w:tcW w:w="400" w:type="dxa"/>
            <w:tcBorders>
              <w:bottom w:val="single" w:color="auto" w:sz="12" w:space="0"/>
            </w:tcBorders>
            <w:vAlign w:val="center"/>
          </w:tcPr>
          <w:p>
            <w:pPr>
              <w:spacing w:line="280" w:lineRule="exact"/>
              <w:jc w:val="center"/>
              <w:rPr>
                <w:rFonts w:ascii="仿宋" w:hAnsi="仿宋" w:eastAsia="仿宋"/>
                <w:kern w:val="0"/>
                <w:szCs w:val="21"/>
              </w:rPr>
            </w:pPr>
            <w:r>
              <w:rPr>
                <w:rFonts w:ascii="仿宋" w:hAnsi="仿宋" w:eastAsia="仿宋"/>
                <w:kern w:val="0"/>
                <w:szCs w:val="21"/>
              </w:rPr>
              <w:t>100</w:t>
            </w:r>
          </w:p>
        </w:tc>
        <w:tc>
          <w:tcPr>
            <w:tcW w:w="478" w:type="dxa"/>
            <w:tcBorders>
              <w:bottom w:val="single" w:color="auto" w:sz="12" w:space="0"/>
            </w:tcBorders>
            <w:vAlign w:val="center"/>
          </w:tcPr>
          <w:p>
            <w:pPr>
              <w:spacing w:line="280" w:lineRule="exact"/>
              <w:jc w:val="center"/>
              <w:rPr>
                <w:rFonts w:ascii="仿宋" w:hAnsi="仿宋" w:eastAsia="仿宋"/>
                <w:kern w:val="0"/>
                <w:szCs w:val="21"/>
              </w:rPr>
            </w:pPr>
          </w:p>
        </w:tc>
        <w:tc>
          <w:tcPr>
            <w:tcW w:w="396" w:type="dxa"/>
            <w:tcBorders>
              <w:bottom w:val="single" w:color="auto" w:sz="12" w:space="0"/>
            </w:tcBorders>
            <w:vAlign w:val="center"/>
          </w:tcPr>
          <w:p>
            <w:pPr>
              <w:spacing w:line="280" w:lineRule="exact"/>
              <w:jc w:val="center"/>
              <w:rPr>
                <w:rFonts w:ascii="仿宋" w:hAnsi="仿宋" w:eastAsia="仿宋"/>
                <w:kern w:val="0"/>
                <w:szCs w:val="21"/>
              </w:rPr>
            </w:pPr>
            <w:r>
              <w:rPr>
                <w:rFonts w:ascii="仿宋" w:hAnsi="仿宋" w:eastAsia="仿宋"/>
                <w:kern w:val="0"/>
                <w:szCs w:val="21"/>
              </w:rPr>
              <w:t>100</w:t>
            </w:r>
          </w:p>
        </w:tc>
        <w:tc>
          <w:tcPr>
            <w:tcW w:w="992" w:type="dxa"/>
            <w:tcBorders>
              <w:bottom w:val="single" w:color="auto" w:sz="12" w:space="0"/>
            </w:tcBorders>
            <w:vAlign w:val="center"/>
          </w:tcPr>
          <w:p>
            <w:pPr>
              <w:spacing w:line="280" w:lineRule="exact"/>
              <w:jc w:val="center"/>
              <w:rPr>
                <w:rFonts w:ascii="仿宋" w:hAnsi="仿宋" w:eastAsia="仿宋"/>
                <w:kern w:val="0"/>
                <w:szCs w:val="21"/>
              </w:rPr>
            </w:pPr>
          </w:p>
        </w:tc>
        <w:tc>
          <w:tcPr>
            <w:tcW w:w="284" w:type="dxa"/>
            <w:tcBorders>
              <w:bottom w:val="single" w:color="auto" w:sz="12" w:space="0"/>
            </w:tcBorders>
            <w:vAlign w:val="center"/>
          </w:tcPr>
          <w:p>
            <w:pPr>
              <w:spacing w:line="280" w:lineRule="exact"/>
              <w:jc w:val="center"/>
              <w:rPr>
                <w:rFonts w:ascii="仿宋" w:hAnsi="仿宋" w:eastAsia="仿宋"/>
                <w:kern w:val="0"/>
                <w:szCs w:val="21"/>
              </w:rPr>
            </w:pPr>
          </w:p>
        </w:tc>
        <w:tc>
          <w:tcPr>
            <w:tcW w:w="2126" w:type="dxa"/>
            <w:tcBorders>
              <w:bottom w:val="single" w:color="auto" w:sz="12" w:space="0"/>
            </w:tcBorders>
            <w:vAlign w:val="center"/>
          </w:tcPr>
          <w:p>
            <w:pPr>
              <w:spacing w:line="280" w:lineRule="exact"/>
              <w:jc w:val="center"/>
              <w:rPr>
                <w:rFonts w:ascii="仿宋" w:hAnsi="仿宋" w:eastAsia="仿宋"/>
                <w:kern w:val="0"/>
                <w:szCs w:val="21"/>
              </w:rPr>
            </w:pPr>
          </w:p>
        </w:tc>
        <w:tc>
          <w:tcPr>
            <w:tcW w:w="3364" w:type="dxa"/>
            <w:tcBorders>
              <w:bottom w:val="single" w:color="auto" w:sz="12" w:space="0"/>
            </w:tcBorders>
            <w:vAlign w:val="center"/>
          </w:tcPr>
          <w:p>
            <w:pPr>
              <w:spacing w:line="280" w:lineRule="exact"/>
              <w:jc w:val="center"/>
              <w:rPr>
                <w:rFonts w:ascii="仿宋" w:hAnsi="仿宋" w:eastAsia="仿宋"/>
                <w:kern w:val="0"/>
                <w:szCs w:val="21"/>
              </w:rPr>
            </w:pPr>
          </w:p>
        </w:tc>
        <w:tc>
          <w:tcPr>
            <w:tcW w:w="498" w:type="dxa"/>
            <w:tcBorders>
              <w:bottom w:val="single" w:color="auto" w:sz="12" w:space="0"/>
            </w:tcBorders>
            <w:vAlign w:val="center"/>
          </w:tcPr>
          <w:p>
            <w:pPr>
              <w:spacing w:line="280" w:lineRule="exact"/>
              <w:jc w:val="center"/>
              <w:rPr>
                <w:rFonts w:ascii="仿宋" w:hAnsi="仿宋" w:eastAsia="仿宋"/>
                <w:kern w:val="0"/>
                <w:szCs w:val="21"/>
              </w:rPr>
            </w:pPr>
            <w:r>
              <w:rPr>
                <w:rFonts w:ascii="仿宋" w:hAnsi="仿宋" w:eastAsia="仿宋"/>
                <w:kern w:val="0"/>
                <w:szCs w:val="21"/>
              </w:rPr>
              <w:t>94</w:t>
            </w:r>
          </w:p>
        </w:tc>
      </w:tr>
    </w:tbl>
    <w:p>
      <w:pPr>
        <w:spacing w:line="600" w:lineRule="exact"/>
        <w:ind w:firstLine="4480" w:firstLineChars="1400"/>
        <w:jc w:val="left"/>
        <w:rPr>
          <w:rFonts w:ascii="Times New Roman" w:hAnsi="Times New Roman" w:eastAsia="仿宋_GB2312"/>
          <w:sz w:val="32"/>
          <w:szCs w:val="32"/>
        </w:rPr>
      </w:pPr>
    </w:p>
    <w:p/>
    <w:sectPr>
      <w:footerReference r:id="rId6" w:type="first"/>
      <w:headerReference r:id="rId3" w:type="default"/>
      <w:footerReference r:id="rId4" w:type="default"/>
      <w:footerReference r:id="rId5" w:type="even"/>
      <w:pgSz w:w="11906" w:h="16838"/>
      <w:pgMar w:top="1701" w:right="1531" w:bottom="1417" w:left="1531"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sz w:val="28"/>
        <w:szCs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jc w:val="right"/>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PAGE   \* MERGEFORMAT</w:instrText>
                          </w:r>
                          <w:r>
                            <w:rPr>
                              <w:rFonts w:ascii="Times New Roman" w:hAnsi="Times New Roman" w:eastAsia="仿宋_GB2312"/>
                              <w:sz w:val="28"/>
                              <w:szCs w:val="28"/>
                            </w:rPr>
                            <w:fldChar w:fldCharType="separate"/>
                          </w:r>
                          <w:r>
                            <w:rPr>
                              <w:rFonts w:ascii="Times New Roman" w:hAnsi="Times New Roman" w:eastAsia="仿宋_GB2312"/>
                              <w:sz w:val="28"/>
                              <w:szCs w:val="28"/>
                              <w:lang w:val="zh-CN"/>
                            </w:rPr>
                            <w:t>9</w:t>
                          </w:r>
                          <w:r>
                            <w:rPr>
                              <w:rFonts w:ascii="Times New Roman" w:hAnsi="Times New Roman" w:eastAsia="仿宋_GB2312"/>
                              <w:sz w:val="28"/>
                              <w:szCs w:val="28"/>
                            </w:rPr>
                            <w:fldChar w:fldCharType="end"/>
                          </w:r>
                          <w:r>
                            <w:rPr>
                              <w:rFonts w:ascii="Times New Roman" w:hAnsi="Times New Roman" w:eastAsia="仿宋_GB2312"/>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2"/>
                      <w:jc w:val="right"/>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PAGE   \* MERGEFORMAT</w:instrText>
                    </w:r>
                    <w:r>
                      <w:rPr>
                        <w:rFonts w:ascii="Times New Roman" w:hAnsi="Times New Roman" w:eastAsia="仿宋_GB2312"/>
                        <w:sz w:val="28"/>
                        <w:szCs w:val="28"/>
                      </w:rPr>
                      <w:fldChar w:fldCharType="separate"/>
                    </w:r>
                    <w:r>
                      <w:rPr>
                        <w:rFonts w:ascii="Times New Roman" w:hAnsi="Times New Roman" w:eastAsia="仿宋_GB2312"/>
                        <w:sz w:val="28"/>
                        <w:szCs w:val="28"/>
                        <w:lang w:val="zh-CN"/>
                      </w:rPr>
                      <w:t>9</w:t>
                    </w:r>
                    <w:r>
                      <w:rPr>
                        <w:rFonts w:ascii="Times New Roman" w:hAnsi="Times New Roman" w:eastAsia="仿宋_GB2312"/>
                        <w:sz w:val="28"/>
                        <w:szCs w:val="28"/>
                      </w:rPr>
                      <w:fldChar w:fldCharType="end"/>
                    </w:r>
                    <w:r>
                      <w:rPr>
                        <w:rFonts w:ascii="Times New Roman" w:hAnsi="Times New Roman" w:eastAsia="仿宋_GB2312"/>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280" w:firstLineChars="100"/>
      <w:rPr>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 PAGE </w:instrText>
    </w:r>
    <w:r>
      <w:rPr>
        <w:rStyle w:val="7"/>
        <w:rFonts w:ascii="宋体" w:hAnsi="宋体"/>
        <w:sz w:val="28"/>
        <w:szCs w:val="28"/>
      </w:rPr>
      <w:fldChar w:fldCharType="separate"/>
    </w:r>
    <w:r>
      <w:rPr>
        <w:rStyle w:val="7"/>
        <w:rFonts w:ascii="宋体" w:hAnsi="宋体"/>
        <w:sz w:val="28"/>
        <w:szCs w:val="28"/>
      </w:rPr>
      <w:t>- 4 -</w:t>
    </w:r>
    <w:r>
      <w:rPr>
        <w:rStyle w:val="7"/>
        <w:rFonts w:ascii="宋体" w:hAnsi="宋体"/>
        <w:sz w:val="28"/>
        <w:szCs w:val="28"/>
      </w:rPr>
      <w:fldChar w:fldCharType="end"/>
    </w:r>
  </w:p>
  <w:p>
    <w:pPr>
      <w:rPr>
        <w:rFonts w:asci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JASfbSAQAAogMAAA4AAABkcnMvZTJvRG9jLnhtbK1TS27bMBDdF8gd&#10;CO5jySoaGILpoIWRIEDRFkhzAJqiLAL8gUNb8gXaG3TVTfc9l8/RISU5RbrJohtqhjN8M+/NaH07&#10;GE2OMoByltHloqREWuEaZfeMPn29u15RApHbhmtnJaMnCfR2c/Vm3ftaVq5zupGBIIiFuveMdjH6&#10;uihAdNJwWDgvLQZbFwyP6IZ90QTeI7rRRVWWN0XvQuODExIAb7djkE6I4TWArm2VkFsnDkbaOKIG&#10;qXlEStApD3STu21bKeLntgUZiWYUmcZ8YhG0d+ksNmte7wP3nRJTC/w1LbzgZLiyWPQCteWRk0NQ&#10;/0AZJYID18aFcKYYiWRFkMWyfKHNY8e9zFxQavAX0eH/wYpPxy+BqIbRihLLDQ78/OP7+efv869v&#10;pEry9B5qzHr0mBeHD27ApZnvAS8T66ENJn2RD8E4inu6iCuHSER6tKpWqxJDAmOzg/jF83MfIN5L&#10;Z0gyGA04vSwqP36EOKbOKamadXdK6zxBbUnP6M3bd2V+cIkguLZYI5EYm01WHHbDxGznmhMS63ED&#10;GLW48JToB4sCp2WZjTAbu9k4+KD2Hfa4zPXAvz9E7CY3mSqMsFNhHF2mOa1Z2o2//Zz1/Gtt/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0kBJ9tIBAACiAwAADgAAAAAAAAABACAAAAAfAQAA&#10;ZHJzL2Uyb0RvYy54bWxQSwUGAAAAAAYABgBZAQAAYwUAAAAA&#10;">
              <v:fill on="f" focussize="0,0"/>
              <v:stroke on="f" weight="0.5pt"/>
              <v:imagedata o:title=""/>
              <o:lock v:ext="edit" aspectratio="f"/>
              <v:textbox inset="0mm,0mm,0mm,0mm" style="mso-fit-shape-to-text:t;">
                <w:txbxContent>
                  <w:p>
                    <w:pPr>
                      <w:pStyle w:val="2"/>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9E"/>
    <w:rsid w:val="00023694"/>
    <w:rsid w:val="00034DD9"/>
    <w:rsid w:val="000627A8"/>
    <w:rsid w:val="001375EB"/>
    <w:rsid w:val="002027F2"/>
    <w:rsid w:val="00206C56"/>
    <w:rsid w:val="00275123"/>
    <w:rsid w:val="00383DA5"/>
    <w:rsid w:val="00391BD6"/>
    <w:rsid w:val="003B1CAF"/>
    <w:rsid w:val="003D09C6"/>
    <w:rsid w:val="0040445A"/>
    <w:rsid w:val="00411AB2"/>
    <w:rsid w:val="00453991"/>
    <w:rsid w:val="00460874"/>
    <w:rsid w:val="004D1D47"/>
    <w:rsid w:val="006F0942"/>
    <w:rsid w:val="00787ED0"/>
    <w:rsid w:val="0087126C"/>
    <w:rsid w:val="00995F1B"/>
    <w:rsid w:val="0099689E"/>
    <w:rsid w:val="00A53823"/>
    <w:rsid w:val="00D415E5"/>
    <w:rsid w:val="00D6208E"/>
    <w:rsid w:val="00D668C3"/>
    <w:rsid w:val="00E3230F"/>
    <w:rsid w:val="00E86127"/>
    <w:rsid w:val="00F02EBE"/>
    <w:rsid w:val="00F9417E"/>
    <w:rsid w:val="00FE378D"/>
    <w:rsid w:val="67DE526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uiPriority w:val="99"/>
    <w:rPr>
      <w:rFonts w:cs="Times New Roman"/>
    </w:rPr>
  </w:style>
  <w:style w:type="character" w:customStyle="1" w:styleId="8">
    <w:name w:val="Header Char"/>
    <w:basedOn w:val="6"/>
    <w:link w:val="3"/>
    <w:locked/>
    <w:uiPriority w:val="99"/>
    <w:rPr>
      <w:rFonts w:cs="Times New Roman"/>
      <w:sz w:val="18"/>
      <w:szCs w:val="18"/>
    </w:rPr>
  </w:style>
  <w:style w:type="character" w:customStyle="1" w:styleId="9">
    <w:name w:val="Footer Char"/>
    <w:basedOn w:val="6"/>
    <w:link w:val="2"/>
    <w:locked/>
    <w:uiPriority w:val="99"/>
    <w:rPr>
      <w:rFonts w:cs="Times New Roman"/>
      <w:sz w:val="18"/>
      <w:szCs w:val="18"/>
    </w:rPr>
  </w:style>
  <w:style w:type="paragraph" w:customStyle="1" w:styleId="10">
    <w:name w:val="Defaul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9</Pages>
  <Words>4537</Words>
  <Characters>4889</Characters>
  <Lines>0</Lines>
  <Paragraphs>0</Paragraphs>
  <TotalTime>77</TotalTime>
  <ScaleCrop>false</ScaleCrop>
  <LinksUpToDate>false</LinksUpToDate>
  <CharactersWithSpaces>4903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2021-10-14T09:20:00Z</dcterms:created>
  <dc:creator>microsoft</dc:creator>
  <cp:lastModifiedBy>Administrator</cp:lastModifiedBy>
  <dcterms:modified xsi:type="dcterms:W3CDTF">2022-10-21T09:11:36Z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A432FDBB68CE4E87AD74FF17F3CC8FBD</vt:lpwstr>
  </property>
</Properties>
</file>