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2" w:afterAutospacing="0"/>
        <w:jc w:val="center"/>
        <w:rPr>
          <w:rFonts w:hint="default" w:ascii="等线" w:hAnsi="等线" w:eastAsia="等线" w:cs="Times New Roman"/>
          <w:kern w:val="2"/>
          <w:sz w:val="21"/>
          <w:szCs w:val="21"/>
        </w:rPr>
      </w:pPr>
      <w:r>
        <w:rPr>
          <w:rFonts w:hint="eastAsia" w:ascii="宋体" w:hAnsi="宋体" w:eastAsia="宋体" w:cs="宋体"/>
          <w:color w:val="000000"/>
          <w:kern w:val="2"/>
          <w:sz w:val="44"/>
          <w:szCs w:val="44"/>
        </w:rPr>
        <w:t>2021年度浏阳市荷花街道办事处部门决算</w:t>
      </w:r>
      <w:r>
        <w:rPr>
          <w:rFonts w:hint="default" w:ascii="等线" w:hAnsi="等线" w:eastAsia="等线" w:cs="Times New Roman"/>
          <w:color w:val="000000"/>
          <w:kern w:val="2"/>
          <w:sz w:val="21"/>
          <w:szCs w:val="21"/>
        </w:rPr>
        <w:t xml:space="preserve"> </w:t>
      </w:r>
    </w:p>
    <w:p>
      <w:pPr>
        <w:spacing w:before="0" w:beforeAutospacing="0" w:after="2" w:afterAutospacing="0"/>
        <w:jc w:val="center"/>
        <w:rPr>
          <w:rFonts w:hint="default" w:ascii="等线" w:hAnsi="等线" w:eastAsia="等线" w:cs="Times New Roman"/>
          <w:kern w:val="2"/>
          <w:sz w:val="21"/>
          <w:szCs w:val="21"/>
        </w:rPr>
      </w:pPr>
      <w:r>
        <w:rPr>
          <w:rFonts w:hint="default" w:ascii="等线" w:hAnsi="等线" w:eastAsia="等线" w:cs="Times New Roman"/>
          <w:color w:val="000000"/>
          <w:kern w:val="2"/>
          <w:sz w:val="32"/>
          <w:szCs w:val="32"/>
        </w:rPr>
        <w:t xml:space="preserve"> </w:t>
      </w:r>
      <w:r>
        <w:rPr>
          <w:rFonts w:hint="default" w:ascii="等线" w:hAnsi="等线" w:eastAsia="等线" w:cs="Times New Roman"/>
          <w:color w:val="000000"/>
          <w:kern w:val="2"/>
          <w:sz w:val="21"/>
          <w:szCs w:val="21"/>
        </w:rPr>
        <w:t xml:space="preserve"> </w:t>
      </w:r>
    </w:p>
    <w:p>
      <w:pPr>
        <w:spacing w:before="0" w:beforeAutospacing="0" w:after="2" w:afterAutospacing="0"/>
        <w:jc w:val="center"/>
        <w:rPr>
          <w:rFonts w:hint="eastAsia" w:ascii="宋体" w:hAnsi="宋体" w:eastAsia="宋体" w:cs="宋体"/>
          <w:kern w:val="2"/>
          <w:sz w:val="21"/>
          <w:szCs w:val="21"/>
        </w:rPr>
      </w:pPr>
      <w:r>
        <w:rPr>
          <w:rFonts w:hint="eastAsia" w:ascii="宋体" w:hAnsi="宋体" w:eastAsia="宋体" w:cs="宋体"/>
          <w:color w:val="000000"/>
          <w:kern w:val="2"/>
          <w:sz w:val="32"/>
          <w:szCs w:val="32"/>
        </w:rPr>
        <w:t>目 录</w:t>
      </w:r>
      <w:r>
        <w:rPr>
          <w:rFonts w:hint="eastAsia" w:ascii="宋体" w:hAnsi="宋体" w:eastAsia="宋体" w:cs="宋体"/>
          <w:color w:val="000000"/>
          <w:kern w:val="2"/>
          <w:sz w:val="21"/>
          <w:szCs w:val="21"/>
        </w:rPr>
        <w:t xml:space="preserve"> </w:t>
      </w:r>
    </w:p>
    <w:p>
      <w:pPr>
        <w:spacing w:before="0" w:beforeAutospacing="0" w:after="2" w:afterAutospacing="0"/>
        <w:jc w:val="cente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第一部分 浏阳市荷花街道办事处概况</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一、部门职责</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二、机构设置</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第二部分 2021年度部门决算表</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一、收入支出决算总表</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二、收入决算表</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三、支出决算表</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四、财政拨款收入支出决算总表</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五、一般公共预算财政拨款支出决算表</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六、一般公共预算财政拨款基本支出决算明细表</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七、一般公共预算财政拨款“三公”经费支出决算表</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八、政府性基金预算财政拨款收入支出决算表</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九、国有资本经营预算财政拨款支出决算表</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b/>
          <w:color w:val="000000"/>
          <w:kern w:val="2"/>
          <w:sz w:val="32"/>
          <w:szCs w:val="32"/>
        </w:rPr>
        <w:t>第三部分 2021年度部门决算情况说明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一、收入支出决算总体情况说明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二、收入决算情况说明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三、支出决算情况说明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四、财政拨款收入支出决算总体情况说明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五、一般公共预算财政拨款支出决算情况说明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六、一般公共预算财政拨款基本支出决算情况说明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七、一般公共预算财政拨款三公经费支出决算情况说明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八、政府性基金预算收入支出决算情况</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九、国有资本经营预算收入支出决算情况说明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十、关于机关运行经费支出说明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十一、一般性支出情况</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十二、关于政府采购支出说明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十三、关于国有资产占用情况说明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十四、关于2021年度预算绩效情况的说明</w:t>
      </w:r>
      <w:r>
        <w:rPr>
          <w:rFonts w:hint="default" w:ascii="等线" w:hAnsi="等线" w:eastAsia="等线" w:cs="Times New Roman"/>
          <w:color w:val="000000"/>
          <w:kern w:val="2"/>
          <w:sz w:val="21"/>
          <w:szCs w:val="21"/>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第四部分 名词解释</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第五部分 附件</w:t>
      </w:r>
      <w:r>
        <w:rPr>
          <w:rFonts w:hint="default" w:ascii="等线" w:hAnsi="等线" w:eastAsia="等线" w:cs="Times New Roman"/>
          <w:color w:val="000000"/>
          <w:kern w:val="2"/>
          <w:sz w:val="27"/>
          <w:szCs w:val="27"/>
        </w:rPr>
        <w:t xml:space="preserve"> </w:t>
      </w:r>
    </w:p>
    <w:p>
      <w:pPr>
        <w:keepNext w:val="0"/>
        <w:keepLines w:val="0"/>
        <w:widowControl/>
        <w:suppressLineNumbers w:val="0"/>
        <w:jc w:val="left"/>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spacing w:before="0" w:beforeAutospacing="0" w:after="2" w:afterAutospacing="0" w:line="600" w:lineRule="atLeast"/>
        <w:ind w:left="0" w:right="0"/>
        <w:jc w:val="center"/>
        <w:rPr>
          <w:rFonts w:hint="default" w:ascii="等线" w:hAnsi="等线" w:eastAsia="等线" w:cs="Times New Roman"/>
          <w:kern w:val="2"/>
          <w:sz w:val="21"/>
          <w:szCs w:val="21"/>
        </w:rPr>
      </w:pPr>
      <w:r>
        <w:rPr>
          <w:rFonts w:hint="eastAsia" w:ascii="宋体" w:hAnsi="宋体" w:eastAsia="宋体" w:cs="宋体"/>
          <w:b/>
          <w:color w:val="000000"/>
          <w:kern w:val="2"/>
          <w:sz w:val="36"/>
          <w:szCs w:val="36"/>
        </w:rPr>
        <w:t>第一部分 浏阳市荷花街道办事处概况</w:t>
      </w:r>
      <w:r>
        <w:rPr>
          <w:rFonts w:hint="default" w:ascii="等线" w:hAnsi="等线" w:eastAsia="等线" w:cs="Times New Roman"/>
          <w:b/>
          <w:color w:val="000000"/>
          <w:kern w:val="2"/>
          <w:sz w:val="21"/>
          <w:szCs w:val="21"/>
        </w:rPr>
        <w:t xml:space="preserve"> </w:t>
      </w:r>
    </w:p>
    <w:p>
      <w:pPr>
        <w:pStyle w:val="18"/>
        <w:keepNext w:val="0"/>
        <w:keepLines w:val="0"/>
        <w:widowControl/>
        <w:suppressLineNumbers w:val="0"/>
        <w:spacing w:before="0" w:beforeAutospacing="0" w:after="2" w:afterAutospacing="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8"/>
        <w:keepNext w:val="0"/>
        <w:keepLines w:val="0"/>
        <w:widowControl/>
        <w:suppressLineNumbers w:val="0"/>
        <w:spacing w:before="0" w:beforeAutospacing="0" w:after="2" w:afterAutospacing="0"/>
        <w:ind w:left="0" w:right="0" w:firstLine="0"/>
        <w:rPr>
          <w:rFonts w:hint="eastAsia" w:ascii="宋体" w:hAnsi="宋体" w:eastAsia="宋体" w:cs="宋体"/>
          <w:kern w:val="0"/>
          <w:sz w:val="24"/>
          <w:szCs w:val="24"/>
        </w:rPr>
      </w:pPr>
      <w:r>
        <w:rPr>
          <w:rFonts w:hint="eastAsia" w:ascii="黑体" w:hAnsi="宋体" w:eastAsia="黑体" w:cs="黑体"/>
          <w:color w:val="000000"/>
          <w:kern w:val="0"/>
          <w:sz w:val="32"/>
          <w:szCs w:val="32"/>
        </w:rPr>
        <w:t xml:space="preserve"> </w:t>
      </w:r>
      <w:r>
        <w:rPr>
          <w:rFonts w:hint="eastAsia" w:ascii="宋体" w:hAnsi="宋体" w:eastAsia="宋体" w:cs="宋体"/>
          <w:color w:val="000000"/>
          <w:kern w:val="0"/>
          <w:sz w:val="24"/>
          <w:szCs w:val="24"/>
        </w:rPr>
        <w:t xml:space="preserve"> </w:t>
      </w:r>
    </w:p>
    <w:p>
      <w:pPr>
        <w:pStyle w:val="19"/>
        <w:numPr>
          <w:ilvl w:val="0"/>
          <w:numId w:val="1"/>
        </w:numPr>
        <w:spacing w:before="0" w:beforeAutospacing="0" w:after="2" w:afterAutospacing="0"/>
        <w:ind w:left="0" w:firstLine="641"/>
        <w:rPr>
          <w:rFonts w:hint="default" w:ascii="等线" w:hAnsi="等线" w:eastAsia="等线" w:cs="Times New Roman"/>
          <w:color w:val="000000"/>
          <w:kern w:val="2"/>
          <w:sz w:val="27"/>
          <w:szCs w:val="27"/>
        </w:rPr>
      </w:pPr>
      <w:r>
        <w:rPr>
          <w:rFonts w:hint="eastAsia" w:ascii="宋体" w:hAnsi="宋体" w:eastAsia="宋体" w:cs="宋体"/>
          <w:b/>
          <w:color w:val="000000"/>
          <w:kern w:val="2"/>
          <w:sz w:val="32"/>
          <w:szCs w:val="32"/>
        </w:rPr>
        <w:t>部门职责</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一）加强党的建设。落实基层党建工作责任制，全面加强党对各领域各方面工作的领导，着力夯实基层基础，强化党建引领基层治理，切实抓好本区域党组织建设。落实党风廉政建设责任制，强化“两个责任”，坚持正风肃纪，推进全面从严治党。落实意识形态工作责任制，全面加强农村基层宣传思想文化工作，弘扬时代新风。</w:t>
      </w:r>
      <w:r>
        <w:rPr>
          <w:rFonts w:hint="default" w:ascii="等线" w:hAnsi="等线" w:eastAsia="等线" w:cs="Times New Roman"/>
          <w:color w:val="000000"/>
          <w:kern w:val="2"/>
          <w:sz w:val="32"/>
          <w:szCs w:val="32"/>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二）统筹区域发展。贯彻落实上级重大决策和建设规划,研究制订并组织实施本区域中长期发展规划和年度计划，全面实施乡村振兴战略，统筹推进经济社会全面发展。承担优化发展环境、采集企业信息、服务商贸企业、推进项目建设等工作。</w:t>
      </w:r>
      <w:r>
        <w:rPr>
          <w:rFonts w:hint="default" w:ascii="等线" w:hAnsi="等线" w:eastAsia="等线" w:cs="Times New Roman"/>
          <w:color w:val="000000"/>
          <w:kern w:val="2"/>
          <w:sz w:val="32"/>
          <w:szCs w:val="32"/>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三）实施公共管理。负责辖区综合性管理工作，承担组织领导和综合协调辖区社会治理、生态环境保护、综合执法、市场监管、集镇管理、人口管理等工作。加强社会治理制度建设，领导基层自治工作，完善党委领导、政府负责、社会协同、公众参与、法治保障的社会治理体制，健全自治为基、法治为本、德治为先的基层治理体系。</w:t>
      </w:r>
      <w:r>
        <w:rPr>
          <w:rFonts w:hint="default" w:ascii="等线" w:hAnsi="等线" w:eastAsia="等线" w:cs="Times New Roman"/>
          <w:color w:val="000000"/>
          <w:kern w:val="2"/>
          <w:sz w:val="32"/>
          <w:szCs w:val="32"/>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四）维护公共安全。负责辖区内应急管理工作，构建公共安全防控体系，建立应对突发紧急事件的处理预案，在市直有关部门的指导下做好区域内生产经营单位安全生产和食品药品、道路交通安全监督检查工作，承担区域内防汛抗旱、森林防火、疫病防控等工作。负责辖区社会治安综合治理工作，接待群众来信来访，建立多元纠纷解决机制，综合发挥人民调解、行政调解和司法调解的作用，及时化解辖区社会矛盾，确保社会稳定。</w:t>
      </w:r>
      <w:r>
        <w:rPr>
          <w:rFonts w:hint="default" w:ascii="等线" w:hAnsi="等线" w:eastAsia="等线" w:cs="Times New Roman"/>
          <w:color w:val="000000"/>
          <w:kern w:val="2"/>
          <w:sz w:val="32"/>
          <w:szCs w:val="32"/>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五）组织公共服务。组织实施与群众生活密切相关的各项公共服务，落实人力资源和社会保障、民政、教育、科技、文化、体育、卫生健康等领域和退役军人事务、妇女儿童、老年人、残疾人等方面的相关政策，不断提高公共服务质量。拓宽服务渠道，改进政务服务方式，推进审批服务便民化改革，建立健全群众办事一次办结机制，完善街道和村级便民服务平台，提高政务服务和政务公开水平，提升人民群众在享受公共服务方面的获得感和幸福感。</w:t>
      </w:r>
      <w:r>
        <w:rPr>
          <w:rFonts w:hint="default" w:ascii="等线" w:hAnsi="等线" w:eastAsia="等线" w:cs="Times New Roman"/>
          <w:color w:val="000000"/>
          <w:kern w:val="2"/>
          <w:sz w:val="32"/>
          <w:szCs w:val="32"/>
        </w:rPr>
        <w:t xml:space="preserve"> </w:t>
      </w:r>
    </w:p>
    <w:p>
      <w:pPr>
        <w:pStyle w:val="19"/>
        <w:numPr>
          <w:numId w:val="0"/>
        </w:numPr>
        <w:spacing w:before="0" w:beforeAutospacing="0" w:after="2" w:afterAutospacing="0"/>
        <w:ind w:left="641" w:leftChars="0" w:right="0" w:rightChars="0"/>
        <w:rPr>
          <w:rFonts w:hint="default" w:ascii="等线" w:hAnsi="等线" w:eastAsia="等线" w:cs="Times New Roman"/>
          <w:color w:val="000000"/>
          <w:kern w:val="2"/>
          <w:sz w:val="27"/>
          <w:szCs w:val="27"/>
        </w:rPr>
      </w:pPr>
      <w:r>
        <w:rPr>
          <w:rFonts w:hint="eastAsia" w:ascii="宋体" w:hAnsi="宋体" w:eastAsia="宋体" w:cs="宋体"/>
          <w:color w:val="000000"/>
          <w:kern w:val="2"/>
          <w:sz w:val="32"/>
          <w:szCs w:val="32"/>
        </w:rPr>
        <w:t>（六）完成市委、市人民政府交办的其他任务。</w:t>
      </w:r>
      <w:bookmarkStart w:id="0" w:name="_GoBack"/>
      <w:bookmarkEnd w:id="0"/>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二、机构设置及决算单位构成</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（一）内设机构设置</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    浏阳市荷花街道办事处内设机构8个包括：党政办、基层党建办、纪检办、财政所、经济发展办、农业农村办、自然资源和生态环境办、社会治安和应急管理办。本部门共有编制人数13</w:t>
      </w:r>
      <w:r>
        <w:rPr>
          <w:rFonts w:hint="eastAsia" w:ascii="宋体" w:hAnsi="宋体" w:eastAsia="宋体" w:cs="宋体"/>
          <w:color w:val="000000"/>
          <w:kern w:val="2"/>
          <w:sz w:val="32"/>
          <w:szCs w:val="32"/>
          <w:lang w:val="en-US" w:eastAsia="zh-CN"/>
        </w:rPr>
        <w:t>3</w:t>
      </w:r>
      <w:r>
        <w:rPr>
          <w:rFonts w:hint="eastAsia" w:ascii="宋体" w:hAnsi="宋体" w:eastAsia="宋体" w:cs="宋体"/>
          <w:color w:val="000000"/>
          <w:kern w:val="2"/>
          <w:sz w:val="32"/>
          <w:szCs w:val="32"/>
        </w:rPr>
        <w:t>人,实有人数133人。</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（二）决算单位构成</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    浏阳市荷花街道办事处2021年部门决算汇总公开单位构成包括：浏阳市荷花街道办事处本级。</w:t>
      </w:r>
      <w:r>
        <w:rPr>
          <w:rFonts w:hint="default" w:ascii="等线" w:hAnsi="等线" w:eastAsia="等线" w:cs="Times New Roman"/>
          <w:color w:val="000000"/>
          <w:kern w:val="2"/>
          <w:sz w:val="27"/>
          <w:szCs w:val="27"/>
        </w:rPr>
        <w:t xml:space="preserve"> </w:t>
      </w:r>
    </w:p>
    <w:p>
      <w:pPr>
        <w:pStyle w:val="18"/>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eastAsia" w:ascii="宋体" w:hAnsi="宋体" w:eastAsia="宋体" w:cs="宋体"/>
          <w:kern w:val="0"/>
          <w:sz w:val="24"/>
          <w:szCs w:val="24"/>
        </w:rPr>
        <w:sectPr>
          <w:footerReference r:id="rId3" w:type="default"/>
          <w:pgSz w:w="11906" w:h="16838" w:orient="landscape"/>
          <w:pgMar w:top="1440" w:right="1080" w:bottom="1440" w:left="1080" w:header="851" w:footer="992" w:gutter="0"/>
          <w:pgNumType w:fmt="decimal"/>
          <w:cols w:space="0" w:num="1"/>
          <w:docGrid w:type="lines" w:linePitch="160" w:charSpace="0"/>
        </w:sectPr>
      </w:pPr>
    </w:p>
    <w:p>
      <w:pPr>
        <w:pStyle w:val="18"/>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8"/>
        <w:keepNext w:val="0"/>
        <w:keepLines w:val="0"/>
        <w:widowControl/>
        <w:suppressLineNumbers w:val="0"/>
        <w:spacing w:before="0" w:beforeAutospacing="0" w:after="2" w:afterAutospacing="0"/>
        <w:jc w:val="center"/>
        <w:rPr>
          <w:rFonts w:hint="eastAsia" w:ascii="宋体" w:hAnsi="宋体" w:eastAsia="宋体" w:cs="宋体"/>
          <w:kern w:val="0"/>
          <w:sz w:val="24"/>
          <w:szCs w:val="24"/>
        </w:rPr>
      </w:pPr>
      <w:r>
        <w:rPr>
          <w:rFonts w:hint="eastAsia" w:ascii="宋体" w:hAnsi="宋体" w:eastAsia="宋体" w:cs="宋体"/>
          <w:b/>
          <w:color w:val="000000"/>
          <w:kern w:val="0"/>
          <w:sz w:val="36"/>
          <w:szCs w:val="36"/>
        </w:rPr>
        <w:t>第二部分 2021年度部门决算表</w:t>
      </w:r>
    </w:p>
    <w:p>
      <w:pPr>
        <w:pStyle w:val="18"/>
        <w:keepNext w:val="0"/>
        <w:keepLines w:val="0"/>
        <w:widowControl/>
        <w:suppressLineNumbers w:val="0"/>
        <w:spacing w:before="0" w:beforeAutospacing="0" w:after="2" w:afterAutospacing="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8"/>
        <w:keepNext w:val="0"/>
        <w:keepLines w:val="0"/>
        <w:widowControl/>
        <w:suppressLineNumbers w:val="0"/>
        <w:spacing w:before="0" w:beforeAutospacing="0" w:after="2" w:afterAutospacing="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8"/>
        <w:keepNext w:val="0"/>
        <w:keepLines w:val="0"/>
        <w:widowControl/>
        <w:suppressLineNumbers w:val="0"/>
        <w:spacing w:before="0" w:beforeAutospacing="0" w:after="2" w:afterAutospacing="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13"/>
        <w:tblW w:w="5000" w:type="pct"/>
        <w:jc w:val="center"/>
        <w:shd w:val="clear" w:color="auto" w:fill="auto"/>
        <w:tblLayout w:type="autofit"/>
        <w:tblCellMar>
          <w:top w:w="0" w:type="dxa"/>
          <w:left w:w="0" w:type="dxa"/>
          <w:bottom w:w="0" w:type="dxa"/>
          <w:right w:w="0" w:type="dxa"/>
        </w:tblCellMar>
      </w:tblPr>
      <w:tblGrid>
        <w:gridCol w:w="4802"/>
        <w:gridCol w:w="648"/>
        <w:gridCol w:w="2569"/>
        <w:gridCol w:w="4802"/>
        <w:gridCol w:w="648"/>
        <w:gridCol w:w="2569"/>
      </w:tblGrid>
      <w:tr>
        <w:tblPrEx>
          <w:shd w:val="clear" w:color="auto" w:fill="auto"/>
          <w:tblCellMar>
            <w:top w:w="0" w:type="dxa"/>
            <w:left w:w="0" w:type="dxa"/>
            <w:bottom w:w="0" w:type="dxa"/>
            <w:right w:w="0" w:type="dxa"/>
          </w:tblCellMar>
        </w:tblPrEx>
        <w:trPr>
          <w:jc w:val="center"/>
        </w:trPr>
        <w:tc>
          <w:tcPr>
            <w:tcW w:w="5000" w:type="pct"/>
            <w:gridSpan w:val="6"/>
            <w:tcBorders>
              <w:top w:val="nil"/>
              <w:left w:val="nil"/>
              <w:bottom w:val="nil"/>
              <w:right w:val="nil"/>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40"/>
                <w:szCs w:val="40"/>
              </w:rPr>
              <w:t xml:space="preserve">收入支出决算总表 </w:t>
            </w:r>
          </w:p>
        </w:tc>
      </w:tr>
      <w:tr>
        <w:tblPrEx>
          <w:tblCellMar>
            <w:top w:w="0" w:type="dxa"/>
            <w:left w:w="0" w:type="dxa"/>
            <w:bottom w:w="0" w:type="dxa"/>
            <w:right w:w="0" w:type="dxa"/>
          </w:tblCellMar>
        </w:tblPrEx>
        <w:trPr>
          <w:jc w:val="center"/>
        </w:trPr>
        <w:tc>
          <w:tcPr>
            <w:tcW w:w="1497"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202"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799"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497"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002" w:type="pct"/>
            <w:gridSpan w:val="2"/>
            <w:tcBorders>
              <w:top w:val="nil"/>
              <w:left w:val="nil"/>
              <w:bottom w:val="nil"/>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公开01表 </w:t>
            </w:r>
          </w:p>
        </w:tc>
      </w:tr>
      <w:tr>
        <w:tblPrEx>
          <w:tblCellMar>
            <w:top w:w="0" w:type="dxa"/>
            <w:left w:w="0" w:type="dxa"/>
            <w:bottom w:w="0" w:type="dxa"/>
            <w:right w:w="0" w:type="dxa"/>
          </w:tblCellMar>
        </w:tblPrEx>
        <w:trPr>
          <w:jc w:val="center"/>
        </w:trPr>
        <w:tc>
          <w:tcPr>
            <w:tcW w:w="3997" w:type="pct"/>
            <w:gridSpan w:val="4"/>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部门：浏阳市荷花街道办事处 </w:t>
            </w:r>
          </w:p>
        </w:tc>
        <w:tc>
          <w:tcPr>
            <w:tcW w:w="1002" w:type="pct"/>
            <w:gridSpan w:val="2"/>
            <w:tcBorders>
              <w:top w:val="nil"/>
              <w:left w:val="nil"/>
              <w:bottom w:val="single" w:color="666666" w:sz="6" w:space="0"/>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金额单位：万元 </w:t>
            </w:r>
          </w:p>
        </w:tc>
      </w:tr>
      <w:tr>
        <w:tblPrEx>
          <w:tblCellMar>
            <w:top w:w="0" w:type="dxa"/>
            <w:left w:w="0" w:type="dxa"/>
            <w:bottom w:w="0" w:type="dxa"/>
            <w:right w:w="0" w:type="dxa"/>
          </w:tblCellMar>
        </w:tblPrEx>
        <w:trPr>
          <w:jc w:val="center"/>
        </w:trPr>
        <w:tc>
          <w:tcPr>
            <w:tcW w:w="250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收入 </w:t>
            </w:r>
          </w:p>
        </w:tc>
        <w:tc>
          <w:tcPr>
            <w:tcW w:w="2500" w:type="pct"/>
            <w:gridSpan w:val="3"/>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支出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行次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金额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行次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金额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栏次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栏次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一、一般公共预算财政拨款收入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10,275.58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一、一般公共服务支出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3,435.01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二、政府性基金预算财政拨款收入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28.92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二、外交支出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33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三、国有资本经营预算财政拨款收入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三、国防支出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34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四、上级补助收入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四、公共安全支出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35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40.23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五、事业收入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五、教育支出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36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75.74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六、经营收入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六、科学技术支出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37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409.94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七、附属单位上缴收入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7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七、文化旅游体育与传媒支出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38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59.62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八、其他收入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8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940.22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八、社会保障和就业支出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39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1,050.91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9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九、卫生健康支出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40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24.41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10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十、节能环保支出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184.24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十一、城乡社区支出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1,810.19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十二、农林水支出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43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2,814.21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13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十三、交通运输支出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44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263.39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14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十四、资源勘探工业信息等支出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45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15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十五、商业服务业等支出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46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42.00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16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十六、金融支出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47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17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十七、援助其他地区支出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48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18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十八、自然资源海洋气象等支出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49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66.19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19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十九、住房保障支出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50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20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二十、粮油物资储备支出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二十一、国有资本经营预算支出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二十二、灾害防治及应急管理支出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53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67.60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23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二十三、其他支出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54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113.96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0"/>
                <w:szCs w:val="20"/>
              </w:rPr>
              <w:t xml:space="preserve">24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二十四、债务还本支出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55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0"/>
                <w:szCs w:val="20"/>
              </w:rPr>
              <w:t xml:space="preserve">25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二十五、债务付息支出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56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0"/>
                <w:szCs w:val="20"/>
              </w:rPr>
              <w:t xml:space="preserve">26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二十六、抗疫特别国债安排的支出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57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kern w:val="0"/>
                <w:sz w:val="22"/>
                <w:szCs w:val="22"/>
              </w:rPr>
              <w:t xml:space="preserve">本年收入合计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27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11,245.42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kern w:val="0"/>
                <w:sz w:val="22"/>
                <w:szCs w:val="22"/>
              </w:rPr>
              <w:t xml:space="preserve">本年支出合计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58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11,245.42 </w:t>
            </w: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使用非财政拨款结余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28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结余分配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59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年初结转和结余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29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年末结转和结余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60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30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kern w:val="0"/>
                <w:sz w:val="22"/>
                <w:szCs w:val="22"/>
              </w:rPr>
              <w:t xml:space="preserve">总计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31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11,245.42 </w:t>
            </w:r>
          </w:p>
        </w:tc>
        <w:tc>
          <w:tcPr>
            <w:tcW w:w="1497"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kern w:val="0"/>
                <w:sz w:val="22"/>
                <w:szCs w:val="22"/>
              </w:rPr>
              <w:t xml:space="preserve">总计 </w:t>
            </w:r>
          </w:p>
        </w:tc>
        <w:tc>
          <w:tcPr>
            <w:tcW w:w="20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62 </w:t>
            </w:r>
          </w:p>
        </w:tc>
        <w:tc>
          <w:tcPr>
            <w:tcW w:w="799"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11,245.42 </w:t>
            </w:r>
          </w:p>
        </w:tc>
      </w:tr>
      <w:tr>
        <w:tblPrEx>
          <w:tblCellMar>
            <w:top w:w="0" w:type="dxa"/>
            <w:left w:w="0" w:type="dxa"/>
            <w:bottom w:w="0" w:type="dxa"/>
            <w:right w:w="0" w:type="dxa"/>
          </w:tblCellMar>
        </w:tblPrEx>
        <w:trPr>
          <w:jc w:val="center"/>
        </w:trPr>
        <w:tc>
          <w:tcPr>
            <w:tcW w:w="5000" w:type="pct"/>
            <w:gridSpan w:val="6"/>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注：本表反映部门本年度的总收支和年末结转结余情况。本表金额转换为万元时，因四舍五入可能存在尾数误差。 </w:t>
            </w:r>
          </w:p>
        </w:tc>
      </w:tr>
    </w:tbl>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3"/>
        <w:tblW w:w="5000" w:type="pct"/>
        <w:jc w:val="center"/>
        <w:shd w:val="clear" w:color="auto" w:fill="auto"/>
        <w:tblLayout w:type="autofit"/>
        <w:tblCellMar>
          <w:top w:w="0" w:type="dxa"/>
          <w:left w:w="0" w:type="dxa"/>
          <w:bottom w:w="0" w:type="dxa"/>
          <w:right w:w="0" w:type="dxa"/>
        </w:tblCellMar>
      </w:tblPr>
      <w:tblGrid>
        <w:gridCol w:w="358"/>
        <w:gridCol w:w="359"/>
        <w:gridCol w:w="369"/>
        <w:gridCol w:w="3192"/>
        <w:gridCol w:w="2175"/>
        <w:gridCol w:w="1591"/>
        <w:gridCol w:w="1591"/>
        <w:gridCol w:w="1591"/>
        <w:gridCol w:w="1617"/>
        <w:gridCol w:w="1591"/>
        <w:gridCol w:w="1604"/>
      </w:tblGrid>
      <w:tr>
        <w:tblPrEx>
          <w:shd w:val="clear" w:color="auto" w:fill="auto"/>
          <w:tblCellMar>
            <w:top w:w="0" w:type="dxa"/>
            <w:left w:w="0" w:type="dxa"/>
            <w:bottom w:w="0" w:type="dxa"/>
            <w:right w:w="0" w:type="dxa"/>
          </w:tblCellMar>
        </w:tblPrEx>
        <w:trPr>
          <w:jc w:val="center"/>
        </w:trPr>
        <w:tc>
          <w:tcPr>
            <w:tcW w:w="5000" w:type="pct"/>
            <w:gridSpan w:val="11"/>
            <w:tcBorders>
              <w:top w:val="nil"/>
              <w:left w:val="nil"/>
              <w:bottom w:val="nil"/>
              <w:right w:val="nil"/>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40"/>
                <w:szCs w:val="40"/>
              </w:rPr>
              <w:t xml:space="preserve">收入决算表 </w:t>
            </w:r>
          </w:p>
        </w:tc>
      </w:tr>
      <w:tr>
        <w:tblPrEx>
          <w:tblCellMar>
            <w:top w:w="0" w:type="dxa"/>
            <w:left w:w="0" w:type="dxa"/>
            <w:bottom w:w="0" w:type="dxa"/>
            <w:right w:w="0" w:type="dxa"/>
          </w:tblCellMar>
        </w:tblPrEx>
        <w:trPr>
          <w:jc w:val="center"/>
        </w:trPr>
        <w:tc>
          <w:tcPr>
            <w:tcW w:w="112"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12"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12"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994"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678"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9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9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9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9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994" w:type="pct"/>
            <w:gridSpan w:val="2"/>
            <w:tcBorders>
              <w:top w:val="nil"/>
              <w:left w:val="nil"/>
              <w:bottom w:val="nil"/>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公开02表 </w:t>
            </w:r>
          </w:p>
        </w:tc>
      </w:tr>
      <w:tr>
        <w:tblPrEx>
          <w:tblCellMar>
            <w:top w:w="0" w:type="dxa"/>
            <w:left w:w="0" w:type="dxa"/>
            <w:bottom w:w="0" w:type="dxa"/>
            <w:right w:w="0" w:type="dxa"/>
          </w:tblCellMar>
        </w:tblPrEx>
        <w:trPr>
          <w:jc w:val="center"/>
        </w:trPr>
        <w:tc>
          <w:tcPr>
            <w:tcW w:w="4004" w:type="pct"/>
            <w:gridSpan w:val="9"/>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部门：浏阳市荷花街道办事处 </w:t>
            </w:r>
          </w:p>
        </w:tc>
        <w:tc>
          <w:tcPr>
            <w:tcW w:w="994" w:type="pct"/>
            <w:gridSpan w:val="2"/>
            <w:tcBorders>
              <w:top w:val="nil"/>
              <w:left w:val="nil"/>
              <w:bottom w:val="nil"/>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金额单位：万元 </w:t>
            </w:r>
          </w:p>
        </w:tc>
      </w:tr>
      <w:tr>
        <w:tblPrEx>
          <w:tblCellMar>
            <w:top w:w="0" w:type="dxa"/>
            <w:left w:w="0" w:type="dxa"/>
            <w:bottom w:w="0" w:type="dxa"/>
            <w:right w:w="0" w:type="dxa"/>
          </w:tblCellMar>
        </w:tblPrEx>
        <w:trPr>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本年收入合计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财政拨款收入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上级补助收入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事业收入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经营收入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附属单位上缴收入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其他收入 </w:t>
            </w:r>
          </w:p>
        </w:tc>
      </w:tr>
      <w:tr>
        <w:tblPrEx>
          <w:tblCellMar>
            <w:top w:w="0" w:type="dxa"/>
            <w:left w:w="0" w:type="dxa"/>
            <w:bottom w:w="0" w:type="dxa"/>
            <w:right w:w="0" w:type="dxa"/>
          </w:tblCellMar>
        </w:tblPrEx>
        <w:trPr>
          <w:jc w:val="center"/>
        </w:trPr>
        <w:tc>
          <w:tcPr>
            <w:tcW w:w="339" w:type="pct"/>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功能分类科目编码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科目名称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339"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339"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栏次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7 </w:t>
            </w:r>
          </w:p>
        </w:tc>
      </w:tr>
      <w:tr>
        <w:tblPrEx>
          <w:tblCellMar>
            <w:top w:w="0" w:type="dxa"/>
            <w:left w:w="0" w:type="dxa"/>
            <w:bottom w:w="0" w:type="dxa"/>
            <w:right w:w="0" w:type="dxa"/>
          </w:tblCellMar>
        </w:tblPrEx>
        <w:trPr>
          <w:jc w:val="center"/>
        </w:trPr>
        <w:tc>
          <w:tcPr>
            <w:tcW w:w="1334"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合计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11,245.42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10,305.20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940.22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一般公共服务支出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3,435.01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3,402.01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33.00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人大事务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59.94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6.20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2010101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2010102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2010108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代表工作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6.20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政协事务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2010201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政府办公厅（室）及相关机构事务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2,985.48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2,983.48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729.59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729.59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1,383.96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1,381.96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专项业务及机关事务管理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2010308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信访事务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0.29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0.29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2010350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869.64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869.64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发展与改革事务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88.50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88.50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2010402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2010499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其他发展与改革事务支出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48.50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48.50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统计信息事务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20.32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11.32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2010502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2010507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专项普查活动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19.32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11.32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财政事务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139.81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139.81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2010601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109.81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109.81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2010602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2010699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其他财政事务支出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20113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商贸事务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2011308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招商引资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党委办公厅（室）及相关机构事务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66.61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2013101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52.61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52.61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2013102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2013105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专项业务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组织事务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39.63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36.65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2.98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2013202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37.65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36.65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2013250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1.98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1.98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市场监督管理事务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9.26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8.76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0.50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2013899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其他市场监督管理事务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9.26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8.76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0.50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公共安全支出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40.23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40.23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公安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2040202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20406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司法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2040601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教育支出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75.74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75.74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普通教育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68.74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68.74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2050299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其他普通教育支出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68.74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68.74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其他教育支出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2059999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其他教育支出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科学技术支出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409.94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409.94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20604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技术研究与开发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408.94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408.94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2060499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其他技术研究与开发支出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408.94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408.94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20607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科学技术普及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2060702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科普活动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文化旅游体育与传媒支出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59.62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49.62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文化和旅游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38.62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28.62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2070108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文化活动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0.50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0.50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2070109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群众文化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2070199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其他文化和旅游支出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32.12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28.12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其他文化旅游体育与传媒支出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2079999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其他文化旅游体育与传媒支出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社会保障和就业支出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1,050.91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1,024.50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26.41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人力资源和社会保障管理事务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374.86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374.20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0.66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2080109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社会保险经办机构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2080150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372.77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372.77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2080199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其他人力资源和社会保障管理事务支出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0.66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民政管理事务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2080208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基层政权建设和社区治理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行政事业单位养老支出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301.93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301.93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2080501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行政单位离退休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234.57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234.57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2080502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事业单位离退休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58.26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58.26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2080506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机关事业单位职业年金缴费支出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9.10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9.10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20807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就业补助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0.86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0.86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2080702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职业培训补贴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0.86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0.86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抚恤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61.29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57.22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4.07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2080804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优抚事业单位支出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2080899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其他优抚支出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56.29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52.22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4.07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退役安置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2080999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其他退役安置支出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20810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社会福利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148.43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148.43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2081006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养老服务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148.43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148.43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残疾人事业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19.15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11.95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2081105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残疾人就业和扶贫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2081106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残疾人体育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2081199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其他残疾人事业支出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13.95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11.95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20820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临时救助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23.31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18.44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4.87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2082001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临时救助支出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23.31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18.44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4.87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大中型水库移民后期扶持基金支出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2082201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移民补助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退役军人管理事务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72.26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72.26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2082802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27.62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27.62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2082850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44.64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44.64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其他社会保障和就业支出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2089999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其他社会保障和就业支出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卫生健康支出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24.41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14.25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10.16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公共卫生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14.96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5.46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9.50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2100408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基本公共卫生服务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2100410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突发公共卫生事件应急处理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9.50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9.50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2100499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其他公共卫生支出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21007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计划生育事务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0.66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2100717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计划生育服务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0.66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21011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行政事业单位医疗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2101101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行政单位医疗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21015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医疗保障管理事务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2101599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其他医疗保障管理事务支出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节能环保支出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184.24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112.38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71.87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环境保护管理事务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2110199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其他环境保护管理事务支出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21103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污染防治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32.67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32.67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2110302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水体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32.67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32.67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自然生态保护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104.58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64.71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39.87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2110402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农村环境保护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104.58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64.71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39.87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21110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能源节约利用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2111001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能源节约利用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其他节能环保支出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2119999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其他节能环保支出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1,810.19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1,802.19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557.69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557.69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2120102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2120104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城管执法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381.22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381.22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2120199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其他城乡社区管理事务支出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168.47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168.47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21203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城乡社区公共设施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973.91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965.91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2120399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其他城乡社区公共设施支出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973.91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965.91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城乡社区环境卫生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2120501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城乡社区环境卫生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其他城乡社区支出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2129999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其他城乡社区支出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农林水支出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2,814.21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2,265.01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549.20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农业农村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1,360.03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892.07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467.96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2130104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252.21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252.21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2130119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防灾救灾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2130121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农业结构调整补贴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2130122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农业生产发展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2130124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农村合作经济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2130126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农村社会事业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622.39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317.73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304.66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2130135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农业资源保护修复与利用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2130142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农村道路建设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39.70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2130153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农田建设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其他农业农村支出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367.92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244.32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123.60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林业和草原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133.16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106.92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26.24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2130204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事业机构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47.54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47.54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森林资源培育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2130207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森林资源管理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7.18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7.18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2130209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森林生态效益补偿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2130234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林业草原防灾减灾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18.15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18.15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其他林业和草原支出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34.24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26.24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水利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258.10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213.10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45.00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水利工程建设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2130306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水利工程运行与维护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61.13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41.13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2130314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防汛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2130316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农村水利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23.69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23.69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其他水利支出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133.28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113.28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扶贫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273.40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273.40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2130504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农村基础设施建设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2130599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其他扶贫支出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256.60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256.60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21307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农村综合改革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774.45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764.45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2130705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对村民委员会和村党支部的补助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554.45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554.45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2130706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对村集体经济组织的补助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2130707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农村综合改革示范试点补助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普惠金融发展支出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2130803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农业保险保费补贴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9.88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9.88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2130899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其他普惠金融发展支出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其他农林水支出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2139999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其他农林水支出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交通运输支出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263.39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146.27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117.12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公路水路运输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258.85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141.73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117.12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2140104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公路建设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126.73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126.73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2140106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公路养护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67.72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52.72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2140199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其他公路水路运输支出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64.40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64.40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成品油价格改革对交通运输的补贴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4.53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4.53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2140402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对农村道路客运的补贴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2140499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成品油价格改革补贴其他支出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0.05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0.05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资源勘探工业信息等支出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21508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支持中小企业发展和管理支出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2150899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其他支持中小企业发展和管理支出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商业服务业等支出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商业流通事务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2160299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其他商业流通事务支出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其他商业服务业等支出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2169999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其他商业服务业等支出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自然资源海洋气象等支出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自然资源事务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66.19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2200101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35.78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2200199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其他自然资源事务支出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30.41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30.41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住房保障支出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保障性安居工程支出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2210103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棚户区改造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168.51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168.51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农村危房改造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2210106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公共租赁住房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6.14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6.14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2210108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老旧小区改造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499.01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499.01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其他保障性安居工程支出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87.00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87.00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粮油物资储备支出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22201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粮油物资事务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2220199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其他粮油物资事务支出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223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国有资本经营预算支出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22301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解决历史遗留问题及改革成本支出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2230105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国有企业退休人员社会化管理补助支出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灾害防治及应急管理支出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67.60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67.60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应急管理事务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2240106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安全监管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22406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自然灾害防治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2240601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地质灾害防治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其他灾害防治及应急管理支出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2249999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其他灾害防治及应急管理支出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229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113.96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112.46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22960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彩票公益金安排的支出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113.96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112.46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2296002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用于社会福利的彩票公益金支出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104.50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103.00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2296003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用于体育事业的彩票公益金支出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9.46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9.46 </w:t>
            </w: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抗疫特别国债安排的支出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23402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抗疫相关支出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9"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2340205 </w:t>
            </w:r>
          </w:p>
        </w:tc>
        <w:tc>
          <w:tcPr>
            <w:tcW w:w="99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困难群众基本生活补助 </w:t>
            </w:r>
          </w:p>
        </w:tc>
        <w:tc>
          <w:tcPr>
            <w:tcW w:w="6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9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5000" w:type="pct"/>
            <w:gridSpan w:val="11"/>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注：本表反映部门本年度取得的各项收入情况。本表金额转换为万元时，因四舍五入可能存在尾数误差。 </w:t>
            </w:r>
          </w:p>
        </w:tc>
      </w:tr>
    </w:tbl>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3"/>
        <w:tblW w:w="5000" w:type="pct"/>
        <w:jc w:val="center"/>
        <w:shd w:val="clear" w:color="auto" w:fill="auto"/>
        <w:tblLayout w:type="autofit"/>
        <w:tblCellMar>
          <w:top w:w="0" w:type="dxa"/>
          <w:left w:w="0" w:type="dxa"/>
          <w:bottom w:w="0" w:type="dxa"/>
          <w:right w:w="0" w:type="dxa"/>
        </w:tblCellMar>
      </w:tblPr>
      <w:tblGrid>
        <w:gridCol w:w="400"/>
        <w:gridCol w:w="401"/>
        <w:gridCol w:w="401"/>
        <w:gridCol w:w="3551"/>
        <w:gridCol w:w="2415"/>
        <w:gridCol w:w="1771"/>
        <w:gridCol w:w="1771"/>
        <w:gridCol w:w="1777"/>
        <w:gridCol w:w="1771"/>
        <w:gridCol w:w="1780"/>
      </w:tblGrid>
      <w:tr>
        <w:tblPrEx>
          <w:shd w:val="clear" w:color="auto" w:fill="auto"/>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40"/>
                <w:szCs w:val="40"/>
              </w:rPr>
              <w:t xml:space="preserve">支出决算表 </w:t>
            </w:r>
          </w:p>
        </w:tc>
      </w:tr>
      <w:tr>
        <w:tblPrEx>
          <w:tblCellMar>
            <w:top w:w="0" w:type="dxa"/>
            <w:left w:w="0" w:type="dxa"/>
            <w:bottom w:w="0" w:type="dxa"/>
            <w:right w:w="0" w:type="dxa"/>
          </w:tblCellMar>
        </w:tblPrEx>
        <w:trPr>
          <w:jc w:val="center"/>
        </w:trPr>
        <w:tc>
          <w:tcPr>
            <w:tcW w:w="125"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25"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25"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105"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753"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552"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552"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552"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105" w:type="pct"/>
            <w:gridSpan w:val="2"/>
            <w:tcBorders>
              <w:top w:val="nil"/>
              <w:left w:val="nil"/>
              <w:bottom w:val="nil"/>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公开03表 </w:t>
            </w:r>
          </w:p>
        </w:tc>
      </w:tr>
      <w:tr>
        <w:tblPrEx>
          <w:tblCellMar>
            <w:top w:w="0" w:type="dxa"/>
            <w:left w:w="0" w:type="dxa"/>
            <w:bottom w:w="0" w:type="dxa"/>
            <w:right w:w="0" w:type="dxa"/>
          </w:tblCellMar>
        </w:tblPrEx>
        <w:trPr>
          <w:jc w:val="center"/>
        </w:trPr>
        <w:tc>
          <w:tcPr>
            <w:tcW w:w="3893" w:type="pct"/>
            <w:gridSpan w:val="8"/>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部门：浏阳市荷花街道办事处 </w:t>
            </w:r>
          </w:p>
        </w:tc>
        <w:tc>
          <w:tcPr>
            <w:tcW w:w="1105" w:type="pct"/>
            <w:gridSpan w:val="2"/>
            <w:tcBorders>
              <w:top w:val="nil"/>
              <w:left w:val="nil"/>
              <w:bottom w:val="nil"/>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金额单位：万元 </w:t>
            </w:r>
          </w:p>
        </w:tc>
      </w:tr>
      <w:tr>
        <w:tblPrEx>
          <w:tblCellMar>
            <w:top w:w="0" w:type="dxa"/>
            <w:left w:w="0" w:type="dxa"/>
            <w:bottom w:w="0" w:type="dxa"/>
            <w:right w:w="0" w:type="dxa"/>
          </w:tblCellMar>
        </w:tblPrEx>
        <w:trPr>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本年支出合计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基本支出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上缴上级支出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经营支出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对附属单位补助支出 </w:t>
            </w:r>
          </w:p>
        </w:tc>
      </w:tr>
      <w:tr>
        <w:tblPrEx>
          <w:tblCellMar>
            <w:top w:w="0" w:type="dxa"/>
            <w:left w:w="0" w:type="dxa"/>
            <w:bottom w:w="0" w:type="dxa"/>
            <w:right w:w="0" w:type="dxa"/>
          </w:tblCellMar>
        </w:tblPrEx>
        <w:trPr>
          <w:jc w:val="center"/>
        </w:trPr>
        <w:tc>
          <w:tcPr>
            <w:tcW w:w="375" w:type="pct"/>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功能分类科目编码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科目名称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375"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375"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栏次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 </w:t>
            </w:r>
          </w:p>
        </w:tc>
      </w:tr>
      <w:tr>
        <w:tblPrEx>
          <w:tblCellMar>
            <w:top w:w="0" w:type="dxa"/>
            <w:left w:w="0" w:type="dxa"/>
            <w:bottom w:w="0" w:type="dxa"/>
            <w:right w:w="0" w:type="dxa"/>
          </w:tblCellMar>
        </w:tblPrEx>
        <w:trPr>
          <w:jc w:val="center"/>
        </w:trPr>
        <w:tc>
          <w:tcPr>
            <w:tcW w:w="1482"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合计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11,245.42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2,903.90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8,341.52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一般公共服务支出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3,435.01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1,814.46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1,620.56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人大事务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30.40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2010101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2010102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2010108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代表工作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政协事务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2010201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政府办公厅（室）及相关机构事务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2,985.48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1,599.23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1,386.25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729.59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729.59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1,383.96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1,383.96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专项业务及机关事务管理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2010308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信访事务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0.29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0.29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2010350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869.64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869.64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发展与改革事务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88.50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88.50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2010402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2010499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其他发展与改革事务支出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48.50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48.50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统计信息事务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20.32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20.32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2010502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2010507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专项普查活动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19.32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19.32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财政事务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139.81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109.81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2010601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109.81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109.81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2010602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2010699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其他财政事务支出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20113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商贸事务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2011308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招商引资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党委办公厅（室）及相关机构事务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66.61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52.61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2013101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52.61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52.61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2013102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2013105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专项业务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组织事务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39.63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1.98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37.65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2013202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37.65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37.65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2013250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1.98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1.98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市场监督管理事务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9.26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9.26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2013899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其他市场监督管理事务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9.26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9.26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公共安全支出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40.23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公安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2040202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20406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司法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2040601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教育支出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75.74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75.74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普通教育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68.74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68.74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2050299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其他普通教育支出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68.74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68.74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其他教育支出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2059999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其他教育支出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科学技术支出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409.94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409.94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20604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技术研究与开发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408.94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408.94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2060499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其他技术研究与开发支出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408.94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408.94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20607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科学技术普及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2060702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科普活动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文化旅游体育与传媒支出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59.62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59.62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文化和旅游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38.62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38.62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2070108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文化活动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0.50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0.50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2070109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群众文化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2070199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其他文化和旅游支出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32.12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32.12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其他文化旅游体育与传媒支出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2079999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其他文化旅游体育与传媒支出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社会保障和就业支出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1,050.91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719.34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331.57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人力资源和社会保障管理事务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374.86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372.77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2080109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社会保险经办机构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2080150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372.77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372.77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2080199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其他人力资源和社会保障管理事务支出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民政管理事务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2080208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基层政权建设和社区治理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行政事业单位养老支出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301.93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301.93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2080501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行政单位离退休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234.57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234.57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2080502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事业单位离退休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58.26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58.26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2080506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机关事业单位职业年金缴费支出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9.10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9.10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20807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就业补助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0.86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0.86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2080702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职业培训补贴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0.86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0.86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抚恤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61.29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61.29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2080804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优抚事业单位支出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2080899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其他优抚支出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56.29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56.29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退役安置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2080999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其他退役安置支出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20810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社会福利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148.43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148.43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2081006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养老服务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148.43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148.43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残疾人事业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19.15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19.15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2081105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残疾人就业和扶贫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2081106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残疾人体育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2081199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其他残疾人事业支出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13.95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13.95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20820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临时救助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23.31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23.31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2082001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临时救助支出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23.31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23.31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大中型水库移民后期扶持基金支出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2082201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移民补助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退役军人管理事务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72.26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44.64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27.62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2082802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27.62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27.62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2082850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44.64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44.64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其他社会保障和就业支出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2089999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其他社会保障和就业支出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卫生健康支出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24.41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24.41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公共卫生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14.96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14.96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2100408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基本公共卫生服务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2100410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突发公共卫生事件应急处理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9.50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9.50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2100499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其他公共卫生支出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21007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计划生育事务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2100717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计划生育服务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21011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行政事业单位医疗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2101101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行政单位医疗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21015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医疗保障管理事务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2101599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其他医疗保障管理事务支出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节能环保支出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184.24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184.24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环境保护管理事务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2110199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其他环境保护管理事务支出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21103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污染防治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32.67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32.67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2110302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水体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32.67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32.67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自然生态保护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104.58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104.58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2110402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农村环境保护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104.58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104.58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21110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能源节约利用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2111001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能源节约利用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其他节能环保支出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2119999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其他节能环保支出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1,810.19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1,810.19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557.69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557.69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2120102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2120104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城管执法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381.22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381.22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2120199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其他城乡社区管理事务支出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168.47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168.47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21203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城乡社区公共设施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973.91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973.91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2120399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其他城乡社区公共设施支出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973.91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973.91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城乡社区环境卫生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2120501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城乡社区环境卫生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其他城乡社区支出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2129999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其他城乡社区支出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农林水支出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2,814.21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299.75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2,514.46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农业农村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1,360.03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252.21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1,107.82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2130104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252.21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252.21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2130119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防灾救灾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2130121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农业结构调整补贴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2130122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农业生产发展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2130124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农村合作经济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2130126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农村社会事业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622.39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622.39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2130135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农业资源保护修复与利用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2130142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农村道路建设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55.70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55.70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2130153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农田建设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其他农业农村支出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367.92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367.92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林业和草原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133.16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47.54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85.62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2130204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事业机构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47.54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47.54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森林资源培育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2130207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森林资源管理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7.18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7.18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2130209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森林生态效益补偿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2130234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林业草原防灾减灾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18.15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18.15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其他林业和草原支出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34.24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34.24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水利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258.10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258.10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水利工程建设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2130306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水利工程运行与维护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61.13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61.13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2130314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防汛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2130316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农村水利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23.69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23.69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其他水利支出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133.28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133.28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扶贫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273.40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273.40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2130504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农村基础设施建设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2130599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其他扶贫支出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256.60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256.60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21307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农村综合改革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774.45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774.45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2130705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对村民委员会和村党支部的补助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554.45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554.45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2130706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对村集体经济组织的补助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2130707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农村综合改革示范试点补助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普惠金融发展支出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2130803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农业保险保费补贴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9.88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9.88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2130899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其他普惠金融发展支出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其他农林水支出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2139999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其他农林水支出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交通运输支出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263.39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263.39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公路水路运输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258.85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258.85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2140104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公路建设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126.73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126.73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2140106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公路养护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67.72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67.72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2140199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其他公路水路运输支出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64.40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64.40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成品油价格改革对交通运输的补贴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4.53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4.53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2140402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对农村道路客运的补贴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2140499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成品油价格改革补贴其他支出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0.05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0.05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资源勘探工业信息等支出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21508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支持中小企业发展和管理支出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2150899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其他支持中小企业发展和管理支出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商业服务业等支出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商业流通事务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2160299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其他商业流通事务支出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其他商业服务业等支出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2169999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其他商业服务业等支出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自然资源海洋气象等支出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30.41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自然资源事务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66.19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30.41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2200101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35.78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2200199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其他自然资源事务支出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30.41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30.41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住房保障支出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保障性安居工程支出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2210103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棚户区改造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168.51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168.51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农村危房改造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2210106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公共租赁住房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6.14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6.14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2210108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老旧小区改造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499.01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499.01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其他保障性安居工程支出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87.00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87.00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粮油物资储备支出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22201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粮油物资事务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2220199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其他粮油物资事务支出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223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国有资本经营预算支出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22301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解决历史遗留问题及改革成本支出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2230105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国有企业退休人员社会化管理补助支出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灾害防治及应急管理支出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67.60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67.60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应急管理事务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2240106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安全监管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22406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自然灾害防治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2240601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地质灾害防治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其他灾害防治及应急管理支出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2249999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其他灾害防治及应急管理支出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229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113.96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113.96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22960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彩票公益金安排的支出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113.96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113.96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2296002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用于社会福利的彩票公益金支出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104.50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104.50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2296003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用于体育事业的彩票公益金支出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9.46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9.46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抗疫特别国债安排的支出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23402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抗疫相关支出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75"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2340205 </w:t>
            </w:r>
          </w:p>
        </w:tc>
        <w:tc>
          <w:tcPr>
            <w:tcW w:w="110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困难群众基本生活补助 </w:t>
            </w:r>
          </w:p>
        </w:tc>
        <w:tc>
          <w:tcPr>
            <w:tcW w:w="7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55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注：本表反映部门本年度各项支出情况。本表金额转换为万元时，因四舍五入可能存在尾数误差。 </w:t>
            </w:r>
          </w:p>
        </w:tc>
      </w:tr>
    </w:tbl>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3"/>
        <w:tblW w:w="5000" w:type="pct"/>
        <w:jc w:val="center"/>
        <w:shd w:val="clear" w:color="auto" w:fill="auto"/>
        <w:tblLayout w:type="autofit"/>
        <w:tblCellMar>
          <w:top w:w="0" w:type="dxa"/>
          <w:left w:w="0" w:type="dxa"/>
          <w:bottom w:w="0" w:type="dxa"/>
          <w:right w:w="0" w:type="dxa"/>
        </w:tblCellMar>
      </w:tblPr>
      <w:tblGrid>
        <w:gridCol w:w="3204"/>
        <w:gridCol w:w="529"/>
        <w:gridCol w:w="1559"/>
        <w:gridCol w:w="3692"/>
        <w:gridCol w:w="529"/>
        <w:gridCol w:w="2130"/>
        <w:gridCol w:w="1463"/>
        <w:gridCol w:w="1459"/>
        <w:gridCol w:w="1473"/>
      </w:tblGrid>
      <w:tr>
        <w:tblPrEx>
          <w:shd w:val="clear" w:color="auto" w:fill="auto"/>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40"/>
                <w:szCs w:val="40"/>
              </w:rPr>
              <w:t xml:space="preserve">财政拨款收入支出决算总表 </w:t>
            </w:r>
          </w:p>
        </w:tc>
      </w:tr>
      <w:tr>
        <w:tblPrEx>
          <w:tblCellMar>
            <w:top w:w="0" w:type="dxa"/>
            <w:left w:w="0" w:type="dxa"/>
            <w:bottom w:w="0" w:type="dxa"/>
            <w:right w:w="0" w:type="dxa"/>
          </w:tblCellMar>
        </w:tblPrEx>
        <w:trPr>
          <w:jc w:val="center"/>
        </w:trPr>
        <w:tc>
          <w:tcPr>
            <w:tcW w:w="999"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65"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8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151"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65"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664"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55"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911" w:type="pct"/>
            <w:gridSpan w:val="2"/>
            <w:tcBorders>
              <w:top w:val="nil"/>
              <w:left w:val="nil"/>
              <w:bottom w:val="nil"/>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公开04表 </w:t>
            </w:r>
          </w:p>
        </w:tc>
      </w:tr>
      <w:tr>
        <w:tblPrEx>
          <w:tblCellMar>
            <w:top w:w="0" w:type="dxa"/>
            <w:left w:w="0" w:type="dxa"/>
            <w:bottom w:w="0" w:type="dxa"/>
            <w:right w:w="0" w:type="dxa"/>
          </w:tblCellMar>
        </w:tblPrEx>
        <w:trPr>
          <w:jc w:val="center"/>
        </w:trPr>
        <w:tc>
          <w:tcPr>
            <w:tcW w:w="4086" w:type="pct"/>
            <w:gridSpan w:val="7"/>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部门：浏阳市荷花街道办事处 </w:t>
            </w:r>
          </w:p>
        </w:tc>
        <w:tc>
          <w:tcPr>
            <w:tcW w:w="911" w:type="pct"/>
            <w:gridSpan w:val="2"/>
            <w:tcBorders>
              <w:top w:val="nil"/>
              <w:left w:val="nil"/>
              <w:bottom w:val="single" w:color="666666" w:sz="6" w:space="0"/>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金额单位：万元 </w:t>
            </w:r>
          </w:p>
        </w:tc>
      </w:tr>
      <w:tr>
        <w:tblPrEx>
          <w:tblCellMar>
            <w:top w:w="0" w:type="dxa"/>
            <w:left w:w="0" w:type="dxa"/>
            <w:bottom w:w="0" w:type="dxa"/>
            <w:right w:w="0" w:type="dxa"/>
          </w:tblCellMar>
        </w:tblPrEx>
        <w:trPr>
          <w:jc w:val="center"/>
        </w:trPr>
        <w:tc>
          <w:tcPr>
            <w:tcW w:w="1650"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收 入 </w:t>
            </w:r>
          </w:p>
        </w:tc>
        <w:tc>
          <w:tcPr>
            <w:tcW w:w="3349" w:type="pct"/>
            <w:gridSpan w:val="6"/>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支 出 </w:t>
            </w:r>
          </w:p>
        </w:tc>
      </w:tr>
      <w:tr>
        <w:tblPrEx>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金额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合计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一般公共预算财政拨款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政府性基金预算财政拨款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国有资本经营预算财政拨款 </w:t>
            </w:r>
          </w:p>
        </w:tc>
      </w:tr>
      <w:tr>
        <w:tblPrEx>
          <w:tblCellMar>
            <w:top w:w="0" w:type="dxa"/>
            <w:left w:w="0" w:type="dxa"/>
            <w:bottom w:w="0" w:type="dxa"/>
            <w:right w:w="0" w:type="dxa"/>
          </w:tblCellMar>
        </w:tblPrEx>
        <w:trPr>
          <w:jc w:val="center"/>
        </w:trPr>
        <w:tc>
          <w:tcPr>
            <w:tcW w:w="0" w:type="pct"/>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栏次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 </w:t>
            </w: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栏次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 </w:t>
            </w: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一、一般公共预算财政拨款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10,275.58 </w:t>
            </w: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一、一般公共服务支出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33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3,402.01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3,402.01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二、政府性基金预算财政拨款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28.92 </w:t>
            </w: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二、外交支出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34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三、国有资本经营财政拨款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三、国防支出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35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四、公共安全支出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36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40.23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40.23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五、教育支出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37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75.74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75.74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六、科学技术支出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38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409.94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409.94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7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七、文化旅游体育与传媒支出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39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49.62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49.62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8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八、社会保障和就业支出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40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1,024.50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1,004.50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9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九、卫生健康支出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41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14.25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14.25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10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十、节能环保支出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42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112.38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112.38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11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十一、城乡社区支出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43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1,802.19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1,802.19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12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十二、农林水支出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44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2,265.01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2,265.01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13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十三、交通运输支出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45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146.27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146.27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14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十四、资源勘探工业信息等支出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46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15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十五、商业服务业等支出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47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16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十六、金融支出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48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17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十七、援助其他地区支出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49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18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十八、自然资源海洋气象等支出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50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66.19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66.19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19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十九、住房保障支出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51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20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二十、粮油物资储备支出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52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21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二十一、国有资本经营预算支出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53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22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二十二、灾害防治及应急管理支出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54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67.60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67.60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23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二十三、其他支出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55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24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二十四、债务还本支出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56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25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二十五、债务付息支出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57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26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二十六、抗疫特别国债安排的支出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58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kern w:val="0"/>
                <w:sz w:val="22"/>
                <w:szCs w:val="22"/>
              </w:rPr>
              <w:t xml:space="preserve">本年收入合计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27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10,305.20 </w:t>
            </w: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kern w:val="0"/>
                <w:sz w:val="22"/>
                <w:szCs w:val="22"/>
              </w:rPr>
              <w:t xml:space="preserve">本年支出合计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59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10,305.20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10,275.58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28.92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0.70 </w:t>
            </w: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年初财政拨款结转和结余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28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年末财政拨款结转和结余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60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一般公共预算财政拨款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29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61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政府性基金预算财政拨款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30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62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国有资本经营预算财政拨款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31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63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kern w:val="0"/>
                <w:sz w:val="22"/>
                <w:szCs w:val="22"/>
              </w:rPr>
              <w:t xml:space="preserve">总计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32 </w:t>
            </w:r>
          </w:p>
        </w:tc>
        <w:tc>
          <w:tcPr>
            <w:tcW w:w="48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10,305.20 </w:t>
            </w:r>
          </w:p>
        </w:tc>
        <w:tc>
          <w:tcPr>
            <w:tcW w:w="115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kern w:val="0"/>
                <w:sz w:val="22"/>
                <w:szCs w:val="22"/>
              </w:rPr>
              <w:t xml:space="preserve">总计 </w:t>
            </w:r>
          </w:p>
        </w:tc>
        <w:tc>
          <w:tcPr>
            <w:tcW w:w="16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64 </w:t>
            </w:r>
          </w:p>
        </w:tc>
        <w:tc>
          <w:tcPr>
            <w:tcW w:w="6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10,305.20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10,275.58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28.92 </w:t>
            </w:r>
          </w:p>
        </w:tc>
        <w:tc>
          <w:tcPr>
            <w:tcW w:w="45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0.70 </w:t>
            </w:r>
          </w:p>
        </w:tc>
      </w:tr>
      <w:tr>
        <w:tblPrEx>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3"/>
        <w:tblW w:w="5000" w:type="pct"/>
        <w:jc w:val="center"/>
        <w:shd w:val="clear" w:color="auto" w:fill="auto"/>
        <w:tblLayout w:type="autofit"/>
        <w:tblCellMar>
          <w:top w:w="0" w:type="dxa"/>
          <w:left w:w="0" w:type="dxa"/>
          <w:bottom w:w="0" w:type="dxa"/>
          <w:right w:w="0" w:type="dxa"/>
        </w:tblCellMar>
      </w:tblPr>
      <w:tblGrid>
        <w:gridCol w:w="452"/>
        <w:gridCol w:w="452"/>
        <w:gridCol w:w="455"/>
        <w:gridCol w:w="5398"/>
        <w:gridCol w:w="3092"/>
        <w:gridCol w:w="3093"/>
        <w:gridCol w:w="3096"/>
      </w:tblGrid>
      <w:tr>
        <w:tblPrEx>
          <w:shd w:val="clear" w:color="auto" w:fill="auto"/>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40"/>
                <w:szCs w:val="40"/>
              </w:rPr>
              <w:t xml:space="preserve">一般公共预算财政拨款支出决算表 </w:t>
            </w:r>
          </w:p>
        </w:tc>
      </w:tr>
      <w:tr>
        <w:tblPrEx>
          <w:tblCellMar>
            <w:top w:w="0" w:type="dxa"/>
            <w:left w:w="0" w:type="dxa"/>
            <w:bottom w:w="0" w:type="dxa"/>
            <w:right w:w="0" w:type="dxa"/>
          </w:tblCellMar>
        </w:tblPrEx>
        <w:trPr>
          <w:jc w:val="center"/>
        </w:trPr>
        <w:tc>
          <w:tcPr>
            <w:tcW w:w="141"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41"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41"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682"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964"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928" w:type="pct"/>
            <w:gridSpan w:val="2"/>
            <w:tcBorders>
              <w:top w:val="nil"/>
              <w:left w:val="nil"/>
              <w:bottom w:val="nil"/>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公开05表 </w:t>
            </w:r>
          </w:p>
        </w:tc>
      </w:tr>
      <w:tr>
        <w:tblPrEx>
          <w:tblCellMar>
            <w:top w:w="0" w:type="dxa"/>
            <w:left w:w="0" w:type="dxa"/>
            <w:bottom w:w="0" w:type="dxa"/>
            <w:right w:w="0" w:type="dxa"/>
          </w:tblCellMar>
        </w:tblPrEx>
        <w:trPr>
          <w:jc w:val="center"/>
        </w:trPr>
        <w:tc>
          <w:tcPr>
            <w:tcW w:w="3071" w:type="pct"/>
            <w:gridSpan w:val="5"/>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部门：浏阳市荷花街道办事处 </w:t>
            </w:r>
          </w:p>
        </w:tc>
        <w:tc>
          <w:tcPr>
            <w:tcW w:w="1928" w:type="pct"/>
            <w:gridSpan w:val="2"/>
            <w:tcBorders>
              <w:top w:val="nil"/>
              <w:left w:val="nil"/>
              <w:bottom w:val="single" w:color="666666" w:sz="6" w:space="0"/>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金额单位：万元 </w:t>
            </w:r>
          </w:p>
        </w:tc>
      </w:tr>
      <w:tr>
        <w:tblPrEx>
          <w:tblCellMar>
            <w:top w:w="0" w:type="dxa"/>
            <w:left w:w="0" w:type="dxa"/>
            <w:bottom w:w="0" w:type="dxa"/>
            <w:right w:w="0" w:type="dxa"/>
          </w:tblCellMar>
        </w:tblPrEx>
        <w:trPr>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 </w:t>
            </w:r>
          </w:p>
        </w:tc>
        <w:tc>
          <w:tcPr>
            <w:tcW w:w="2892" w:type="pct"/>
            <w:gridSpan w:val="3"/>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本年支出 </w:t>
            </w:r>
          </w:p>
        </w:tc>
      </w:tr>
      <w:tr>
        <w:tblPrEx>
          <w:tblCellMar>
            <w:top w:w="0" w:type="dxa"/>
            <w:left w:w="0" w:type="dxa"/>
            <w:bottom w:w="0" w:type="dxa"/>
            <w:right w:w="0" w:type="dxa"/>
          </w:tblCellMar>
        </w:tblPrEx>
        <w:trPr>
          <w:jc w:val="center"/>
        </w:trPr>
        <w:tc>
          <w:tcPr>
            <w:tcW w:w="424" w:type="pct"/>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功能分类科目编码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小计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基本支出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项目支出 </w:t>
            </w:r>
          </w:p>
        </w:tc>
      </w:tr>
      <w:tr>
        <w:tblPrEx>
          <w:tblCellMar>
            <w:top w:w="0" w:type="dxa"/>
            <w:left w:w="0" w:type="dxa"/>
            <w:bottom w:w="0" w:type="dxa"/>
            <w:right w:w="0" w:type="dxa"/>
          </w:tblCellMar>
        </w:tblPrEx>
        <w:trPr>
          <w:jc w:val="center"/>
        </w:trPr>
        <w:tc>
          <w:tcPr>
            <w:tcW w:w="424"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424"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栏次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 </w:t>
            </w:r>
          </w:p>
        </w:tc>
      </w:tr>
      <w:tr>
        <w:tblPrEx>
          <w:tblCellMar>
            <w:top w:w="0" w:type="dxa"/>
            <w:left w:w="0" w:type="dxa"/>
            <w:bottom w:w="0" w:type="dxa"/>
            <w:right w:w="0" w:type="dxa"/>
          </w:tblCellMar>
        </w:tblPrEx>
        <w:trPr>
          <w:jc w:val="center"/>
        </w:trPr>
        <w:tc>
          <w:tcPr>
            <w:tcW w:w="2107"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合计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10,275.58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2,901.92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7,373.67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一般公共服务支出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3,402.01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1,812.48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1,589.54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人大事务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59.94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24.20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2010101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2010102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15.60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15.60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2010108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代表工作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8.60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8.60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政协事务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2010201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政府办公厅（室）及相关机构事务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2,983.48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1,599.23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1,384.25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729.59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729.59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1,381.96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1,381.96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2010305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专项业务及机关事务管理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2010308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信访事务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0.29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0.29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2010350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869.64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869.64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发展与改革事务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88.50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88.50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2010402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2010499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其他发展与改革事务支出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48.50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48.50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统计信息事务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2010502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2010507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专项普查活动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财政事务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139.81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109.81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2010601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109.81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109.81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2010602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2010699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其他财政事务支出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20113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商贸事务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4.18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2011308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招商引资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4.18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党委办公厅（室）及相关机构事务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52.61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2013101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52.61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52.61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2013102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组织事务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36.65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36.65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2013202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36.65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36.65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20138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市场监督管理事务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8.76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8.76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2013899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其他市场监督管理事务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8.76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8.76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公共安全支出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40.23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公安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2040202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5.66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20406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司法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2040601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34.57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教育支出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75.74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75.74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普通教育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68.74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68.74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2050299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其他普通教育支出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68.74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68.74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其他教育支出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2059999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其他教育支出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科学技术支出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409.94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409.94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20604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技术研究与开发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408.94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408.94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2060499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其他技术研究与开发支出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408.94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408.94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20607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科学技术普及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2060702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科普活动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文化旅游体育与传媒支出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49.62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49.62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文化和旅游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28.62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28.62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2070108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文化活动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0.50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0.50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2070199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其他文化和旅游支出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28.12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28.12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其他文化旅游体育与传媒支出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2079999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其他文化旅游体育与传媒支出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社会保障和就业支出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1,004.50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719.34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285.15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人力资源和社会保障管理事务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374.20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372.77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1.42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2080109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社会保险经办机构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1.42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2080150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372.77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372.77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行政事业单位养老支出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301.93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301.93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2080501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行政单位离退休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234.57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234.57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2080502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事业单位离退休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58.26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58.26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2080506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机关事业单位职业年金缴费支出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9.10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9.10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20808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抚恤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57.22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57.22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2080804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优抚事业单位支出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2080899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其他优抚支出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52.22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52.22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退役安置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21.23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2080999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其他退役安置支出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21.23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20810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社会福利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148.43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148.43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2081006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养老服务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148.43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148.43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残疾人事业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2081105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残疾人就业和扶贫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2081106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残疾人体育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2081199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其他残疾人事业支出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20820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临时救助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18.44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18.44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2082001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临时救助支出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18.44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18.44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20828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退役军人管理事务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72.26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44.64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27.62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2082802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27.62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27.62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2082850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44.64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44.64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其他社会保障和就业支出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2089999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其他社会保障和就业支出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3.60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卫生健康支出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14.25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14.25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公共卫生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5.46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5.46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2100408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基本公共卫生服务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2100499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其他公共卫生支出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21007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计划生育事务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1.19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2100717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计划生育服务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1.19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21011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行政事业单位医疗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2101101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行政单位医疗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21015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医疗保障管理事务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2101599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其他医疗保障管理事务支出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0.60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节能环保支出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112.38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112.38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环境保护管理事务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2110199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其他环境保护管理事务支出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21103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污染防治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32.67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32.67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2110302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水体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32.67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32.67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自然生态保护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64.71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64.71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2110402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农村环境保护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64.71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64.71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21110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能源节约利用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2111001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能源节约利用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其他节能环保支出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2119999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其他节能环保支出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1,802.19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1,802.19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557.69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557.69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2120102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一般行政管理事务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2120104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城管执法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381.22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381.22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2120199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其他城乡社区管理事务支出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168.47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168.47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21203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城乡社区公共设施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965.91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965.91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2120399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其他城乡社区公共设施支出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965.91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965.91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城乡社区环境卫生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2120501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城乡社区环境卫生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28.00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其他城乡社区支出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250.59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2129999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其他城乡社区支出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250.59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农林水支出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2,265.01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299.75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1,965.26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农业农村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892.07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252.21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639.86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2130104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事业运行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252.21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252.21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2130119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防灾救灾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2130121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农业结构调整补贴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13.80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2130122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农业生产发展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2130124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农村合作经济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2130126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农村社会事业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317.73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317.73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2130135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农业资源保护修复与利用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2130142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农村道路建设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2130153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农田建设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2130199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其他农业农村支出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244.32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244.32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林业和草原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106.92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47.54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59.38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2130204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事业机构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47.54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47.54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2130205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森林资源培育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2130207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森林资源管理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7.18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7.18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2130209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森林生态效益补偿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25.05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2130234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林业草原防灾减灾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18.15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18.15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2130299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其他林业和草原支出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水利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213.10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213.10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2130305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水利工程建设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2130306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水利工程运行与维护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41.13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41.13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2130314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防汛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2130316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农村水利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23.69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23.69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2130399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其他水利支出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113.28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113.28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扶贫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273.40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273.40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2130504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农村基础设施建设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2130599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其他扶贫支出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256.60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256.60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21307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农村综合改革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764.45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764.45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2130705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对村民委员会和村党支部的补助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554.45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554.45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2130706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对村集体经济组织的补助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2130707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农村综合改革示范试点补助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180.00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180.00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21308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普惠金融发展支出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11.08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2130803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农业保险保费补贴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9.88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9.88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2130899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其他普惠金融发展支出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其他农林水支出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2139999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其他农林水支出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交通运输支出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146.27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146.27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公路水路运输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141.73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141.73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2140104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公路建设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126.73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126.73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2140106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公路养护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成品油价格改革对交通运输的补贴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4.53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4.53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2140402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对农村道路客运的补贴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4.49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2140499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成品油价格改革补贴其他支出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0.05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0.05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资源勘探工业信息等支出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21508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支持中小企业发展和管理支出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2150899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其他支持中小企业发展和管理支出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商业服务业等支出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21602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商业流通事务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2160299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其他商业流通事务支出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38.00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其他商业服务业等支出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2169999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其他商业服务业等支出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自然资源海洋气象等支出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30.41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自然资源事务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66.19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30.41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2200101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行政运行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35.78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2200199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其他自然资源事务支出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30.41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30.41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住房保障支出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保障性安居工程支出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762.66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2210103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棚户区改造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168.51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168.51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2210105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农村危房改造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2210106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公共租赁住房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6.14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6.14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2210108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老旧小区改造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499.01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499.01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2210199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其他保障性安居工程支出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87.00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87.00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222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粮油物资储备支出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22201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粮油物资事务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2220199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其他粮油物资事务支出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灾害防治及应急管理支出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67.60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67.60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应急管理事务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2240106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安全监管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14.60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22406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自然灾害防治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2240601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地质灾害防治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其他灾害防治及应急管理支出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50.00 </w:t>
            </w:r>
          </w:p>
        </w:tc>
      </w:tr>
      <w:tr>
        <w:tblPrEx>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2249999 </w:t>
            </w:r>
          </w:p>
        </w:tc>
        <w:tc>
          <w:tcPr>
            <w:tcW w:w="1682"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其他灾害防治及应急管理支出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50.00 </w:t>
            </w: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96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50.00 </w:t>
            </w:r>
          </w:p>
        </w:tc>
      </w:tr>
      <w:tr>
        <w:tblPrEx>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注：本表反映部门本年度一般公共预算财政拨款支出情况。本表金额转换为万元时，因四舍五入可能存在尾数误差。 </w:t>
            </w:r>
          </w:p>
        </w:tc>
      </w:tr>
    </w:tbl>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3"/>
        <w:tblW w:w="5000" w:type="pct"/>
        <w:jc w:val="center"/>
        <w:shd w:val="clear" w:color="auto" w:fill="auto"/>
        <w:tblLayout w:type="autofit"/>
        <w:tblCellMar>
          <w:top w:w="0" w:type="dxa"/>
          <w:left w:w="0" w:type="dxa"/>
          <w:bottom w:w="0" w:type="dxa"/>
          <w:right w:w="0" w:type="dxa"/>
        </w:tblCellMar>
      </w:tblPr>
      <w:tblGrid>
        <w:gridCol w:w="718"/>
        <w:gridCol w:w="3380"/>
        <w:gridCol w:w="1726"/>
        <w:gridCol w:w="719"/>
        <w:gridCol w:w="2656"/>
        <w:gridCol w:w="1726"/>
        <w:gridCol w:w="725"/>
        <w:gridCol w:w="2659"/>
        <w:gridCol w:w="1729"/>
      </w:tblGrid>
      <w:tr>
        <w:tblPrEx>
          <w:shd w:val="clear" w:color="auto" w:fill="auto"/>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40"/>
                <w:szCs w:val="40"/>
              </w:rPr>
              <w:t xml:space="preserve">一般公共预算财政拨款基本支出决算明细表 </w:t>
            </w:r>
          </w:p>
        </w:tc>
      </w:tr>
      <w:tr>
        <w:tblPrEx>
          <w:tblCellMar>
            <w:top w:w="0" w:type="dxa"/>
            <w:left w:w="0" w:type="dxa"/>
            <w:bottom w:w="0" w:type="dxa"/>
            <w:right w:w="0" w:type="dxa"/>
          </w:tblCellMar>
        </w:tblPrEx>
        <w:trPr>
          <w:jc w:val="center"/>
        </w:trPr>
        <w:tc>
          <w:tcPr>
            <w:tcW w:w="224"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053"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538"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224"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828"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538"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224"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366" w:type="pct"/>
            <w:gridSpan w:val="2"/>
            <w:tcBorders>
              <w:top w:val="nil"/>
              <w:left w:val="nil"/>
              <w:bottom w:val="nil"/>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18"/>
                <w:szCs w:val="18"/>
              </w:rPr>
              <w:t xml:space="preserve">公开06表 </w:t>
            </w:r>
          </w:p>
        </w:tc>
      </w:tr>
      <w:tr>
        <w:tblPrEx>
          <w:tblCellMar>
            <w:top w:w="0" w:type="dxa"/>
            <w:left w:w="0" w:type="dxa"/>
            <w:bottom w:w="0" w:type="dxa"/>
            <w:right w:w="0" w:type="dxa"/>
          </w:tblCellMar>
        </w:tblPrEx>
        <w:trPr>
          <w:jc w:val="center"/>
        </w:trPr>
        <w:tc>
          <w:tcPr>
            <w:tcW w:w="3632" w:type="pct"/>
            <w:gridSpan w:val="7"/>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部门：浏阳市荷花街道办事处 </w:t>
            </w:r>
          </w:p>
        </w:tc>
        <w:tc>
          <w:tcPr>
            <w:tcW w:w="1366" w:type="pct"/>
            <w:gridSpan w:val="2"/>
            <w:tcBorders>
              <w:top w:val="nil"/>
              <w:left w:val="nil"/>
              <w:bottom w:val="single" w:color="666666" w:sz="6" w:space="0"/>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18"/>
                <w:szCs w:val="18"/>
              </w:rPr>
              <w:t xml:space="preserve">金额单位：万元 </w:t>
            </w:r>
          </w:p>
        </w:tc>
      </w:tr>
      <w:tr>
        <w:tblPrEx>
          <w:tblCellMar>
            <w:top w:w="0" w:type="dxa"/>
            <w:left w:w="0" w:type="dxa"/>
            <w:bottom w:w="0" w:type="dxa"/>
            <w:right w:w="0" w:type="dxa"/>
          </w:tblCellMar>
        </w:tblPrEx>
        <w:trPr>
          <w:jc w:val="center"/>
        </w:trPr>
        <w:tc>
          <w:tcPr>
            <w:tcW w:w="181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人员经费 </w:t>
            </w:r>
          </w:p>
        </w:tc>
        <w:tc>
          <w:tcPr>
            <w:tcW w:w="3182" w:type="pct"/>
            <w:gridSpan w:val="6"/>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公用经费 </w:t>
            </w:r>
          </w:p>
        </w:tc>
      </w:tr>
      <w:tr>
        <w:tblPrEx>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科目编码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决算数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科目编码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决算数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科目编码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决算数 </w:t>
            </w:r>
          </w:p>
        </w:tc>
      </w:tr>
      <w:tr>
        <w:tblPrEx>
          <w:tblCellMar>
            <w:top w:w="0" w:type="dxa"/>
            <w:left w:w="0" w:type="dxa"/>
            <w:bottom w:w="0" w:type="dxa"/>
            <w:right w:w="0" w:type="dxa"/>
          </w:tblCellMar>
        </w:tblPrEx>
        <w:trPr>
          <w:jc w:val="center"/>
        </w:trPr>
        <w:tc>
          <w:tcPr>
            <w:tcW w:w="0" w:type="pct"/>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kern w:val="0"/>
                <w:sz w:val="22"/>
                <w:szCs w:val="22"/>
              </w:rPr>
              <w:t xml:space="preserve">301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kern w:val="0"/>
                <w:sz w:val="22"/>
                <w:szCs w:val="22"/>
              </w:rPr>
              <w:t xml:space="preserve">工资福利支出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2,393.55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kern w:val="0"/>
                <w:sz w:val="22"/>
                <w:szCs w:val="22"/>
              </w:rPr>
              <w:t xml:space="preserve">302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kern w:val="0"/>
                <w:sz w:val="22"/>
                <w:szCs w:val="22"/>
              </w:rPr>
              <w:t xml:space="preserve">商品和服务支出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213.22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kern w:val="0"/>
                <w:sz w:val="22"/>
                <w:szCs w:val="22"/>
              </w:rPr>
              <w:t xml:space="preserve">307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kern w:val="0"/>
                <w:sz w:val="22"/>
                <w:szCs w:val="22"/>
              </w:rPr>
              <w:t xml:space="preserve">债务利息及费用支出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30101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基本工资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501.70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30201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办公费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17.73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30701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国内债务付息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30102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津贴补贴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409.58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30202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印刷费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11.43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30702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国外债务付息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30103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奖金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1,074.72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30203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咨询费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kern w:val="0"/>
                <w:sz w:val="22"/>
                <w:szCs w:val="22"/>
              </w:rPr>
              <w:t xml:space="preserve">310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kern w:val="0"/>
                <w:sz w:val="22"/>
                <w:szCs w:val="22"/>
              </w:rPr>
              <w:t xml:space="preserve">资本性支出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2.32 </w:t>
            </w: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30106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伙食补助费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30204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手续费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房屋建筑物购建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30107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绩效工资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30205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水费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1.39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办公设备购置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2.32 </w:t>
            </w: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30108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机关事业单位基本养老保险缴费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151.64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30206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电费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21.31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31003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专用设备购置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30109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职业年金缴费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46.03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30207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邮电费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18.98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31005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基础设施建设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30110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职工基本医疗保险缴费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66.80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30208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取暖费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31006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大型修缮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30111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公务员医疗补助缴费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27.48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30209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物业管理费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31007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信息网络及软件购置更新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30112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其他社会保障缴费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9.34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30211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差旅费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31008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物资储备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30113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住房公积金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106.26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30212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因公出国（境）费用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31009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土地补偿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30114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医疗费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30213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维修（护）费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0.25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31010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安置补助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30199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其他工资福利支出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30214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租赁费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31011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地上附着物和青苗补偿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kern w:val="0"/>
                <w:sz w:val="22"/>
                <w:szCs w:val="22"/>
              </w:rPr>
              <w:t xml:space="preserve">303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kern w:val="0"/>
                <w:sz w:val="22"/>
                <w:szCs w:val="22"/>
              </w:rPr>
              <w:t xml:space="preserve">对个人和家庭的补助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292.83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30215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会议费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31012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拆迁补偿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30301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离休费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30216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培训费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0.03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31013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公务用车购置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30302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退休费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30217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公务接待费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31019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其他交通工具购置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30303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退职（役）费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30218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专用材料费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31021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文物和陈列品购置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30304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抚恤金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46.47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30224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被装购置费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31022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无形资产购置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30305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生活补助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95.64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30225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专用燃料费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31099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其他资本性支出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30306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救济费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30226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劳务费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kern w:val="0"/>
                <w:sz w:val="22"/>
                <w:szCs w:val="22"/>
              </w:rPr>
              <w:t xml:space="preserve">399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kern w:val="0"/>
                <w:sz w:val="22"/>
                <w:szCs w:val="22"/>
              </w:rPr>
              <w:t xml:space="preserve">其他支出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30307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医疗费补助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0.78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30227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委托业务费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39906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赠与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30308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助学金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30228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工会经费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35.80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39907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国家赔偿费用支出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30309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奖励金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65.37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30229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福利费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39908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对民间非营利组织和群众性自治组织补贴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30310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个人农业生产补贴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30231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公务用车运行维护费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2.66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39999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30311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代缴社会保险费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30239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其他交通费用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91.22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30399 </w:t>
            </w: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其他对个人和家庭的补助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84.57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30240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税金及附加费用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05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30299 </w:t>
            </w: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其他商品和服务支出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12.42 </w:t>
            </w:r>
          </w:p>
        </w:tc>
        <w:tc>
          <w:tcPr>
            <w:tcW w:w="22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82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278" w:type="pct"/>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kern w:val="0"/>
                <w:sz w:val="22"/>
                <w:szCs w:val="22"/>
              </w:rPr>
              <w:t xml:space="preserve">人员经费合计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2,686.38 </w:t>
            </w:r>
          </w:p>
        </w:tc>
        <w:tc>
          <w:tcPr>
            <w:tcW w:w="2645" w:type="pct"/>
            <w:gridSpan w:val="5"/>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kern w:val="0"/>
                <w:sz w:val="22"/>
                <w:szCs w:val="22"/>
              </w:rPr>
              <w:t xml:space="preserve">公用经费合计 </w:t>
            </w:r>
          </w:p>
        </w:tc>
        <w:tc>
          <w:tcPr>
            <w:tcW w:w="53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215.54 </w:t>
            </w:r>
          </w:p>
        </w:tc>
      </w:tr>
      <w:tr>
        <w:tblPrEx>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注：本表反映部门本年度一般公共预算财政拨款基本支出明细情况。本表金额转换为万元时，因四舍五入可能存在尾数误差。 </w:t>
            </w:r>
          </w:p>
        </w:tc>
      </w:tr>
    </w:tbl>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3"/>
        <w:tblW w:w="5000" w:type="pct"/>
        <w:jc w:val="center"/>
        <w:shd w:val="clear" w:color="auto" w:fill="auto"/>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shd w:val="clear" w:color="auto" w:fill="auto"/>
          <w:tblCellMar>
            <w:top w:w="0" w:type="dxa"/>
            <w:left w:w="0" w:type="dxa"/>
            <w:bottom w:w="0" w:type="dxa"/>
            <w:right w:w="0" w:type="dxa"/>
          </w:tblCellMar>
        </w:tblPrEx>
        <w:trPr>
          <w:jc w:val="center"/>
        </w:trPr>
        <w:tc>
          <w:tcPr>
            <w:tcW w:w="5000" w:type="pct"/>
            <w:gridSpan w:val="12"/>
            <w:tcBorders>
              <w:top w:val="nil"/>
              <w:left w:val="nil"/>
              <w:bottom w:val="nil"/>
              <w:right w:val="nil"/>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40"/>
                <w:szCs w:val="40"/>
              </w:rPr>
              <w:t xml:space="preserve">一般公共预算财政拨款“三公”经费支出决算表 </w:t>
            </w:r>
          </w:p>
        </w:tc>
      </w:tr>
      <w:tr>
        <w:tblPrEx>
          <w:tblCellMar>
            <w:top w:w="0" w:type="dxa"/>
            <w:left w:w="0" w:type="dxa"/>
            <w:bottom w:w="0" w:type="dxa"/>
            <w:right w:w="0" w:type="dxa"/>
          </w:tblCellMar>
        </w:tblPrEx>
        <w:trPr>
          <w:jc w:val="center"/>
        </w:trPr>
        <w:tc>
          <w:tcPr>
            <w:tcW w:w="41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833" w:type="pct"/>
            <w:gridSpan w:val="2"/>
            <w:tcBorders>
              <w:top w:val="nil"/>
              <w:left w:val="nil"/>
              <w:bottom w:val="nil"/>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公开07表 </w:t>
            </w:r>
          </w:p>
        </w:tc>
      </w:tr>
      <w:tr>
        <w:tblPrEx>
          <w:tblCellMar>
            <w:top w:w="0" w:type="dxa"/>
            <w:left w:w="0" w:type="dxa"/>
            <w:bottom w:w="0" w:type="dxa"/>
            <w:right w:w="0" w:type="dxa"/>
          </w:tblCellMar>
        </w:tblPrEx>
        <w:trPr>
          <w:jc w:val="center"/>
        </w:trPr>
        <w:tc>
          <w:tcPr>
            <w:tcW w:w="4166" w:type="pct"/>
            <w:gridSpan w:val="10"/>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部门：浏阳市荷花街道办事处 </w:t>
            </w:r>
          </w:p>
        </w:tc>
        <w:tc>
          <w:tcPr>
            <w:tcW w:w="833" w:type="pct"/>
            <w:gridSpan w:val="2"/>
            <w:tcBorders>
              <w:top w:val="nil"/>
              <w:left w:val="nil"/>
              <w:bottom w:val="single" w:color="666666" w:sz="6" w:space="0"/>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金额单位：万元 </w:t>
            </w:r>
          </w:p>
        </w:tc>
      </w:tr>
      <w:tr>
        <w:tblPrEx>
          <w:tblCellMar>
            <w:top w:w="0" w:type="dxa"/>
            <w:left w:w="0" w:type="dxa"/>
            <w:bottom w:w="0" w:type="dxa"/>
            <w:right w:w="0" w:type="dxa"/>
          </w:tblCellMar>
        </w:tblPrEx>
        <w:trPr>
          <w:jc w:val="center"/>
        </w:trPr>
        <w:tc>
          <w:tcPr>
            <w:tcW w:w="2500"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预算数 </w:t>
            </w:r>
          </w:p>
        </w:tc>
        <w:tc>
          <w:tcPr>
            <w:tcW w:w="2500" w:type="pct"/>
            <w:gridSpan w:val="6"/>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决算数 </w:t>
            </w:r>
          </w:p>
        </w:tc>
      </w:tr>
      <w:tr>
        <w:tblPrEx>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合计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因公出国（境）费 </w:t>
            </w:r>
          </w:p>
        </w:tc>
        <w:tc>
          <w:tcPr>
            <w:tcW w:w="1250" w:type="pct"/>
            <w:gridSpan w:val="3"/>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公务接待费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合计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因公出国（境）费 </w:t>
            </w:r>
          </w:p>
        </w:tc>
        <w:tc>
          <w:tcPr>
            <w:tcW w:w="1250" w:type="pct"/>
            <w:gridSpan w:val="3"/>
            <w:tcBorders>
              <w:top w:val="single" w:color="666666" w:sz="6" w:space="0"/>
              <w:left w:val="nil"/>
              <w:bottom w:val="nil"/>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公务接待费 </w:t>
            </w:r>
          </w:p>
        </w:tc>
      </w:tr>
      <w:tr>
        <w:tblPrEx>
          <w:tblCellMar>
            <w:top w:w="0" w:type="dxa"/>
            <w:left w:w="0" w:type="dxa"/>
            <w:bottom w:w="0" w:type="dxa"/>
            <w:right w:w="0" w:type="dxa"/>
          </w:tblCellMar>
        </w:tblPrEx>
        <w:trPr>
          <w:jc w:val="center"/>
        </w:trPr>
        <w:tc>
          <w:tcPr>
            <w:tcW w:w="0" w:type="pct"/>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小计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公务用车购置费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小计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公务用车购置费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7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8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9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11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12 </w:t>
            </w:r>
          </w:p>
        </w:tc>
      </w:tr>
      <w:tr>
        <w:tblPrEx>
          <w:tblCellMar>
            <w:top w:w="0" w:type="dxa"/>
            <w:left w:w="0" w:type="dxa"/>
            <w:bottom w:w="0" w:type="dxa"/>
            <w:right w:w="0" w:type="dxa"/>
          </w:tblCellMar>
        </w:tblPrEx>
        <w:trPr>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34.71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24.71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2.66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2.66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2.66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5000" w:type="pct"/>
            <w:gridSpan w:val="12"/>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3"/>
        <w:tblW w:w="5000" w:type="pct"/>
        <w:jc w:val="center"/>
        <w:shd w:val="clear" w:color="auto" w:fill="auto"/>
        <w:tblLayout w:type="autofit"/>
        <w:tblCellMar>
          <w:top w:w="0" w:type="dxa"/>
          <w:left w:w="0" w:type="dxa"/>
          <w:bottom w:w="0" w:type="dxa"/>
          <w:right w:w="0" w:type="dxa"/>
        </w:tblCellMar>
      </w:tblPr>
      <w:tblGrid>
        <w:gridCol w:w="333"/>
        <w:gridCol w:w="334"/>
        <w:gridCol w:w="334"/>
        <w:gridCol w:w="3458"/>
        <w:gridCol w:w="1180"/>
        <w:gridCol w:w="1969"/>
        <w:gridCol w:w="1075"/>
        <w:gridCol w:w="1524"/>
        <w:gridCol w:w="1517"/>
        <w:gridCol w:w="4314"/>
      </w:tblGrid>
      <w:tr>
        <w:tblPrEx>
          <w:shd w:val="clear" w:color="auto" w:fill="auto"/>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40"/>
                <w:szCs w:val="40"/>
              </w:rPr>
              <w:t xml:space="preserve">政府性基金预算财政拨款收入支出决算表 </w:t>
            </w:r>
          </w:p>
        </w:tc>
      </w:tr>
      <w:tr>
        <w:tblPrEx>
          <w:tblCellMar>
            <w:top w:w="0" w:type="dxa"/>
            <w:left w:w="0" w:type="dxa"/>
            <w:bottom w:w="0" w:type="dxa"/>
            <w:right w:w="0" w:type="dxa"/>
          </w:tblCellMar>
        </w:tblPrEx>
        <w:trPr>
          <w:jc w:val="center"/>
        </w:trPr>
        <w:tc>
          <w:tcPr>
            <w:tcW w:w="104"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04"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04"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078"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368"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614"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335"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473"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816" w:type="pct"/>
            <w:gridSpan w:val="2"/>
            <w:tcBorders>
              <w:top w:val="nil"/>
              <w:left w:val="nil"/>
              <w:bottom w:val="nil"/>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公开08表 </w:t>
            </w:r>
          </w:p>
        </w:tc>
      </w:tr>
      <w:tr>
        <w:tblPrEx>
          <w:tblCellMar>
            <w:top w:w="0" w:type="dxa"/>
            <w:left w:w="0" w:type="dxa"/>
            <w:bottom w:w="0" w:type="dxa"/>
            <w:right w:w="0" w:type="dxa"/>
          </w:tblCellMar>
        </w:tblPrEx>
        <w:trPr>
          <w:jc w:val="center"/>
        </w:trPr>
        <w:tc>
          <w:tcPr>
            <w:tcW w:w="3182" w:type="pct"/>
            <w:gridSpan w:val="8"/>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部门：浏阳市荷花街道办事处 </w:t>
            </w:r>
          </w:p>
        </w:tc>
        <w:tc>
          <w:tcPr>
            <w:tcW w:w="1816" w:type="pct"/>
            <w:gridSpan w:val="2"/>
            <w:tcBorders>
              <w:top w:val="nil"/>
              <w:left w:val="nil"/>
              <w:bottom w:val="nil"/>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金额单位：万元 </w:t>
            </w:r>
          </w:p>
        </w:tc>
      </w:tr>
      <w:tr>
        <w:tblPrEx>
          <w:tblCellMar>
            <w:top w:w="0" w:type="dxa"/>
            <w:left w:w="0" w:type="dxa"/>
            <w:bottom w:w="0" w:type="dxa"/>
            <w:right w:w="0" w:type="dxa"/>
          </w:tblCellMar>
        </w:tblPrEx>
        <w:trPr>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年初结转和结余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本年收入 </w:t>
            </w:r>
          </w:p>
        </w:tc>
        <w:tc>
          <w:tcPr>
            <w:tcW w:w="1281" w:type="pct"/>
            <w:gridSpan w:val="3"/>
            <w:tcBorders>
              <w:top w:val="single" w:color="666666" w:sz="6" w:space="0"/>
              <w:left w:val="nil"/>
              <w:bottom w:val="nil"/>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本年支出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年末结转和结余 </w:t>
            </w:r>
          </w:p>
        </w:tc>
      </w:tr>
      <w:tr>
        <w:tblPrEx>
          <w:tblCellMar>
            <w:top w:w="0" w:type="dxa"/>
            <w:left w:w="0" w:type="dxa"/>
            <w:bottom w:w="0" w:type="dxa"/>
            <w:right w:w="0" w:type="dxa"/>
          </w:tblCellMar>
        </w:tblPrEx>
        <w:trPr>
          <w:jc w:val="center"/>
        </w:trPr>
        <w:tc>
          <w:tcPr>
            <w:tcW w:w="312" w:type="pct"/>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功能分类科目编码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科目名称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restart"/>
            <w:tcBorders>
              <w:top w:val="nil"/>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小计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基本支出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项目支出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312"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312"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栏次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 </w:t>
            </w: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4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5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6 </w:t>
            </w:r>
          </w:p>
        </w:tc>
      </w:tr>
      <w:tr>
        <w:tblPrEx>
          <w:tblCellMar>
            <w:top w:w="0" w:type="dxa"/>
            <w:left w:w="0" w:type="dxa"/>
            <w:bottom w:w="0" w:type="dxa"/>
            <w:right w:w="0" w:type="dxa"/>
          </w:tblCellMar>
        </w:tblPrEx>
        <w:trPr>
          <w:jc w:val="center"/>
        </w:trPr>
        <w:tc>
          <w:tcPr>
            <w:tcW w:w="1390"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合计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28.92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28.92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28.92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 </w:t>
            </w: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社会保障和就业支出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20822 </w:t>
            </w: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大中型水库移民后期扶持基金支出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2082201 </w:t>
            </w: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移民补助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20.00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229 </w:t>
            </w: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其他支出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22960 </w:t>
            </w: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彩票公益金安排的支出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2296002 </w:t>
            </w: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用于社会福利的彩票公益金支出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1.50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 </w:t>
            </w: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抗疫特别国债安排的支出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23402 </w:t>
            </w: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抗疫相关支出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2340205 </w:t>
            </w: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困难群众基本生活补助 </w:t>
            </w: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7.42 </w:t>
            </w: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312"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07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368"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614"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335"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47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13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注：本表反映部门本年度政府性基金预算财政拨款收入、支出及结转和结余情况。本表金额转换为万元时，因四舍五入可能存在尾数误差。 </w:t>
            </w:r>
          </w:p>
        </w:tc>
      </w:tr>
    </w:tbl>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before="0" w:beforeAutospacing="0" w:after="2" w:afterAutospacing="0"/>
        <w:ind w:left="0" w:right="0"/>
        <w:jc w:val="cente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3"/>
        <w:tblW w:w="5000" w:type="pct"/>
        <w:jc w:val="center"/>
        <w:shd w:val="clear" w:color="auto" w:fill="auto"/>
        <w:tblLayout w:type="autofit"/>
        <w:tblCellMar>
          <w:top w:w="0" w:type="dxa"/>
          <w:left w:w="0" w:type="dxa"/>
          <w:bottom w:w="0" w:type="dxa"/>
          <w:right w:w="0" w:type="dxa"/>
        </w:tblCellMar>
      </w:tblPr>
      <w:tblGrid>
        <w:gridCol w:w="529"/>
        <w:gridCol w:w="529"/>
        <w:gridCol w:w="532"/>
        <w:gridCol w:w="6325"/>
        <w:gridCol w:w="2707"/>
        <w:gridCol w:w="2705"/>
        <w:gridCol w:w="2711"/>
      </w:tblGrid>
      <w:tr>
        <w:tblPrEx>
          <w:shd w:val="clear" w:color="auto" w:fill="auto"/>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40"/>
                <w:szCs w:val="40"/>
              </w:rPr>
              <w:t xml:space="preserve">国有资本经营预算财政拨款支出决算表 </w:t>
            </w:r>
          </w:p>
        </w:tc>
      </w:tr>
      <w:tr>
        <w:tblPrEx>
          <w:tblCellMar>
            <w:top w:w="0" w:type="dxa"/>
            <w:left w:w="0" w:type="dxa"/>
            <w:bottom w:w="0" w:type="dxa"/>
            <w:right w:w="0" w:type="dxa"/>
          </w:tblCellMar>
        </w:tblPrEx>
        <w:trPr>
          <w:jc w:val="center"/>
        </w:trPr>
        <w:tc>
          <w:tcPr>
            <w:tcW w:w="165"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65"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65"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971"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843" w:type="pct"/>
            <w:tcBorders>
              <w:top w:val="nil"/>
              <w:left w:val="nil"/>
              <w:bottom w:val="nil"/>
              <w:right w:val="nil"/>
            </w:tcBorders>
            <w:shd w:val="clear" w:color="auto" w:fill="auto"/>
            <w:vAlign w:val="center"/>
          </w:tcPr>
          <w:p>
            <w:pPr>
              <w:pStyle w:val="18"/>
              <w:keepNext w:val="0"/>
              <w:keepLines w:val="0"/>
              <w:widowControl/>
              <w:suppressLineNumbers w:val="0"/>
              <w:rPr>
                <w:rFonts w:hint="eastAsia" w:ascii="宋体" w:hAnsi="宋体" w:eastAsia="宋体" w:cs="宋体"/>
                <w:kern w:val="0"/>
                <w:sz w:val="24"/>
                <w:szCs w:val="24"/>
              </w:rPr>
            </w:pPr>
          </w:p>
        </w:tc>
        <w:tc>
          <w:tcPr>
            <w:tcW w:w="1687" w:type="pct"/>
            <w:gridSpan w:val="2"/>
            <w:tcBorders>
              <w:top w:val="nil"/>
              <w:left w:val="nil"/>
              <w:bottom w:val="nil"/>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公开09表 </w:t>
            </w:r>
          </w:p>
        </w:tc>
      </w:tr>
      <w:tr>
        <w:tblPrEx>
          <w:tblCellMar>
            <w:top w:w="0" w:type="dxa"/>
            <w:left w:w="0" w:type="dxa"/>
            <w:bottom w:w="0" w:type="dxa"/>
            <w:right w:w="0" w:type="dxa"/>
          </w:tblCellMar>
        </w:tblPrEx>
        <w:trPr>
          <w:jc w:val="center"/>
        </w:trPr>
        <w:tc>
          <w:tcPr>
            <w:tcW w:w="3312" w:type="pct"/>
            <w:gridSpan w:val="5"/>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部门：浏阳市荷花街道办事处 </w:t>
            </w:r>
          </w:p>
        </w:tc>
        <w:tc>
          <w:tcPr>
            <w:tcW w:w="1687" w:type="pct"/>
            <w:gridSpan w:val="2"/>
            <w:tcBorders>
              <w:top w:val="nil"/>
              <w:left w:val="nil"/>
              <w:bottom w:val="single" w:color="666666" w:sz="6" w:space="0"/>
              <w:right w:val="nil"/>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0"/>
                <w:szCs w:val="20"/>
              </w:rPr>
              <w:t xml:space="preserve">金额单位：万元 </w:t>
            </w:r>
          </w:p>
        </w:tc>
      </w:tr>
      <w:tr>
        <w:tblPrEx>
          <w:tblCellMar>
            <w:top w:w="0" w:type="dxa"/>
            <w:left w:w="0" w:type="dxa"/>
            <w:bottom w:w="0" w:type="dxa"/>
            <w:right w:w="0" w:type="dxa"/>
          </w:tblCellMar>
        </w:tblPrEx>
        <w:trPr>
          <w:jc w:val="center"/>
        </w:trPr>
        <w:tc>
          <w:tcPr>
            <w:tcW w:w="2468"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 </w:t>
            </w:r>
          </w:p>
        </w:tc>
        <w:tc>
          <w:tcPr>
            <w:tcW w:w="2531" w:type="pct"/>
            <w:gridSpan w:val="3"/>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本年支出 </w:t>
            </w:r>
          </w:p>
        </w:tc>
      </w:tr>
      <w:tr>
        <w:tblPrEx>
          <w:tblCellMar>
            <w:top w:w="0" w:type="dxa"/>
            <w:left w:w="0" w:type="dxa"/>
            <w:bottom w:w="0" w:type="dxa"/>
            <w:right w:w="0" w:type="dxa"/>
          </w:tblCellMar>
        </w:tblPrEx>
        <w:trPr>
          <w:jc w:val="center"/>
        </w:trPr>
        <w:tc>
          <w:tcPr>
            <w:tcW w:w="496" w:type="pct"/>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功能分类科目编码 </w:t>
            </w:r>
          </w:p>
        </w:tc>
        <w:tc>
          <w:tcPr>
            <w:tcW w:w="1971" w:type="pct"/>
            <w:vMerge w:val="restart"/>
            <w:tcBorders>
              <w:top w:val="nil"/>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科目名称 </w:t>
            </w:r>
          </w:p>
        </w:tc>
        <w:tc>
          <w:tcPr>
            <w:tcW w:w="843"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合计 </w:t>
            </w:r>
          </w:p>
        </w:tc>
        <w:tc>
          <w:tcPr>
            <w:tcW w:w="843"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基本支出 </w:t>
            </w:r>
          </w:p>
        </w:tc>
        <w:tc>
          <w:tcPr>
            <w:tcW w:w="843" w:type="pct"/>
            <w:vMerge w:val="restar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项目支出 </w:t>
            </w:r>
          </w:p>
        </w:tc>
      </w:tr>
      <w:tr>
        <w:tblPrEx>
          <w:tblCellMar>
            <w:top w:w="0" w:type="dxa"/>
            <w:left w:w="0" w:type="dxa"/>
            <w:bottom w:w="0" w:type="dxa"/>
            <w:right w:w="0" w:type="dxa"/>
          </w:tblCellMar>
        </w:tblPrEx>
        <w:trPr>
          <w:jc w:val="center"/>
        </w:trPr>
        <w:tc>
          <w:tcPr>
            <w:tcW w:w="496"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971"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843"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843"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843"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496" w:type="pct"/>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971"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843"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843"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843"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jc w:val="center"/>
        </w:trPr>
        <w:tc>
          <w:tcPr>
            <w:tcW w:w="2468"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栏次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1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2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3 </w:t>
            </w:r>
          </w:p>
        </w:tc>
      </w:tr>
      <w:tr>
        <w:tblPrEx>
          <w:tblCellMar>
            <w:top w:w="0" w:type="dxa"/>
            <w:left w:w="0" w:type="dxa"/>
            <w:bottom w:w="0" w:type="dxa"/>
            <w:right w:w="0" w:type="dxa"/>
          </w:tblCellMar>
        </w:tblPrEx>
        <w:trPr>
          <w:jc w:val="center"/>
        </w:trPr>
        <w:tc>
          <w:tcPr>
            <w:tcW w:w="2468" w:type="pct"/>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kern w:val="0"/>
                <w:sz w:val="22"/>
                <w:szCs w:val="22"/>
              </w:rPr>
              <w:t xml:space="preserve">合计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0.70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ind w:left="0" w:leftChars="0" w:right="0" w:rightChars="0"/>
              <w:jc w:val="right"/>
              <w:rPr>
                <w:rFonts w:hint="eastAsia" w:ascii="宋体" w:hAnsi="宋体" w:eastAsia="宋体" w:cs="宋体"/>
                <w:kern w:val="0"/>
                <w:sz w:val="24"/>
                <w:szCs w:val="24"/>
              </w:rPr>
            </w:pPr>
            <w:r>
              <w:rPr>
                <w:rFonts w:hint="eastAsia" w:ascii="宋体" w:hAnsi="宋体" w:eastAsia="宋体" w:cs="宋体"/>
                <w:b/>
                <w:kern w:val="0"/>
                <w:sz w:val="22"/>
                <w:szCs w:val="22"/>
              </w:rPr>
              <w:t xml:space="preserve">0.70 </w:t>
            </w: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223 </w:t>
            </w: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国有资本经营预算支出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ind w:left="0" w:leftChars="0" w:right="0" w:rightChars="0"/>
              <w:jc w:val="right"/>
              <w:rPr>
                <w:rFonts w:hint="eastAsia" w:ascii="宋体" w:hAnsi="宋体" w:eastAsia="宋体" w:cs="宋体"/>
                <w:kern w:val="0"/>
                <w:sz w:val="24"/>
                <w:szCs w:val="24"/>
              </w:rPr>
            </w:pPr>
            <w:r>
              <w:rPr>
                <w:rFonts w:hint="eastAsia" w:ascii="宋体" w:hAnsi="宋体" w:eastAsia="宋体" w:cs="宋体"/>
                <w:b w:val="0"/>
                <w:kern w:val="0"/>
                <w:sz w:val="22"/>
                <w:szCs w:val="22"/>
              </w:rPr>
              <w:t>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0.70</w:t>
            </w: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22301 </w:t>
            </w: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解决历史遗留问题及改革成本支出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ind w:left="0" w:leftChars="0" w:right="0" w:rightChars="0"/>
              <w:jc w:val="right"/>
              <w:rPr>
                <w:rFonts w:hint="eastAsia" w:ascii="宋体" w:hAnsi="宋体" w:eastAsia="宋体" w:cs="宋体"/>
                <w:kern w:val="0"/>
                <w:sz w:val="24"/>
                <w:szCs w:val="24"/>
              </w:rPr>
            </w:pPr>
            <w:r>
              <w:rPr>
                <w:rFonts w:hint="eastAsia" w:ascii="宋体" w:hAnsi="宋体" w:eastAsia="宋体" w:cs="宋体"/>
                <w:b w:val="0"/>
                <w:kern w:val="0"/>
                <w:sz w:val="22"/>
                <w:szCs w:val="22"/>
              </w:rPr>
              <w:t>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0.70</w:t>
            </w: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2230105 </w:t>
            </w: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国有企业退休人员社会化管理补助支出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ind w:left="0" w:leftChars="0" w:right="0" w:rightChars="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kern w:val="0"/>
                <w:sz w:val="22"/>
                <w:szCs w:val="22"/>
              </w:rPr>
              <w:t xml:space="preserve">0.70 </w:t>
            </w: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496" w:type="pct"/>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1971"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c>
          <w:tcPr>
            <w:tcW w:w="843" w:type="pct"/>
            <w:tcBorders>
              <w:top w:val="single" w:color="666666" w:sz="6" w:space="0"/>
              <w:left w:val="nil"/>
              <w:bottom w:val="single" w:color="666666" w:sz="6" w:space="0"/>
              <w:right w:val="single" w:color="666666" w:sz="6" w:space="0"/>
            </w:tcBorders>
            <w:shd w:val="clear" w:color="auto" w:fill="auto"/>
            <w:vAlign w:val="center"/>
          </w:tcPr>
          <w:p>
            <w:pPr>
              <w:pStyle w:val="18"/>
              <w:keepNext w:val="0"/>
              <w:keepLines w:val="0"/>
              <w:widowControl/>
              <w:suppressLineNumbers w:val="0"/>
              <w:jc w:val="righ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color="auto" w:fill="auto"/>
            <w:vAlign w:val="center"/>
          </w:tcPr>
          <w:p>
            <w:pPr>
              <w:pStyle w:val="1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kern w:val="0"/>
                <w:sz w:val="22"/>
                <w:szCs w:val="22"/>
              </w:rPr>
              <w:t xml:space="preserve">注：本表反映部门本年度国有资本经营预算财政拨款支出情况。本表金额转换为万元时，因四舍五入可能存在尾数误差。 </w:t>
            </w:r>
          </w:p>
        </w:tc>
      </w:tr>
    </w:tbl>
    <w:p>
      <w:pPr>
        <w:pStyle w:val="1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8"/>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eastAsia" w:ascii="宋体" w:hAnsi="宋体" w:eastAsia="宋体" w:cs="宋体"/>
          <w:kern w:val="0"/>
          <w:sz w:val="24"/>
          <w:szCs w:val="24"/>
        </w:rPr>
        <w:sectPr>
          <w:pgSz w:w="16838" w:h="11906"/>
          <w:pgMar w:top="1080" w:right="400" w:bottom="1080" w:left="400" w:header="851" w:footer="992" w:gutter="0"/>
          <w:pgNumType w:fmt="decimal"/>
          <w:cols w:space="0" w:num="1"/>
          <w:docGrid w:type="lines" w:linePitch="160" w:charSpace="0"/>
        </w:sectPr>
      </w:pPr>
    </w:p>
    <w:p>
      <w:pPr>
        <w:pStyle w:val="18"/>
        <w:keepNext w:val="0"/>
        <w:keepLines w:val="0"/>
        <w:widowControl/>
        <w:suppressLineNumbers w:val="0"/>
        <w:spacing w:before="0" w:beforeAutospacing="0" w:after="2" w:afterAutospacing="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widowControl/>
        <w:suppressLineNumbers w:val="0"/>
        <w:jc w:val="left"/>
        <w:rPr>
          <w:rFonts w:hint="default" w:ascii="等线" w:hAnsi="等线" w:eastAsia="等线" w:cs="Times New Roman"/>
          <w:color w:val="000000"/>
          <w:kern w:val="2"/>
          <w:sz w:val="21"/>
          <w:szCs w:val="21"/>
        </w:rPr>
      </w:pPr>
      <w:r>
        <w:rPr>
          <w:rFonts w:hint="default" w:ascii="等线" w:hAnsi="等线" w:eastAsia="等线" w:cs="Times New Roman"/>
          <w:color w:val="000000"/>
          <w:kern w:val="2"/>
          <w:sz w:val="21"/>
          <w:szCs w:val="21"/>
        </w:rPr>
        <w:t xml:space="preserve"> </w:t>
      </w:r>
    </w:p>
    <w:p>
      <w:pPr>
        <w:pStyle w:val="18"/>
        <w:keepNext w:val="0"/>
        <w:keepLines w:val="0"/>
        <w:widowControl/>
        <w:suppressLineNumbers w:val="0"/>
        <w:spacing w:before="0" w:beforeAutospacing="0" w:after="2" w:afterAutospacing="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8"/>
        <w:keepNext w:val="0"/>
        <w:keepLines w:val="0"/>
        <w:widowControl/>
        <w:suppressLineNumbers w:val="0"/>
        <w:spacing w:before="0" w:beforeAutospacing="0" w:after="2" w:afterAutospacing="0"/>
        <w:jc w:val="center"/>
        <w:rPr>
          <w:rFonts w:hint="eastAsia" w:ascii="宋体" w:hAnsi="宋体" w:eastAsia="宋体" w:cs="宋体"/>
          <w:kern w:val="0"/>
          <w:sz w:val="24"/>
          <w:szCs w:val="24"/>
        </w:rPr>
      </w:pPr>
      <w:r>
        <w:rPr>
          <w:rFonts w:hint="eastAsia" w:ascii="宋体" w:hAnsi="宋体" w:eastAsia="宋体" w:cs="宋体"/>
          <w:b/>
          <w:color w:val="000000"/>
          <w:kern w:val="0"/>
          <w:sz w:val="36"/>
          <w:szCs w:val="36"/>
        </w:rPr>
        <w:t>第三部分 2021年度部门决算情况说明</w:t>
      </w:r>
      <w:r>
        <w:rPr>
          <w:rFonts w:hint="eastAsia" w:ascii="宋体" w:hAnsi="宋体" w:eastAsia="宋体" w:cs="宋体"/>
          <w:color w:val="000000"/>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一、收入支出决算总体情况说明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2021年度收、支总计11,245.42万元。与上一年度相比，收、支总计各增加516.95万元，增长4.82%。主要是因为教育支出、节能支出、住房保障支出收入及支出的增加。</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二、收入决算情况说明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2021年度收入合计11,245.42万元，其中：财政拨款收入10,305.2万元，占91.64%；上级补助收入0万元，占0%；事业收入0万元，占0%；经营收入0万元，占0%；附属单位上缴收入0万元，占0%；其他收入940.22万元，占8.36%。</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三、支出决算情况说明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2021年度支出合计11,245.42万元，其中：基本支出2,903.9万元，占25.82%；项目支出8,341.52万元，占74.18%；上缴上级支出0万元，占0%；经营支出0万元，占0%；对附属单位补助支出0万元，占0%。</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四、财政拨款收入支出决算总体情况说明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2021年度财政拨款收、支总计10,305.2万元。与上一年度相比，财政拨款收、支总计各增加294.51万元，增长2.94%。主要是因为教育支出、节能支出、住房保障支出收入及支出的增加。</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五、一般公共预算财政拨款支出决算情况说明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（一）财政拨款支出决算总体情况</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855"/>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2021年度财政拨款支出10,275.58万元，占本年支出合计的91.38%。与上一年度相比，财政拨款支出增加457.42万元，增长4.66%。主要是因为教育支出、节能支出、住房保障支出收入及支出的增加。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（二）财政拨款支出决算结构情况</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财政拨款支出10,275.58万元，主要用于以下方面：一般公共服务支出3,402.01万元，占33.11%；公共安全支出40.23万元，占0.39%；教育支出75.74万元，占0.74%；科学技术支出409.94万元，占3.99%；文化旅游体育与传媒支出49.62万元，占0.48%；社会保障和就业支出1,004.5万元，占9.78%；卫生健康支出14.25万元，占0.14%；节能环保支出112.38万元，占1.09%；城乡社区支出1,802.19万元，占17.54%；农林水支出2,265.01万元，占22.04%；交通运输支出146.27万元，占1.42%；资源勘探工业信息等支出6万元，占0.06%；商业服务业等支出40万元，占0.39%；自然资源海洋气象等支出66.19万元，占0.64%；住房保障支出762.66万元，占7.42%；粮油物资储备支出11万元，占0.11%；灾害防治及应急管理支出67.6万元，占0.66%。</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（三）财政拨款支出决算具体情况</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2021年度财政拨款支出年初预算数为6,666.78万元，支出决算数为10,275.58万元，完成年初预算的154.13%，其中：</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1、一般公共服务支出（类）人大事务（款）行政运行（项）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年初预算为0万元，支出决算为35.74万元，决算数大于年初预算数的主要原因是：未纳入本单位部门预算，为上级部门单位</w:t>
      </w:r>
      <w:r>
        <w:rPr>
          <w:rFonts w:hint="eastAsia" w:ascii="宋体" w:hAnsi="宋体" w:eastAsia="宋体" w:cs="宋体"/>
          <w:color w:val="000000"/>
          <w:kern w:val="2"/>
          <w:sz w:val="32"/>
          <w:szCs w:val="32"/>
          <w:lang w:eastAsia="zh-CN"/>
        </w:rPr>
        <w:t>追加的人大人员经费</w:t>
      </w:r>
      <w:r>
        <w:rPr>
          <w:rFonts w:hint="eastAsia" w:ascii="宋体" w:hAnsi="宋体" w:eastAsia="宋体" w:cs="宋体"/>
          <w:color w:val="000000"/>
          <w:kern w:val="2"/>
          <w:sz w:val="32"/>
          <w:szCs w:val="32"/>
        </w:rPr>
        <w:t>。</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2、一般公共服务支出（类）人大事务（款）一般行政管理事务（项）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年初预算为0万元，支出决算为15.6万元，决算数大于年初预算数的主要原因是：未纳入本单位部门预算，为上级部门单位拨付的</w:t>
      </w:r>
      <w:r>
        <w:rPr>
          <w:rFonts w:hint="eastAsia" w:ascii="宋体" w:hAnsi="宋体" w:eastAsia="宋体" w:cs="宋体"/>
          <w:color w:val="000000"/>
          <w:kern w:val="2"/>
          <w:sz w:val="32"/>
          <w:szCs w:val="32"/>
          <w:lang w:eastAsia="zh-CN"/>
        </w:rPr>
        <w:t>人大工作经费</w:t>
      </w:r>
      <w:r>
        <w:rPr>
          <w:rFonts w:hint="eastAsia" w:ascii="宋体" w:hAnsi="宋体" w:eastAsia="宋体" w:cs="宋体"/>
          <w:color w:val="000000"/>
          <w:kern w:val="2"/>
          <w:sz w:val="32"/>
          <w:szCs w:val="32"/>
        </w:rPr>
        <w:t>。</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3、一般公共服务支出（类）人大事务（款）代表工作（项）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年初预算为0万元，支出决算为8.6万元，决算数大于年初预算数的主要原因是：未纳入本单位部门预算，为上级部门单位拨付的202</w:t>
      </w:r>
      <w:r>
        <w:rPr>
          <w:rFonts w:hint="eastAsia" w:ascii="宋体" w:hAnsi="宋体" w:eastAsia="宋体" w:cs="宋体"/>
          <w:color w:val="000000"/>
          <w:kern w:val="2"/>
          <w:sz w:val="32"/>
          <w:szCs w:val="32"/>
          <w:lang w:val="en-US" w:eastAsia="zh-CN"/>
        </w:rPr>
        <w:t>1</w:t>
      </w:r>
      <w:r>
        <w:rPr>
          <w:rFonts w:hint="eastAsia" w:ascii="宋体" w:hAnsi="宋体" w:eastAsia="宋体" w:cs="宋体"/>
          <w:color w:val="000000"/>
          <w:kern w:val="2"/>
          <w:sz w:val="32"/>
          <w:szCs w:val="32"/>
        </w:rPr>
        <w:t>年本级人大代表活动经费。</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4、一般公共服务支出（类）政协事务（款）行政运行（项）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年初预算为0万元，支出决算为15.08万元，决算数大于年初预算数的主要原因是：未纳入本单位部门预算，为上级部门单位拨付的202</w:t>
      </w:r>
      <w:r>
        <w:rPr>
          <w:rFonts w:hint="eastAsia" w:ascii="宋体" w:hAnsi="宋体" w:eastAsia="宋体" w:cs="宋体"/>
          <w:color w:val="000000"/>
          <w:kern w:val="2"/>
          <w:sz w:val="32"/>
          <w:szCs w:val="32"/>
          <w:lang w:val="en-US" w:eastAsia="zh-CN"/>
        </w:rPr>
        <w:t>1</w:t>
      </w:r>
      <w:r>
        <w:rPr>
          <w:rFonts w:hint="eastAsia" w:ascii="宋体" w:hAnsi="宋体" w:eastAsia="宋体" w:cs="宋体"/>
          <w:color w:val="000000"/>
          <w:kern w:val="2"/>
          <w:sz w:val="32"/>
          <w:szCs w:val="32"/>
        </w:rPr>
        <w:t>年本级</w:t>
      </w:r>
      <w:r>
        <w:rPr>
          <w:rFonts w:hint="eastAsia" w:ascii="宋体" w:hAnsi="宋体" w:eastAsia="宋体" w:cs="宋体"/>
          <w:color w:val="000000"/>
          <w:kern w:val="2"/>
          <w:sz w:val="32"/>
          <w:szCs w:val="32"/>
          <w:lang w:eastAsia="zh-CN"/>
        </w:rPr>
        <w:t>政协</w:t>
      </w:r>
      <w:r>
        <w:rPr>
          <w:rFonts w:hint="eastAsia" w:ascii="宋体" w:hAnsi="宋体" w:eastAsia="宋体" w:cs="宋体"/>
          <w:color w:val="000000"/>
          <w:kern w:val="2"/>
          <w:sz w:val="32"/>
          <w:szCs w:val="32"/>
        </w:rPr>
        <w:t>代表活动经费。</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5、一般公共服务支出（类）政府办公厅（室）及相关机构事务（款）行政运行（项）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年初预算为697.87万元，支出决算为729.59万元，完成年初预算的104.54%。决算数大于年初预算数的主要原因是：人员调整，年中增加了部分人员经费。</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6、一般公共服务支出（类）政府办公厅（室）及相关机构事务（款）一般行政管理事务（项）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年初预算为1,205.95万元，支出决算为1,381.96万元，完成年初预算的114.6%。决算数大于年初预算数的主要原因是：人员调整，年中增加了部分预算。</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7、一般公共服务支出（类）政府办公厅（室）及相关机构事务（款）专项业务及机关事务管理（项）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8、一般公共服务支出（类）政府办公厅（室）及相关机构事务（款）信访事务（项）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年初预算为0万元，支出决算为0.29万元，决算数大于年初预算数的主要原因是：未纳入本单位部门预算，为上级部门单位拨付的财政预算资金。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9、一般公共服务支出（类）政府办公厅（室）及相关机构事务（款）事业运行（项）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年初预算为797.75万元，支出决算为869.64万元，完成年初预算的109.01%。决算数大于年初预算数的主要原因是：人员工资提标，年中增加部分预算。</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10、一般公共服务支出（类）发展与改革事务（款）一般行政管理事务（项）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年初预算为0万元，支出决算为40万元，决算数大于年初预算数的主要原因是：未纳入本单位部门预算，为上级部门单位拨付的重点项目建设工作经费资金。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11、一般公共服务支出（类）发展与改革事务（款）其他发展与改革事务支出（项）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年初预算为0万元，支出决算为48.5万元，决算数大于年初预算数的主要原因是：未纳入本单位部门预算，为上级部门单位拨付的加速推进现代服务业发展专项资金。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12、一般公共服务支出（类）统计信息事务（款）一般行政管理事务（项）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13、一般公共服务支出（类）统计信息事务（款）专项普查活动（项）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年初预算为0万元，支出决算为8万元，决算数大于年初预算数的主要原因是：未纳入本单位部门预算，为上级部门单位拨付的第四次全国经济普查两员经费。</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14、一般公共服务支出（类）财政事务（款）行政运行（项）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年初预算为111.86万元，支出决算为109.81万元，完成年初预算的98.17%。决算数小于年初预算数的主要原因是：人员工资提标，年中增加部分预算。</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15、一般公共服务支出（类）财政事务（款）一般行政管理事务（项）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16、一般公共服务支出（类）财政事务（款）其他财政事务支出（项）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年初预算为0万元，支出决算为28万元，决算数大于年初预算数的主要原因是：未纳入本单位部门预算，为上级部门单位拨付的乡镇财政管理经费</w:t>
      </w:r>
      <w:r>
        <w:rPr>
          <w:rFonts w:hint="eastAsia" w:ascii="宋体" w:hAnsi="宋体" w:eastAsia="宋体" w:cs="宋体"/>
          <w:color w:val="000000"/>
          <w:kern w:val="2"/>
          <w:sz w:val="32"/>
          <w:szCs w:val="32"/>
          <w:lang w:eastAsia="zh-CN"/>
        </w:rPr>
        <w:t>，用于财政征管建设</w:t>
      </w:r>
      <w:r>
        <w:rPr>
          <w:rFonts w:hint="eastAsia" w:ascii="宋体" w:hAnsi="宋体" w:eastAsia="宋体" w:cs="宋体"/>
          <w:color w:val="000000"/>
          <w:kern w:val="2"/>
          <w:sz w:val="32"/>
          <w:szCs w:val="32"/>
        </w:rPr>
        <w:t>。</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17、一般公共服务支出（类）商贸事务（款）招商引资（项）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年初预算为0万元，支出决算为4.18万元，决算数大于年初预算数的主要原因是：未纳入本单位部门预算，为上级部门单位拨付的财政预算资金。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18、一般公共服务支出（类）党委办公厅（室）及相关机构事务（款）行政运行（项）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年初预算为0万元，支出决算为52.61万元，决算数大于年初预算数的主要原因是：未纳入本单位部门预算，为上级部门单位拨付的财政预算资金。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19、一般公共服务支出（类）党委办公厅（室）及相关机构事务（款）一般行政管理事务（项）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20、一般公共服务支出（类）组织事务（款）一般行政管理事务（项）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年初预算为0万元，支出决算为36.65万元，决算数大于年初预算数的主要原因是：未纳入本单位部门预算，为</w:t>
      </w:r>
      <w:r>
        <w:rPr>
          <w:rFonts w:hint="eastAsia" w:ascii="宋体" w:hAnsi="宋体" w:eastAsia="宋体" w:cs="宋体"/>
          <w:color w:val="000000"/>
          <w:kern w:val="2"/>
          <w:sz w:val="32"/>
          <w:szCs w:val="32"/>
          <w:lang w:eastAsia="zh-CN"/>
        </w:rPr>
        <w:t>上级部门拨付的</w:t>
      </w:r>
      <w:r>
        <w:rPr>
          <w:rFonts w:hint="eastAsia" w:ascii="宋体" w:hAnsi="宋体" w:eastAsia="宋体" w:cs="宋体"/>
          <w:color w:val="000000"/>
          <w:kern w:val="2"/>
          <w:sz w:val="32"/>
          <w:szCs w:val="32"/>
        </w:rPr>
        <w:t>两新党建党员教育活动经费。</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21、一般公共服务支出（类）市场监督管理事务（款）其他市场监督管理事务（项）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年初预算为0万元，支出决算为8.76万元，决算数大于年初预算数的主要原因是：未纳入本单位部门预算，为上级部门单位拨付的2020年创建食品安全城市专项经费。</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22、公共安全支出（类）公安（款）一般行政管理事务（项）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年初预算为0万元，支出决算为5.66万元，决算数大于年初预算数的主要原因是：未纳入本单位部门预算，为上级部门单位拨付的财政预算资金。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23、公共安全支出（类）司法（款）行政运行（项）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年初预算为18.35万元，支出决算为34.57万元，完成年初预算的188.43%。决算数大于年初预算数的主要原因是：人员调整，年中追加预算。</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24、教育支出（类）普通教育（款）其他普通教育支出（项）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年初预算为80万元，支出决算为68.74万元，完成年初预算的85.93%。决算数小于年初预算数的主要原因是：勤俭节约，压缩部分不必要支出。</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25、教育支出（类）其他教育支出（款）其他教育支出（项）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年初预算为0万元，支出决算为7万元，决算数大于年初预算数的主要原因是：未纳入本单位部门预算，为上级部门单位拨付的财政预算资金。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26、科学技术支出（类）技术研究与开发（款）其他技术研究与开发支出（项）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年初预算为0万元，支出决算为408.94万元，决算数大于年初预算数的主要原因是：未纳入本单位部门预算，为上级部门单位拨付烟花爆竹退出企业（工区）奖补资金。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27、科学技术支出（类）科学技术普及（款）科普活动（项）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28、文化旅游体育与传媒支出（类）文化和旅游（款）文化活动（项）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年初预算为0万元，支出决算为0.5万元，决算数大于年初预算数的主要原因是：未纳入本单位部门预算，为上级部门单位拨付的财政预算资金。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29、文化旅游体育与传媒支出（类）文化和旅游（款）其他文化和旅游支出（项）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年初预算为0万元，支出决算为28.12万元，决算数大于年初预算数的主要原因是：未纳入本单位部门预算，为上级部门单位拨付的乡镇、街道文化站免费开放经费。</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30、文化旅游体育与传媒支出（类）其他文化旅游体育与传媒支出（款）其他文化旅游体育与传媒支出（项）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年初预算为0万元，支出决算为21万元，决算数大于年初预算数的主要原因是：未纳入本单位部门预算，为上级部门单位拨付的财政预算资金。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31、社会保障和就业支出（类）人力资源和社会保障管理事务（款）社会保险经办机构（项）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年初预算为0万元，支出决算为1.42万元，决算数大于年初预算数的主要原因是：未纳入本单位部门预算，为上级部门单位拨付的财政预算资金。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32、社会保障和就业支出（类）人力资源和社会保障管理事务（款）事业运行（项）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年初预算为342.23万元，支出决算为372.77万元，完成年初预算的108.92%。决算数大于年初预算数的主要原因是：人员工资提标，年中追加部分预算。</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33、社会保障和就业支出（类）行政事业单位养老支出（款）行政单位离退休（项）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年初预算为60.38万元，支出决算为234.57万元，完成年初预算的388.49%。决算数大于年初预算数的主要原因是：增加退休人员补贴，年中追加预算。</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34、社会保障和就业支出（类）行政事业单位养老支出（款）事业单位离退休（项）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年初预算为24.63万元，支出决算为58.26万元，完成年初预算的236.52%。决算数大于年初预算数的主要原因是：增加退休人员补贴，年中追加预算。</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35、社会保障和就业支出（类）行政事业单位养老支出（款）机关事业单位职业年金缴费支出（项）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年初预算为0万元，支出决算为9.1万元，决算数大于年初预算数的主要原因是：未纳入本单位部门预算，为上级部门单位拨付的财政预算资金。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36、社会保障和就业支出（类）抚恤（款）优抚事业单位支出（项）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37、社会保障和就业支出（类）抚恤（款）其他优抚支出（项）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年初预算为0万元，支出决算为52.22万元，决算数大于年初预算数的主要原因是：未纳入本单位部门预算，为上级部门单位拨付</w:t>
      </w:r>
      <w:r>
        <w:rPr>
          <w:rFonts w:hint="eastAsia" w:ascii="宋体" w:hAnsi="宋体" w:eastAsia="宋体" w:cs="宋体"/>
          <w:color w:val="000000"/>
          <w:kern w:val="2"/>
          <w:sz w:val="32"/>
          <w:szCs w:val="32"/>
          <w:lang w:eastAsia="zh-CN"/>
        </w:rPr>
        <w:t>退休人员的抚恤金</w:t>
      </w:r>
      <w:r>
        <w:rPr>
          <w:rFonts w:hint="eastAsia" w:ascii="宋体" w:hAnsi="宋体" w:eastAsia="宋体" w:cs="宋体"/>
          <w:color w:val="000000"/>
          <w:kern w:val="2"/>
          <w:sz w:val="32"/>
          <w:szCs w:val="32"/>
        </w:rPr>
        <w:t>。</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38、社会保障和就业支出（类）退役安置（款）其他退役安置支出（项）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年初预算为0万元，支出决算为21.23万元，决算数大于年初预算数的主要原因是：未纳入本单位部门预算，为上级部门单位拨付的部分退役军人扶持再就业和生活解困人员资金。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39、社会保障和就业支出（类）社会福利（款）养老服务（项）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年初预算为0万元，支出决算为148.43万元，决算数大于年初预算数的主要原因是：未纳入本单位部门预算，为上级部门单位拨付</w:t>
      </w:r>
      <w:r>
        <w:rPr>
          <w:rFonts w:hint="eastAsia" w:ascii="宋体" w:hAnsi="宋体" w:eastAsia="宋体" w:cs="宋体"/>
          <w:color w:val="000000"/>
          <w:kern w:val="2"/>
          <w:sz w:val="32"/>
          <w:szCs w:val="32"/>
          <w:lang w:eastAsia="zh-CN"/>
        </w:rPr>
        <w:t>养老院</w:t>
      </w:r>
      <w:r>
        <w:rPr>
          <w:rFonts w:hint="eastAsia" w:ascii="宋体" w:hAnsi="宋体" w:eastAsia="宋体" w:cs="宋体"/>
          <w:color w:val="000000"/>
          <w:kern w:val="2"/>
          <w:sz w:val="32"/>
          <w:szCs w:val="32"/>
        </w:rPr>
        <w:t>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lang w:val="en-US" w:eastAsia="zh-CN"/>
        </w:rPr>
        <w:t>40</w:t>
      </w:r>
      <w:r>
        <w:rPr>
          <w:rStyle w:val="16"/>
          <w:rFonts w:hint="eastAsia" w:ascii="宋体" w:hAnsi="宋体" w:eastAsia="宋体" w:cs="宋体"/>
          <w:b/>
          <w:color w:val="000000"/>
          <w:sz w:val="32"/>
          <w:szCs w:val="32"/>
        </w:rPr>
        <w:t>、社会保障和就业支出（类）社会福利（款）其他社会福利支出（项）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eastAsia" w:ascii="宋体" w:hAnsi="宋体" w:eastAsia="宋体" w:cs="宋体"/>
          <w:color w:val="000000"/>
          <w:kern w:val="2"/>
          <w:sz w:val="32"/>
          <w:szCs w:val="32"/>
          <w:lang w:eastAsia="zh-CN"/>
        </w:rPr>
      </w:pPr>
      <w:r>
        <w:rPr>
          <w:rFonts w:hint="eastAsia" w:ascii="宋体" w:hAnsi="宋体" w:eastAsia="宋体" w:cs="宋体"/>
          <w:color w:val="000000"/>
          <w:kern w:val="2"/>
          <w:sz w:val="32"/>
          <w:szCs w:val="32"/>
        </w:rPr>
        <w:t>年初预算为</w:t>
      </w:r>
      <w:r>
        <w:rPr>
          <w:rFonts w:hint="eastAsia" w:ascii="宋体" w:hAnsi="宋体" w:eastAsia="宋体" w:cs="宋体"/>
          <w:color w:val="000000"/>
          <w:kern w:val="2"/>
          <w:sz w:val="32"/>
          <w:szCs w:val="32"/>
          <w:lang w:val="en-US" w:eastAsia="zh-CN"/>
        </w:rPr>
        <w:t>100</w:t>
      </w:r>
      <w:r>
        <w:rPr>
          <w:rFonts w:hint="eastAsia" w:ascii="宋体" w:hAnsi="宋体" w:eastAsia="宋体" w:cs="宋体"/>
          <w:color w:val="000000"/>
          <w:kern w:val="2"/>
          <w:sz w:val="32"/>
          <w:szCs w:val="32"/>
        </w:rPr>
        <w:t>万元，支出决算为</w:t>
      </w:r>
      <w:r>
        <w:rPr>
          <w:rFonts w:hint="eastAsia" w:ascii="宋体" w:hAnsi="宋体" w:eastAsia="宋体" w:cs="宋体"/>
          <w:color w:val="000000"/>
          <w:kern w:val="2"/>
          <w:sz w:val="32"/>
          <w:szCs w:val="32"/>
          <w:lang w:val="en-US" w:eastAsia="zh-CN"/>
        </w:rPr>
        <w:t>0</w:t>
      </w:r>
      <w:r>
        <w:rPr>
          <w:rFonts w:hint="eastAsia" w:ascii="宋体" w:hAnsi="宋体" w:eastAsia="宋体" w:cs="宋体"/>
          <w:color w:val="000000"/>
          <w:kern w:val="2"/>
          <w:sz w:val="32"/>
          <w:szCs w:val="32"/>
        </w:rPr>
        <w:t>万元，决算数</w:t>
      </w:r>
      <w:r>
        <w:rPr>
          <w:rFonts w:hint="eastAsia" w:ascii="宋体" w:hAnsi="宋体" w:eastAsia="宋体" w:cs="宋体"/>
          <w:color w:val="000000"/>
          <w:kern w:val="2"/>
          <w:sz w:val="32"/>
          <w:szCs w:val="32"/>
          <w:lang w:eastAsia="zh-CN"/>
        </w:rPr>
        <w:t>小</w:t>
      </w:r>
      <w:r>
        <w:rPr>
          <w:rFonts w:hint="eastAsia" w:ascii="宋体" w:hAnsi="宋体" w:eastAsia="宋体" w:cs="宋体"/>
          <w:color w:val="000000"/>
          <w:kern w:val="2"/>
          <w:sz w:val="32"/>
          <w:szCs w:val="32"/>
        </w:rPr>
        <w:t>于年初预算数的主要原因是：</w:t>
      </w:r>
      <w:r>
        <w:rPr>
          <w:rFonts w:hint="eastAsia" w:ascii="宋体" w:hAnsi="宋体" w:eastAsia="宋体" w:cs="宋体"/>
          <w:color w:val="000000"/>
          <w:kern w:val="2"/>
          <w:sz w:val="32"/>
          <w:szCs w:val="32"/>
          <w:lang w:eastAsia="zh-CN"/>
        </w:rPr>
        <w:t>年中预算调整。</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4</w:t>
      </w:r>
      <w:r>
        <w:rPr>
          <w:rStyle w:val="16"/>
          <w:rFonts w:hint="eastAsia" w:ascii="宋体" w:hAnsi="宋体" w:eastAsia="宋体" w:cs="宋体"/>
          <w:b/>
          <w:color w:val="000000"/>
          <w:sz w:val="32"/>
          <w:szCs w:val="32"/>
          <w:lang w:val="en-US" w:eastAsia="zh-CN"/>
        </w:rPr>
        <w:t>1</w:t>
      </w:r>
      <w:r>
        <w:rPr>
          <w:rStyle w:val="16"/>
          <w:rFonts w:hint="eastAsia" w:ascii="宋体" w:hAnsi="宋体" w:eastAsia="宋体" w:cs="宋体"/>
          <w:b/>
          <w:color w:val="000000"/>
          <w:sz w:val="32"/>
          <w:szCs w:val="32"/>
        </w:rPr>
        <w:t>社会保障和就业支出（类）残疾人事业（款）残疾人就业和扶贫（项）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年初预算为0万元，支出决算为2.2万元，决算数大于年初预算数的主要原因是：未纳入本单位部门预算，为上级部门单位拨付的财政预算资金。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4</w:t>
      </w:r>
      <w:r>
        <w:rPr>
          <w:rStyle w:val="16"/>
          <w:rFonts w:hint="eastAsia" w:ascii="宋体" w:hAnsi="宋体" w:eastAsia="宋体" w:cs="宋体"/>
          <w:b/>
          <w:color w:val="000000"/>
          <w:sz w:val="32"/>
          <w:szCs w:val="32"/>
          <w:lang w:val="en-US" w:eastAsia="zh-CN"/>
        </w:rPr>
        <w:t>2</w:t>
      </w:r>
      <w:r>
        <w:rPr>
          <w:rStyle w:val="16"/>
          <w:rFonts w:hint="eastAsia" w:ascii="宋体" w:hAnsi="宋体" w:eastAsia="宋体" w:cs="宋体"/>
          <w:b/>
          <w:color w:val="000000"/>
          <w:sz w:val="32"/>
          <w:szCs w:val="32"/>
        </w:rPr>
        <w:t>、社会保障和就业支出（类）残疾人事业（款）残疾人体育（项）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4</w:t>
      </w:r>
      <w:r>
        <w:rPr>
          <w:rStyle w:val="16"/>
          <w:rFonts w:hint="eastAsia" w:ascii="宋体" w:hAnsi="宋体" w:eastAsia="宋体" w:cs="宋体"/>
          <w:b/>
          <w:color w:val="000000"/>
          <w:sz w:val="32"/>
          <w:szCs w:val="32"/>
          <w:lang w:val="en-US" w:eastAsia="zh-CN"/>
        </w:rPr>
        <w:t>3</w:t>
      </w:r>
      <w:r>
        <w:rPr>
          <w:rStyle w:val="16"/>
          <w:rFonts w:hint="eastAsia" w:ascii="宋体" w:hAnsi="宋体" w:eastAsia="宋体" w:cs="宋体"/>
          <w:b/>
          <w:color w:val="000000"/>
          <w:sz w:val="32"/>
          <w:szCs w:val="32"/>
        </w:rPr>
        <w:t>、社会保障和就业支出（类）残疾人事业（款）其他残疾人事业支出（项）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4</w:t>
      </w:r>
      <w:r>
        <w:rPr>
          <w:rStyle w:val="16"/>
          <w:rFonts w:hint="eastAsia" w:ascii="宋体" w:hAnsi="宋体" w:eastAsia="宋体" w:cs="宋体"/>
          <w:b/>
          <w:color w:val="000000"/>
          <w:sz w:val="32"/>
          <w:szCs w:val="32"/>
          <w:lang w:val="en-US" w:eastAsia="zh-CN"/>
        </w:rPr>
        <w:t>4</w:t>
      </w:r>
      <w:r>
        <w:rPr>
          <w:rStyle w:val="16"/>
          <w:rFonts w:hint="eastAsia" w:ascii="宋体" w:hAnsi="宋体" w:eastAsia="宋体" w:cs="宋体"/>
          <w:b/>
          <w:color w:val="000000"/>
          <w:sz w:val="32"/>
          <w:szCs w:val="32"/>
        </w:rPr>
        <w:t>、社会保障和就业支出（类）临时救助（款）临时救助支出（项）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年初预算为0万元，支出决算为18.44万元，决算数大于年初预算数的主要原因是：未纳入本单位部门预算，为上级部门单位拨付的</w:t>
      </w:r>
      <w:r>
        <w:rPr>
          <w:rFonts w:hint="eastAsia" w:ascii="宋体" w:hAnsi="宋体" w:eastAsia="宋体" w:cs="宋体"/>
          <w:color w:val="000000"/>
          <w:kern w:val="2"/>
          <w:sz w:val="32"/>
          <w:szCs w:val="32"/>
          <w:lang w:eastAsia="zh-CN"/>
        </w:rPr>
        <w:t>临时救助人员</w:t>
      </w:r>
      <w:r>
        <w:rPr>
          <w:rFonts w:hint="eastAsia" w:ascii="宋体" w:hAnsi="宋体" w:eastAsia="宋体" w:cs="宋体"/>
          <w:color w:val="000000"/>
          <w:kern w:val="2"/>
          <w:sz w:val="32"/>
          <w:szCs w:val="32"/>
        </w:rPr>
        <w:t>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4</w:t>
      </w:r>
      <w:r>
        <w:rPr>
          <w:rStyle w:val="16"/>
          <w:rFonts w:hint="eastAsia" w:ascii="宋体" w:hAnsi="宋体" w:eastAsia="宋体" w:cs="宋体"/>
          <w:b/>
          <w:color w:val="000000"/>
          <w:sz w:val="32"/>
          <w:szCs w:val="32"/>
          <w:lang w:val="en-US" w:eastAsia="zh-CN"/>
        </w:rPr>
        <w:t>5</w:t>
      </w:r>
      <w:r>
        <w:rPr>
          <w:rStyle w:val="16"/>
          <w:rFonts w:hint="eastAsia" w:ascii="宋体" w:hAnsi="宋体" w:eastAsia="宋体" w:cs="宋体"/>
          <w:b/>
          <w:color w:val="000000"/>
          <w:sz w:val="32"/>
          <w:szCs w:val="32"/>
        </w:rPr>
        <w:t>、社会保障和就业支出（类）退役军人管理事务（款）一般行政管理事务（项）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年初预算为0万元，支出决算为27.62万元，决算数大于年初预算数的主要原因是：未纳入本单位部门预算，为上级部门单位拨付的财政预算资金。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4</w:t>
      </w:r>
      <w:r>
        <w:rPr>
          <w:rStyle w:val="16"/>
          <w:rFonts w:hint="eastAsia" w:ascii="宋体" w:hAnsi="宋体" w:eastAsia="宋体" w:cs="宋体"/>
          <w:b/>
          <w:color w:val="000000"/>
          <w:sz w:val="32"/>
          <w:szCs w:val="32"/>
          <w:lang w:val="en-US" w:eastAsia="zh-CN"/>
        </w:rPr>
        <w:t>6</w:t>
      </w:r>
      <w:r>
        <w:rPr>
          <w:rStyle w:val="16"/>
          <w:rFonts w:hint="eastAsia" w:ascii="宋体" w:hAnsi="宋体" w:eastAsia="宋体" w:cs="宋体"/>
          <w:b/>
          <w:color w:val="000000"/>
          <w:sz w:val="32"/>
          <w:szCs w:val="32"/>
        </w:rPr>
        <w:t>、社会保障和就业支出（类）退役军人管理事务（款）事业运行（项）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年初预算为29.34万元，支出决算为44.64万元，完成年初预算的152.13%。决算数大于年初预算数的主要原因是：人员调整，年中追加预算。</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4</w:t>
      </w:r>
      <w:r>
        <w:rPr>
          <w:rStyle w:val="16"/>
          <w:rFonts w:hint="eastAsia" w:ascii="宋体" w:hAnsi="宋体" w:eastAsia="宋体" w:cs="宋体"/>
          <w:b/>
          <w:color w:val="000000"/>
          <w:sz w:val="32"/>
          <w:szCs w:val="32"/>
          <w:lang w:val="en-US" w:eastAsia="zh-CN"/>
        </w:rPr>
        <w:t>7</w:t>
      </w:r>
      <w:r>
        <w:rPr>
          <w:rStyle w:val="16"/>
          <w:rFonts w:hint="eastAsia" w:ascii="宋体" w:hAnsi="宋体" w:eastAsia="宋体" w:cs="宋体"/>
          <w:b/>
          <w:color w:val="000000"/>
          <w:sz w:val="32"/>
          <w:szCs w:val="32"/>
        </w:rPr>
        <w:t>、社会保障和就业支出（类）其他社会保障和就业支出（款）其他社会保障和就业支出（项）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年初预算为0万元，支出决算为3.6万元，决算数大于年初预算数的主要原因是：未纳入本单位部门预算，为上级部门单位拨付的财政预算资金。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4</w:t>
      </w:r>
      <w:r>
        <w:rPr>
          <w:rStyle w:val="16"/>
          <w:rFonts w:hint="eastAsia" w:ascii="宋体" w:hAnsi="宋体" w:eastAsia="宋体" w:cs="宋体"/>
          <w:b/>
          <w:color w:val="000000"/>
          <w:sz w:val="32"/>
          <w:szCs w:val="32"/>
          <w:lang w:val="en-US" w:eastAsia="zh-CN"/>
        </w:rPr>
        <w:t>8</w:t>
      </w:r>
      <w:r>
        <w:rPr>
          <w:rStyle w:val="16"/>
          <w:rFonts w:hint="eastAsia" w:ascii="宋体" w:hAnsi="宋体" w:eastAsia="宋体" w:cs="宋体"/>
          <w:b/>
          <w:color w:val="000000"/>
          <w:sz w:val="32"/>
          <w:szCs w:val="32"/>
        </w:rPr>
        <w:t>、卫生健康支出（类）公共卫生（款）基本公共卫生服务（项）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年初预算为0万元，支出决算为1.46万元，决算数大于年初预算数的主要原因是：未纳入本单位部门预算，为上级部门单位拨付的财政预算资金。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4</w:t>
      </w:r>
      <w:r>
        <w:rPr>
          <w:rStyle w:val="16"/>
          <w:rFonts w:hint="eastAsia" w:ascii="宋体" w:hAnsi="宋体" w:eastAsia="宋体" w:cs="宋体"/>
          <w:b/>
          <w:color w:val="000000"/>
          <w:sz w:val="32"/>
          <w:szCs w:val="32"/>
          <w:lang w:val="en-US" w:eastAsia="zh-CN"/>
        </w:rPr>
        <w:t>9</w:t>
      </w:r>
      <w:r>
        <w:rPr>
          <w:rStyle w:val="16"/>
          <w:rFonts w:hint="eastAsia" w:ascii="宋体" w:hAnsi="宋体" w:eastAsia="宋体" w:cs="宋体"/>
          <w:b/>
          <w:color w:val="000000"/>
          <w:sz w:val="32"/>
          <w:szCs w:val="32"/>
        </w:rPr>
        <w:t>、卫生健康支出（类）公共卫生（款）其他公共卫生支出（项）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lang w:val="en-US" w:eastAsia="zh-CN"/>
        </w:rPr>
        <w:t>50</w:t>
      </w:r>
      <w:r>
        <w:rPr>
          <w:rStyle w:val="16"/>
          <w:rFonts w:hint="eastAsia" w:ascii="宋体" w:hAnsi="宋体" w:eastAsia="宋体" w:cs="宋体"/>
          <w:b/>
          <w:color w:val="000000"/>
          <w:sz w:val="32"/>
          <w:szCs w:val="32"/>
        </w:rPr>
        <w:t>、卫生健康支出（类）计划生育事务（款）计划生育服务（项）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年初预算为0万元，支出决算为1.19万元，决算数大于年初预算数的主要原因是：未纳入本单位部门预算，为上级部门单位拨付的财政预算资金。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5</w:t>
      </w:r>
      <w:r>
        <w:rPr>
          <w:rStyle w:val="16"/>
          <w:rFonts w:hint="eastAsia" w:ascii="宋体" w:hAnsi="宋体" w:eastAsia="宋体" w:cs="宋体"/>
          <w:b/>
          <w:color w:val="000000"/>
          <w:sz w:val="32"/>
          <w:szCs w:val="32"/>
          <w:lang w:val="en-US" w:eastAsia="zh-CN"/>
        </w:rPr>
        <w:t>1</w:t>
      </w:r>
      <w:r>
        <w:rPr>
          <w:rStyle w:val="16"/>
          <w:rFonts w:hint="eastAsia" w:ascii="宋体" w:hAnsi="宋体" w:eastAsia="宋体" w:cs="宋体"/>
          <w:b/>
          <w:color w:val="000000"/>
          <w:sz w:val="32"/>
          <w:szCs w:val="32"/>
        </w:rPr>
        <w:t>、卫生健康支出（类）行政事业单位医疗（款）行政单位医疗（项）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年初预算为0万元，支出决算为7万元，决算数大于年初预算数的主要原因是：未纳入本单位部门预算，为上级部门单位拨付的财政预算资金。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5</w:t>
      </w:r>
      <w:r>
        <w:rPr>
          <w:rStyle w:val="16"/>
          <w:rFonts w:hint="eastAsia" w:ascii="宋体" w:hAnsi="宋体" w:eastAsia="宋体" w:cs="宋体"/>
          <w:b/>
          <w:color w:val="000000"/>
          <w:sz w:val="32"/>
          <w:szCs w:val="32"/>
          <w:lang w:val="en-US" w:eastAsia="zh-CN"/>
        </w:rPr>
        <w:t>2</w:t>
      </w:r>
      <w:r>
        <w:rPr>
          <w:rStyle w:val="16"/>
          <w:rFonts w:hint="eastAsia" w:ascii="宋体" w:hAnsi="宋体" w:eastAsia="宋体" w:cs="宋体"/>
          <w:b/>
          <w:color w:val="000000"/>
          <w:sz w:val="32"/>
          <w:szCs w:val="32"/>
        </w:rPr>
        <w:t>、卫生健康支出（类）医疗保障管理事务（款）其他医疗保障管理事务支出（项）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年初预算为0万元，支出决算为0.6万元，决算数大于年初预算数的主要原因是：未纳入本单位部门预算，为上级部门单位拨付的财政预算资金。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5</w:t>
      </w:r>
      <w:r>
        <w:rPr>
          <w:rStyle w:val="16"/>
          <w:rFonts w:hint="eastAsia" w:ascii="宋体" w:hAnsi="宋体" w:eastAsia="宋体" w:cs="宋体"/>
          <w:b/>
          <w:color w:val="000000"/>
          <w:sz w:val="32"/>
          <w:szCs w:val="32"/>
          <w:lang w:val="en-US" w:eastAsia="zh-CN"/>
        </w:rPr>
        <w:t>3</w:t>
      </w:r>
      <w:r>
        <w:rPr>
          <w:rStyle w:val="16"/>
          <w:rFonts w:hint="eastAsia" w:ascii="宋体" w:hAnsi="宋体" w:eastAsia="宋体" w:cs="宋体"/>
          <w:b/>
          <w:color w:val="000000"/>
          <w:sz w:val="32"/>
          <w:szCs w:val="32"/>
        </w:rPr>
        <w:t>、节能环保支出（类）环境保护管理事务（款）其他环境保护管理事务支出（项）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5</w:t>
      </w:r>
      <w:r>
        <w:rPr>
          <w:rStyle w:val="16"/>
          <w:rFonts w:hint="eastAsia" w:ascii="宋体" w:hAnsi="宋体" w:eastAsia="宋体" w:cs="宋体"/>
          <w:b/>
          <w:color w:val="000000"/>
          <w:sz w:val="32"/>
          <w:szCs w:val="32"/>
          <w:lang w:val="en-US" w:eastAsia="zh-CN"/>
        </w:rPr>
        <w:t>4</w:t>
      </w:r>
      <w:r>
        <w:rPr>
          <w:rStyle w:val="16"/>
          <w:rFonts w:hint="eastAsia" w:ascii="宋体" w:hAnsi="宋体" w:eastAsia="宋体" w:cs="宋体"/>
          <w:b/>
          <w:color w:val="000000"/>
          <w:sz w:val="32"/>
          <w:szCs w:val="32"/>
        </w:rPr>
        <w:t>、节能环保支出（类）污染防治（款）水体（项）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年初预算为0万元，支出决算为32.67万元，决算数大于年初预算数的主要原因是：未纳入本单位部门预算，为上级部门单位拨付的</w:t>
      </w:r>
      <w:r>
        <w:rPr>
          <w:rFonts w:hint="eastAsia" w:ascii="宋体" w:hAnsi="宋体" w:eastAsia="宋体" w:cs="宋体"/>
          <w:color w:val="000000"/>
          <w:kern w:val="2"/>
          <w:sz w:val="32"/>
          <w:szCs w:val="32"/>
          <w:lang w:eastAsia="zh-CN"/>
        </w:rPr>
        <w:t>河流水质整治</w:t>
      </w:r>
      <w:r>
        <w:rPr>
          <w:rFonts w:hint="eastAsia" w:ascii="宋体" w:hAnsi="宋体" w:eastAsia="宋体" w:cs="宋体"/>
          <w:color w:val="000000"/>
          <w:kern w:val="2"/>
          <w:sz w:val="32"/>
          <w:szCs w:val="32"/>
        </w:rPr>
        <w:t>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5</w:t>
      </w:r>
      <w:r>
        <w:rPr>
          <w:rStyle w:val="16"/>
          <w:rFonts w:hint="eastAsia" w:ascii="宋体" w:hAnsi="宋体" w:eastAsia="宋体" w:cs="宋体"/>
          <w:b/>
          <w:color w:val="000000"/>
          <w:sz w:val="32"/>
          <w:szCs w:val="32"/>
          <w:lang w:val="en-US" w:eastAsia="zh-CN"/>
        </w:rPr>
        <w:t>5</w:t>
      </w:r>
      <w:r>
        <w:rPr>
          <w:rStyle w:val="16"/>
          <w:rFonts w:hint="eastAsia" w:ascii="宋体" w:hAnsi="宋体" w:eastAsia="宋体" w:cs="宋体"/>
          <w:b/>
          <w:color w:val="000000"/>
          <w:sz w:val="32"/>
          <w:szCs w:val="32"/>
        </w:rPr>
        <w:t>、节能环保支出（类）自然生态保护（款）农村环境保护（项）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年初预算为360万元，支出决算为64.71万元，完成年初预算的17.98%。决算数小于年初预算数的主要原因是：年中项目预算调整。</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5</w:t>
      </w:r>
      <w:r>
        <w:rPr>
          <w:rStyle w:val="16"/>
          <w:rFonts w:hint="eastAsia" w:ascii="宋体" w:hAnsi="宋体" w:eastAsia="宋体" w:cs="宋体"/>
          <w:b/>
          <w:color w:val="000000"/>
          <w:sz w:val="32"/>
          <w:szCs w:val="32"/>
          <w:lang w:val="en-US" w:eastAsia="zh-CN"/>
        </w:rPr>
        <w:t>6</w:t>
      </w:r>
      <w:r>
        <w:rPr>
          <w:rStyle w:val="16"/>
          <w:rFonts w:hint="eastAsia" w:ascii="宋体" w:hAnsi="宋体" w:eastAsia="宋体" w:cs="宋体"/>
          <w:b/>
          <w:color w:val="000000"/>
          <w:sz w:val="32"/>
          <w:szCs w:val="32"/>
        </w:rPr>
        <w:t>、节能环保支出（类）能源节约利用（款）能源节约利用（项）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5</w:t>
      </w:r>
      <w:r>
        <w:rPr>
          <w:rStyle w:val="16"/>
          <w:rFonts w:hint="eastAsia" w:ascii="宋体" w:hAnsi="宋体" w:eastAsia="宋体" w:cs="宋体"/>
          <w:b/>
          <w:color w:val="000000"/>
          <w:sz w:val="32"/>
          <w:szCs w:val="32"/>
          <w:lang w:val="en-US" w:eastAsia="zh-CN"/>
        </w:rPr>
        <w:t>7</w:t>
      </w:r>
      <w:r>
        <w:rPr>
          <w:rStyle w:val="16"/>
          <w:rFonts w:hint="eastAsia" w:ascii="宋体" w:hAnsi="宋体" w:eastAsia="宋体" w:cs="宋体"/>
          <w:b/>
          <w:color w:val="000000"/>
          <w:sz w:val="32"/>
          <w:szCs w:val="32"/>
        </w:rPr>
        <w:t>、节能环保支出（类）其他节能环保支出（款）其他节能环保支出（项）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5</w:t>
      </w:r>
      <w:r>
        <w:rPr>
          <w:rStyle w:val="16"/>
          <w:rFonts w:hint="eastAsia" w:ascii="宋体" w:hAnsi="宋体" w:eastAsia="宋体" w:cs="宋体"/>
          <w:b/>
          <w:color w:val="000000"/>
          <w:sz w:val="32"/>
          <w:szCs w:val="32"/>
          <w:lang w:val="en-US" w:eastAsia="zh-CN"/>
        </w:rPr>
        <w:t>8</w:t>
      </w:r>
      <w:r>
        <w:rPr>
          <w:rStyle w:val="16"/>
          <w:rFonts w:hint="eastAsia" w:ascii="宋体" w:hAnsi="宋体" w:eastAsia="宋体" w:cs="宋体"/>
          <w:b/>
          <w:color w:val="000000"/>
          <w:sz w:val="32"/>
          <w:szCs w:val="32"/>
        </w:rPr>
        <w:t>、城乡社区支出（类）城乡社区管理事务（款）一般行政管理事务（项）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5</w:t>
      </w:r>
      <w:r>
        <w:rPr>
          <w:rStyle w:val="16"/>
          <w:rFonts w:hint="eastAsia" w:ascii="宋体" w:hAnsi="宋体" w:eastAsia="宋体" w:cs="宋体"/>
          <w:b/>
          <w:color w:val="000000"/>
          <w:sz w:val="32"/>
          <w:szCs w:val="32"/>
          <w:lang w:val="en-US" w:eastAsia="zh-CN"/>
        </w:rPr>
        <w:t>9</w:t>
      </w:r>
      <w:r>
        <w:rPr>
          <w:rStyle w:val="16"/>
          <w:rFonts w:hint="eastAsia" w:ascii="宋体" w:hAnsi="宋体" w:eastAsia="宋体" w:cs="宋体"/>
          <w:b/>
          <w:color w:val="000000"/>
          <w:sz w:val="32"/>
          <w:szCs w:val="32"/>
        </w:rPr>
        <w:t>、城乡社区支出（类）城乡社区管理事务（款）城管执法（项）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年初预算为280万元，支出决算为381.22万元，完成年初预算的136.15%。决算数大于年初预算数的主要原因是：年中项目预算调整。</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lang w:val="en-US" w:eastAsia="zh-CN"/>
        </w:rPr>
        <w:t>60</w:t>
      </w:r>
      <w:r>
        <w:rPr>
          <w:rStyle w:val="16"/>
          <w:rFonts w:hint="eastAsia" w:ascii="宋体" w:hAnsi="宋体" w:eastAsia="宋体" w:cs="宋体"/>
          <w:b/>
          <w:color w:val="000000"/>
          <w:sz w:val="32"/>
          <w:szCs w:val="32"/>
        </w:rPr>
        <w:t>、城乡社区支出（类）城乡社区管理事务（款）其他城乡社区管理事务支出（项）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年初预算为0万元，支出决算为168.47万元，决算数大于年初预算数的主要原因是：未纳入本单位部门预算，为上级部门单位拨付</w:t>
      </w:r>
      <w:r>
        <w:rPr>
          <w:rFonts w:hint="eastAsia" w:ascii="宋体" w:hAnsi="宋体" w:eastAsia="宋体" w:cs="宋体"/>
          <w:color w:val="000000"/>
          <w:kern w:val="2"/>
          <w:sz w:val="32"/>
          <w:szCs w:val="32"/>
          <w:lang w:eastAsia="zh-CN"/>
        </w:rPr>
        <w:t>文明创建</w:t>
      </w:r>
      <w:r>
        <w:rPr>
          <w:rFonts w:hint="eastAsia" w:ascii="宋体" w:hAnsi="宋体" w:eastAsia="宋体" w:cs="宋体"/>
          <w:color w:val="000000"/>
          <w:kern w:val="2"/>
          <w:sz w:val="32"/>
          <w:szCs w:val="32"/>
        </w:rPr>
        <w:t>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6</w:t>
      </w:r>
      <w:r>
        <w:rPr>
          <w:rStyle w:val="16"/>
          <w:rFonts w:hint="eastAsia" w:ascii="宋体" w:hAnsi="宋体" w:eastAsia="宋体" w:cs="宋体"/>
          <w:b/>
          <w:color w:val="000000"/>
          <w:sz w:val="32"/>
          <w:szCs w:val="32"/>
          <w:lang w:val="en-US" w:eastAsia="zh-CN"/>
        </w:rPr>
        <w:t>1</w:t>
      </w:r>
      <w:r>
        <w:rPr>
          <w:rStyle w:val="16"/>
          <w:rFonts w:hint="eastAsia" w:ascii="宋体" w:hAnsi="宋体" w:eastAsia="宋体" w:cs="宋体"/>
          <w:b/>
          <w:color w:val="000000"/>
          <w:sz w:val="32"/>
          <w:szCs w:val="32"/>
        </w:rPr>
        <w:t>、城乡社区支出（类）城乡社区公共设施（款）其他城乡社区公共设施支出（项）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年初预算为1,800万元，支出决算为965.91万元，完成年初预算的53.66%。决算数小于年初预算数的主要原因是：年中项目预算调整。</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6</w:t>
      </w:r>
      <w:r>
        <w:rPr>
          <w:rStyle w:val="16"/>
          <w:rFonts w:hint="eastAsia" w:ascii="宋体" w:hAnsi="宋体" w:eastAsia="宋体" w:cs="宋体"/>
          <w:b/>
          <w:color w:val="000000"/>
          <w:sz w:val="32"/>
          <w:szCs w:val="32"/>
          <w:lang w:val="en-US" w:eastAsia="zh-CN"/>
        </w:rPr>
        <w:t>2</w:t>
      </w:r>
      <w:r>
        <w:rPr>
          <w:rStyle w:val="16"/>
          <w:rFonts w:hint="eastAsia" w:ascii="宋体" w:hAnsi="宋体" w:eastAsia="宋体" w:cs="宋体"/>
          <w:b/>
          <w:color w:val="000000"/>
          <w:sz w:val="32"/>
          <w:szCs w:val="32"/>
        </w:rPr>
        <w:t>、城乡社区支出（类）城乡社区环境卫生（款）城乡社区环境卫生（项）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年初预算为0万元，支出决算为28万元，决算数大于年初预算数的主要原因是：未纳入本单位部门预算，为上级部门单位拨付的垃圾分类处理项目资金。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6</w:t>
      </w:r>
      <w:r>
        <w:rPr>
          <w:rStyle w:val="16"/>
          <w:rFonts w:hint="eastAsia" w:ascii="宋体" w:hAnsi="宋体" w:eastAsia="宋体" w:cs="宋体"/>
          <w:b/>
          <w:color w:val="000000"/>
          <w:sz w:val="32"/>
          <w:szCs w:val="32"/>
          <w:lang w:val="en-US" w:eastAsia="zh-CN"/>
        </w:rPr>
        <w:t>3</w:t>
      </w:r>
      <w:r>
        <w:rPr>
          <w:rStyle w:val="16"/>
          <w:rFonts w:hint="eastAsia" w:ascii="宋体" w:hAnsi="宋体" w:eastAsia="宋体" w:cs="宋体"/>
          <w:b/>
          <w:color w:val="000000"/>
          <w:sz w:val="32"/>
          <w:szCs w:val="32"/>
        </w:rPr>
        <w:t>、城乡社区支出（类）其他城乡社区支出（款）其他城乡社区支出（项）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年初预算为0万元，支出决算为250.59万元，决算数大于年初预算数的主要原因是：未纳入本单位部门预算，为上级部门单位拨付</w:t>
      </w:r>
      <w:r>
        <w:rPr>
          <w:rFonts w:hint="eastAsia" w:ascii="宋体" w:hAnsi="宋体" w:eastAsia="宋体" w:cs="宋体"/>
          <w:color w:val="000000"/>
          <w:kern w:val="2"/>
          <w:sz w:val="32"/>
          <w:szCs w:val="32"/>
          <w:lang w:eastAsia="zh-CN"/>
        </w:rPr>
        <w:t>的街道基础设施建设</w:t>
      </w:r>
      <w:r>
        <w:rPr>
          <w:rFonts w:hint="eastAsia" w:ascii="宋体" w:hAnsi="宋体" w:eastAsia="宋体" w:cs="宋体"/>
          <w:color w:val="000000"/>
          <w:kern w:val="2"/>
          <w:sz w:val="32"/>
          <w:szCs w:val="32"/>
        </w:rPr>
        <w:t>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6</w:t>
      </w:r>
      <w:r>
        <w:rPr>
          <w:rStyle w:val="16"/>
          <w:rFonts w:hint="eastAsia" w:ascii="宋体" w:hAnsi="宋体" w:eastAsia="宋体" w:cs="宋体"/>
          <w:b/>
          <w:color w:val="000000"/>
          <w:sz w:val="32"/>
          <w:szCs w:val="32"/>
          <w:lang w:val="en-US" w:eastAsia="zh-CN"/>
        </w:rPr>
        <w:t>4</w:t>
      </w:r>
      <w:r>
        <w:rPr>
          <w:rStyle w:val="16"/>
          <w:rFonts w:hint="eastAsia" w:ascii="宋体" w:hAnsi="宋体" w:eastAsia="宋体" w:cs="宋体"/>
          <w:b/>
          <w:color w:val="000000"/>
          <w:sz w:val="32"/>
          <w:szCs w:val="32"/>
        </w:rPr>
        <w:t>、农林水支出（类）农业农村（款）事业运行（项）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年初预算为274.42万元，支出决算为252.21万元，完成年初预算的91.91%。决算数小于年初预算数的主要原因是：人员退休，减少部分支出。</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6</w:t>
      </w:r>
      <w:r>
        <w:rPr>
          <w:rStyle w:val="16"/>
          <w:rFonts w:hint="eastAsia" w:ascii="宋体" w:hAnsi="宋体" w:eastAsia="宋体" w:cs="宋体"/>
          <w:b/>
          <w:color w:val="000000"/>
          <w:sz w:val="32"/>
          <w:szCs w:val="32"/>
          <w:lang w:val="en-US" w:eastAsia="zh-CN"/>
        </w:rPr>
        <w:t>5</w:t>
      </w:r>
      <w:r>
        <w:rPr>
          <w:rStyle w:val="16"/>
          <w:rFonts w:hint="eastAsia" w:ascii="宋体" w:hAnsi="宋体" w:eastAsia="宋体" w:cs="宋体"/>
          <w:b/>
          <w:color w:val="000000"/>
          <w:sz w:val="32"/>
          <w:szCs w:val="32"/>
        </w:rPr>
        <w:t>、农林水支出（类）农业农村（款）防灾救灾（项）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年初预算为0万元，支出决算为10万元，决算数大于年初预算数的主要原因是：未纳入本单位部门预算，为上级部门单位拨付的</w:t>
      </w:r>
      <w:r>
        <w:rPr>
          <w:rFonts w:hint="eastAsia" w:ascii="宋体" w:hAnsi="宋体" w:eastAsia="宋体" w:cs="宋体"/>
          <w:color w:val="000000"/>
          <w:kern w:val="2"/>
          <w:sz w:val="32"/>
          <w:szCs w:val="32"/>
          <w:lang w:eastAsia="zh-CN"/>
        </w:rPr>
        <w:t>防灾救灾</w:t>
      </w:r>
      <w:r>
        <w:rPr>
          <w:rFonts w:hint="eastAsia" w:ascii="宋体" w:hAnsi="宋体" w:eastAsia="宋体" w:cs="宋体"/>
          <w:color w:val="000000"/>
          <w:kern w:val="2"/>
          <w:sz w:val="32"/>
          <w:szCs w:val="32"/>
        </w:rPr>
        <w:t>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6</w:t>
      </w:r>
      <w:r>
        <w:rPr>
          <w:rStyle w:val="16"/>
          <w:rFonts w:hint="eastAsia" w:ascii="宋体" w:hAnsi="宋体" w:eastAsia="宋体" w:cs="宋体"/>
          <w:b/>
          <w:color w:val="000000"/>
          <w:sz w:val="32"/>
          <w:szCs w:val="32"/>
          <w:lang w:val="en-US" w:eastAsia="zh-CN"/>
        </w:rPr>
        <w:t>6</w:t>
      </w:r>
      <w:r>
        <w:rPr>
          <w:rStyle w:val="16"/>
          <w:rFonts w:hint="eastAsia" w:ascii="宋体" w:hAnsi="宋体" w:eastAsia="宋体" w:cs="宋体"/>
          <w:b/>
          <w:color w:val="000000"/>
          <w:sz w:val="32"/>
          <w:szCs w:val="32"/>
        </w:rPr>
        <w:t>、农林水支出（类）农业农村（款）农业结构调整补贴（项）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年初预算为0万元，支出决算为13.8万元，决算数大于年初预算数的主要原因是：未纳入本单位部门预算，为上级部门单位拨付的“稻油”水旱轮作试点资金。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6</w:t>
      </w:r>
      <w:r>
        <w:rPr>
          <w:rStyle w:val="16"/>
          <w:rFonts w:hint="eastAsia" w:ascii="宋体" w:hAnsi="宋体" w:eastAsia="宋体" w:cs="宋体"/>
          <w:b/>
          <w:color w:val="000000"/>
          <w:sz w:val="32"/>
          <w:szCs w:val="32"/>
          <w:lang w:val="en-US" w:eastAsia="zh-CN"/>
        </w:rPr>
        <w:t>7</w:t>
      </w:r>
      <w:r>
        <w:rPr>
          <w:rStyle w:val="16"/>
          <w:rFonts w:hint="eastAsia" w:ascii="宋体" w:hAnsi="宋体" w:eastAsia="宋体" w:cs="宋体"/>
          <w:b/>
          <w:color w:val="000000"/>
          <w:sz w:val="32"/>
          <w:szCs w:val="32"/>
        </w:rPr>
        <w:t>、农林水支出（类）农业农村（款）农业生产发展（项）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6</w:t>
      </w:r>
      <w:r>
        <w:rPr>
          <w:rStyle w:val="16"/>
          <w:rFonts w:hint="eastAsia" w:ascii="宋体" w:hAnsi="宋体" w:eastAsia="宋体" w:cs="宋体"/>
          <w:b/>
          <w:color w:val="000000"/>
          <w:sz w:val="32"/>
          <w:szCs w:val="32"/>
          <w:lang w:val="en-US" w:eastAsia="zh-CN"/>
        </w:rPr>
        <w:t>8</w:t>
      </w:r>
      <w:r>
        <w:rPr>
          <w:rStyle w:val="16"/>
          <w:rFonts w:hint="eastAsia" w:ascii="宋体" w:hAnsi="宋体" w:eastAsia="宋体" w:cs="宋体"/>
          <w:b/>
          <w:color w:val="000000"/>
          <w:sz w:val="32"/>
          <w:szCs w:val="32"/>
        </w:rPr>
        <w:t>、农林水支出（类）农业农村（款）农村合作经济（项）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6</w:t>
      </w:r>
      <w:r>
        <w:rPr>
          <w:rStyle w:val="16"/>
          <w:rFonts w:hint="eastAsia" w:ascii="宋体" w:hAnsi="宋体" w:eastAsia="宋体" w:cs="宋体"/>
          <w:b/>
          <w:color w:val="000000"/>
          <w:sz w:val="32"/>
          <w:szCs w:val="32"/>
          <w:lang w:val="en-US" w:eastAsia="zh-CN"/>
        </w:rPr>
        <w:t>9</w:t>
      </w:r>
      <w:r>
        <w:rPr>
          <w:rStyle w:val="16"/>
          <w:rFonts w:hint="eastAsia" w:ascii="宋体" w:hAnsi="宋体" w:eastAsia="宋体" w:cs="宋体"/>
          <w:b/>
          <w:color w:val="000000"/>
          <w:sz w:val="32"/>
          <w:szCs w:val="32"/>
        </w:rPr>
        <w:t>、农林水支出（类）农业农村（款）农村社会事业（项）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年初预算为0万元，支出决算为317.73万元，决算数大于年初预算数的主要原因是：未纳入本单位部门预算，为上级部门单位拨付的农村改厕补助资金。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lang w:val="en-US" w:eastAsia="zh-CN"/>
        </w:rPr>
        <w:t>70</w:t>
      </w:r>
      <w:r>
        <w:rPr>
          <w:rStyle w:val="16"/>
          <w:rFonts w:hint="eastAsia" w:ascii="宋体" w:hAnsi="宋体" w:eastAsia="宋体" w:cs="宋体"/>
          <w:b/>
          <w:color w:val="000000"/>
          <w:sz w:val="32"/>
          <w:szCs w:val="32"/>
        </w:rPr>
        <w:t>、农林水支出（类）农业农村（款）农业资源保护修复与利用（项）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年初预算为0万元，支出决算为31万元，决算数大于年初预算数的主要原因是：未纳入本单位部门预算，为上级部门单位拨付的涉渔”三无“船舶及网具回收处置补助资金。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7</w:t>
      </w:r>
      <w:r>
        <w:rPr>
          <w:rStyle w:val="16"/>
          <w:rFonts w:hint="eastAsia" w:ascii="宋体" w:hAnsi="宋体" w:eastAsia="宋体" w:cs="宋体"/>
          <w:b/>
          <w:color w:val="000000"/>
          <w:sz w:val="32"/>
          <w:szCs w:val="32"/>
          <w:lang w:val="en-US" w:eastAsia="zh-CN"/>
        </w:rPr>
        <w:t>1</w:t>
      </w:r>
      <w:r>
        <w:rPr>
          <w:rStyle w:val="16"/>
          <w:rFonts w:hint="eastAsia" w:ascii="宋体" w:hAnsi="宋体" w:eastAsia="宋体" w:cs="宋体"/>
          <w:b/>
          <w:color w:val="000000"/>
          <w:sz w:val="32"/>
          <w:szCs w:val="32"/>
        </w:rPr>
        <w:t>、农林水支出（类）农业农村（款）农村道路建设（项）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年初预算为0万元，支出决算为16万元，决算数大于年初预算数的主要原因是：未纳入本单位部门预算，为上级部门单位拨付的财政预算资金。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7</w:t>
      </w:r>
      <w:r>
        <w:rPr>
          <w:rStyle w:val="16"/>
          <w:rFonts w:hint="eastAsia" w:ascii="宋体" w:hAnsi="宋体" w:eastAsia="宋体" w:cs="宋体"/>
          <w:b/>
          <w:color w:val="000000"/>
          <w:sz w:val="32"/>
          <w:szCs w:val="32"/>
          <w:lang w:val="en-US" w:eastAsia="zh-CN"/>
        </w:rPr>
        <w:t>2</w:t>
      </w:r>
      <w:r>
        <w:rPr>
          <w:rStyle w:val="16"/>
          <w:rFonts w:hint="eastAsia" w:ascii="宋体" w:hAnsi="宋体" w:eastAsia="宋体" w:cs="宋体"/>
          <w:b/>
          <w:color w:val="000000"/>
          <w:sz w:val="32"/>
          <w:szCs w:val="32"/>
        </w:rPr>
        <w:t>、农林水支出（类）农业农村（款）农田建设（项）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7</w:t>
      </w:r>
      <w:r>
        <w:rPr>
          <w:rStyle w:val="16"/>
          <w:rFonts w:hint="eastAsia" w:ascii="宋体" w:hAnsi="宋体" w:eastAsia="宋体" w:cs="宋体"/>
          <w:b/>
          <w:color w:val="000000"/>
          <w:sz w:val="32"/>
          <w:szCs w:val="32"/>
          <w:lang w:val="en-US" w:eastAsia="zh-CN"/>
        </w:rPr>
        <w:t>3</w:t>
      </w:r>
      <w:r>
        <w:rPr>
          <w:rStyle w:val="16"/>
          <w:rFonts w:hint="eastAsia" w:ascii="宋体" w:hAnsi="宋体" w:eastAsia="宋体" w:cs="宋体"/>
          <w:b/>
          <w:color w:val="000000"/>
          <w:sz w:val="32"/>
          <w:szCs w:val="32"/>
        </w:rPr>
        <w:t>、农林水支出（类）农业农村（款）其他农业农村支出（项）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年初预算为148万元，支出决算为244.32万元，完成年初预算的165.08%。决算数大于年初预算数的主要原因是：乡村振兴战略，年中增加项目预算。</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7</w:t>
      </w:r>
      <w:r>
        <w:rPr>
          <w:rStyle w:val="16"/>
          <w:rFonts w:hint="eastAsia" w:ascii="宋体" w:hAnsi="宋体" w:eastAsia="宋体" w:cs="宋体"/>
          <w:b/>
          <w:color w:val="000000"/>
          <w:sz w:val="32"/>
          <w:szCs w:val="32"/>
          <w:lang w:val="en-US" w:eastAsia="zh-CN"/>
        </w:rPr>
        <w:t>4</w:t>
      </w:r>
      <w:r>
        <w:rPr>
          <w:rStyle w:val="16"/>
          <w:rFonts w:hint="eastAsia" w:ascii="宋体" w:hAnsi="宋体" w:eastAsia="宋体" w:cs="宋体"/>
          <w:b/>
          <w:color w:val="000000"/>
          <w:sz w:val="32"/>
          <w:szCs w:val="32"/>
        </w:rPr>
        <w:t>、农林水支出（类）林业和草原（款）事业机构（项）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年初预算为0万元，支出决算为47.54万元，决算数大于年初预算数的主要原因是：未纳入本单位部门预算，为上级部门单位拨付的财政预算资金。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7</w:t>
      </w:r>
      <w:r>
        <w:rPr>
          <w:rStyle w:val="16"/>
          <w:rFonts w:hint="eastAsia" w:ascii="宋体" w:hAnsi="宋体" w:eastAsia="宋体" w:cs="宋体"/>
          <w:b/>
          <w:color w:val="000000"/>
          <w:sz w:val="32"/>
          <w:szCs w:val="32"/>
          <w:lang w:val="en-US" w:eastAsia="zh-CN"/>
        </w:rPr>
        <w:t>5</w:t>
      </w:r>
      <w:r>
        <w:rPr>
          <w:rStyle w:val="16"/>
          <w:rFonts w:hint="eastAsia" w:ascii="宋体" w:hAnsi="宋体" w:eastAsia="宋体" w:cs="宋体"/>
          <w:b/>
          <w:color w:val="000000"/>
          <w:sz w:val="32"/>
          <w:szCs w:val="32"/>
        </w:rPr>
        <w:t>、农林水支出（类）林业和草原（款）森林资源培育（项）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7</w:t>
      </w:r>
      <w:r>
        <w:rPr>
          <w:rStyle w:val="16"/>
          <w:rFonts w:hint="eastAsia" w:ascii="宋体" w:hAnsi="宋体" w:eastAsia="宋体" w:cs="宋体"/>
          <w:b/>
          <w:color w:val="000000"/>
          <w:sz w:val="32"/>
          <w:szCs w:val="32"/>
          <w:lang w:val="en-US" w:eastAsia="zh-CN"/>
        </w:rPr>
        <w:t>6</w:t>
      </w:r>
      <w:r>
        <w:rPr>
          <w:rStyle w:val="16"/>
          <w:rFonts w:hint="eastAsia" w:ascii="宋体" w:hAnsi="宋体" w:eastAsia="宋体" w:cs="宋体"/>
          <w:b/>
          <w:color w:val="000000"/>
          <w:sz w:val="32"/>
          <w:szCs w:val="32"/>
        </w:rPr>
        <w:t>、农林水支出（类）林业和草原（款）森林资源管理（项）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年初预算为0万元，支出决算为7.18万元，决算数大于年初预算数的主要原因是：未纳入本单位部门预算，为上级部门单位拨付的财政预算资金。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7</w:t>
      </w:r>
      <w:r>
        <w:rPr>
          <w:rStyle w:val="16"/>
          <w:rFonts w:hint="eastAsia" w:ascii="宋体" w:hAnsi="宋体" w:eastAsia="宋体" w:cs="宋体"/>
          <w:b/>
          <w:color w:val="000000"/>
          <w:sz w:val="32"/>
          <w:szCs w:val="32"/>
          <w:lang w:val="en-US" w:eastAsia="zh-CN"/>
        </w:rPr>
        <w:t>7</w:t>
      </w:r>
      <w:r>
        <w:rPr>
          <w:rStyle w:val="16"/>
          <w:rFonts w:hint="eastAsia" w:ascii="宋体" w:hAnsi="宋体" w:eastAsia="宋体" w:cs="宋体"/>
          <w:b/>
          <w:color w:val="000000"/>
          <w:sz w:val="32"/>
          <w:szCs w:val="32"/>
        </w:rPr>
        <w:t>、农林水支出（类）林业和草原（款）森林生态效益补偿（项）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年初预算为0万元，支出决算为25.05万元，决算数大于年初预算数的主要原因是：未纳入本单位部门预算，为上级部门单位拨付的财政预算资金。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7</w:t>
      </w:r>
      <w:r>
        <w:rPr>
          <w:rStyle w:val="16"/>
          <w:rFonts w:hint="eastAsia" w:ascii="宋体" w:hAnsi="宋体" w:eastAsia="宋体" w:cs="宋体"/>
          <w:b/>
          <w:color w:val="000000"/>
          <w:sz w:val="32"/>
          <w:szCs w:val="32"/>
          <w:lang w:val="en-US" w:eastAsia="zh-CN"/>
        </w:rPr>
        <w:t>8</w:t>
      </w:r>
      <w:r>
        <w:rPr>
          <w:rStyle w:val="16"/>
          <w:rFonts w:hint="eastAsia" w:ascii="宋体" w:hAnsi="宋体" w:eastAsia="宋体" w:cs="宋体"/>
          <w:b/>
          <w:color w:val="000000"/>
          <w:sz w:val="32"/>
          <w:szCs w:val="32"/>
        </w:rPr>
        <w:t>、农林水支出（类）林业和草原（款）林业草原防灾减灾（项）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年初预算为30万元，支出决算为18.15万元，完成年初预算的60.5%。决算数小于年初预算数的主要原因是：年中项目预算调整。</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7</w:t>
      </w:r>
      <w:r>
        <w:rPr>
          <w:rStyle w:val="16"/>
          <w:rFonts w:hint="eastAsia" w:ascii="宋体" w:hAnsi="宋体" w:eastAsia="宋体" w:cs="宋体"/>
          <w:b/>
          <w:color w:val="000000"/>
          <w:sz w:val="32"/>
          <w:szCs w:val="32"/>
          <w:lang w:val="en-US" w:eastAsia="zh-CN"/>
        </w:rPr>
        <w:t>9</w:t>
      </w:r>
      <w:r>
        <w:rPr>
          <w:rStyle w:val="16"/>
          <w:rFonts w:hint="eastAsia" w:ascii="宋体" w:hAnsi="宋体" w:eastAsia="宋体" w:cs="宋体"/>
          <w:b/>
          <w:color w:val="000000"/>
          <w:sz w:val="32"/>
          <w:szCs w:val="32"/>
        </w:rPr>
        <w:t>、农林水支出（类）林业和草原（款）其他林业和草原支出（项）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lang w:val="en-US" w:eastAsia="zh-CN"/>
        </w:rPr>
        <w:t>80</w:t>
      </w:r>
      <w:r>
        <w:rPr>
          <w:rStyle w:val="16"/>
          <w:rFonts w:hint="eastAsia" w:ascii="宋体" w:hAnsi="宋体" w:eastAsia="宋体" w:cs="宋体"/>
          <w:b/>
          <w:color w:val="000000"/>
          <w:sz w:val="32"/>
          <w:szCs w:val="32"/>
        </w:rPr>
        <w:t>、农林水支出（类）水利（款）水利工程建设（项）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年初预算为0万元，支出决算为27万元，决算数大于年初预算数的主要原因是：未纳入本单位部门预算，为上级部门单位拨付的财政预算资金。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8</w:t>
      </w:r>
      <w:r>
        <w:rPr>
          <w:rStyle w:val="16"/>
          <w:rFonts w:hint="eastAsia" w:ascii="宋体" w:hAnsi="宋体" w:eastAsia="宋体" w:cs="宋体"/>
          <w:b/>
          <w:color w:val="000000"/>
          <w:sz w:val="32"/>
          <w:szCs w:val="32"/>
          <w:lang w:val="en-US" w:eastAsia="zh-CN"/>
        </w:rPr>
        <w:t>1</w:t>
      </w:r>
      <w:r>
        <w:rPr>
          <w:rStyle w:val="16"/>
          <w:rFonts w:hint="eastAsia" w:ascii="宋体" w:hAnsi="宋体" w:eastAsia="宋体" w:cs="宋体"/>
          <w:b/>
          <w:color w:val="000000"/>
          <w:sz w:val="32"/>
          <w:szCs w:val="32"/>
        </w:rPr>
        <w:t>、农林水支出（类）水利（款）水利工程运行与维护（项）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年初预算为0万元，支出决算为41.13万元，决算数大于年初预算数的主要原因是：未纳入本单位部门预算，为上级部门单位拨付的</w:t>
      </w:r>
      <w:r>
        <w:rPr>
          <w:rFonts w:hint="eastAsia" w:ascii="宋体" w:hAnsi="宋体" w:eastAsia="宋体" w:cs="宋体"/>
          <w:color w:val="000000"/>
          <w:kern w:val="2"/>
          <w:sz w:val="32"/>
          <w:szCs w:val="32"/>
          <w:lang w:eastAsia="zh-CN"/>
        </w:rPr>
        <w:t>小型水库维护</w:t>
      </w:r>
      <w:r>
        <w:rPr>
          <w:rFonts w:hint="eastAsia" w:ascii="宋体" w:hAnsi="宋体" w:eastAsia="宋体" w:cs="宋体"/>
          <w:color w:val="000000"/>
          <w:kern w:val="2"/>
          <w:sz w:val="32"/>
          <w:szCs w:val="32"/>
        </w:rPr>
        <w:t>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8</w:t>
      </w:r>
      <w:r>
        <w:rPr>
          <w:rStyle w:val="16"/>
          <w:rFonts w:hint="eastAsia" w:ascii="宋体" w:hAnsi="宋体" w:eastAsia="宋体" w:cs="宋体"/>
          <w:b/>
          <w:color w:val="000000"/>
          <w:sz w:val="32"/>
          <w:szCs w:val="32"/>
          <w:lang w:val="en-US" w:eastAsia="zh-CN"/>
        </w:rPr>
        <w:t>2</w:t>
      </w:r>
      <w:r>
        <w:rPr>
          <w:rStyle w:val="16"/>
          <w:rFonts w:hint="eastAsia" w:ascii="宋体" w:hAnsi="宋体" w:eastAsia="宋体" w:cs="宋体"/>
          <w:b/>
          <w:color w:val="000000"/>
          <w:sz w:val="32"/>
          <w:szCs w:val="32"/>
        </w:rPr>
        <w:t>、农林水支出（类）水利（款）防汛（项）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年初预算为0万元，支出决算为8万元，决算数大于年初预算数的主要原因是：未纳入本单位部门预算，为上级部门单位拨付的</w:t>
      </w:r>
      <w:r>
        <w:rPr>
          <w:rFonts w:hint="eastAsia" w:ascii="宋体" w:hAnsi="宋体" w:eastAsia="宋体" w:cs="宋体"/>
          <w:color w:val="000000"/>
          <w:kern w:val="2"/>
          <w:sz w:val="32"/>
          <w:szCs w:val="32"/>
          <w:lang w:eastAsia="zh-CN"/>
        </w:rPr>
        <w:t>防汛</w:t>
      </w:r>
      <w:r>
        <w:rPr>
          <w:rFonts w:hint="eastAsia" w:ascii="宋体" w:hAnsi="宋体" w:eastAsia="宋体" w:cs="宋体"/>
          <w:color w:val="000000"/>
          <w:kern w:val="2"/>
          <w:sz w:val="32"/>
          <w:szCs w:val="32"/>
        </w:rPr>
        <w:t>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8</w:t>
      </w:r>
      <w:r>
        <w:rPr>
          <w:rStyle w:val="16"/>
          <w:rFonts w:hint="eastAsia" w:ascii="宋体" w:hAnsi="宋体" w:eastAsia="宋体" w:cs="宋体"/>
          <w:b/>
          <w:color w:val="000000"/>
          <w:sz w:val="32"/>
          <w:szCs w:val="32"/>
          <w:lang w:val="en-US" w:eastAsia="zh-CN"/>
        </w:rPr>
        <w:t>3</w:t>
      </w:r>
      <w:r>
        <w:rPr>
          <w:rStyle w:val="16"/>
          <w:rFonts w:hint="eastAsia" w:ascii="宋体" w:hAnsi="宋体" w:eastAsia="宋体" w:cs="宋体"/>
          <w:b/>
          <w:color w:val="000000"/>
          <w:sz w:val="32"/>
          <w:szCs w:val="32"/>
        </w:rPr>
        <w:t>、农林水支出（类）水利（款）农村水利（项）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年初预算为0万元，支出决算为23.69万元，决算数大于年初预算数的主要原因是：未纳入本单位部门预算，为上级部门单位拨付的"百座放心满意小型水库"长沙市级补助资金。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8</w:t>
      </w:r>
      <w:r>
        <w:rPr>
          <w:rStyle w:val="16"/>
          <w:rFonts w:hint="eastAsia" w:ascii="宋体" w:hAnsi="宋体" w:eastAsia="宋体" w:cs="宋体"/>
          <w:b/>
          <w:color w:val="000000"/>
          <w:sz w:val="32"/>
          <w:szCs w:val="32"/>
          <w:lang w:val="en-US" w:eastAsia="zh-CN"/>
        </w:rPr>
        <w:t>4</w:t>
      </w:r>
      <w:r>
        <w:rPr>
          <w:rStyle w:val="16"/>
          <w:rFonts w:hint="eastAsia" w:ascii="宋体" w:hAnsi="宋体" w:eastAsia="宋体" w:cs="宋体"/>
          <w:b/>
          <w:color w:val="000000"/>
          <w:sz w:val="32"/>
          <w:szCs w:val="32"/>
        </w:rPr>
        <w:t>、农林水支出（类）水利（款）其他水利支出（项）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年初预算为46万元，支出决算为113.28万元，完成年初预算的246.26%。决算数大于年初预算数的主要原因是：乡村振兴战略，年中增加部分项目预算。</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8</w:t>
      </w:r>
      <w:r>
        <w:rPr>
          <w:rStyle w:val="16"/>
          <w:rFonts w:hint="eastAsia" w:ascii="宋体" w:hAnsi="宋体" w:eastAsia="宋体" w:cs="宋体"/>
          <w:b/>
          <w:color w:val="000000"/>
          <w:sz w:val="32"/>
          <w:szCs w:val="32"/>
          <w:lang w:val="en-US" w:eastAsia="zh-CN"/>
        </w:rPr>
        <w:t>5</w:t>
      </w:r>
      <w:r>
        <w:rPr>
          <w:rStyle w:val="16"/>
          <w:rFonts w:hint="eastAsia" w:ascii="宋体" w:hAnsi="宋体" w:eastAsia="宋体" w:cs="宋体"/>
          <w:b/>
          <w:color w:val="000000"/>
          <w:sz w:val="32"/>
          <w:szCs w:val="32"/>
        </w:rPr>
        <w:t>、农林水支出（类）扶贫（款）农村基础设施建设（项）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年初预算为0万元，支出决算为16.8万元，决算数大于年初预算数的主要原因是：未纳入本单位部门预算，为上级部门单位拨付的财政预算资金。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8</w:t>
      </w:r>
      <w:r>
        <w:rPr>
          <w:rStyle w:val="16"/>
          <w:rFonts w:hint="eastAsia" w:ascii="宋体" w:hAnsi="宋体" w:eastAsia="宋体" w:cs="宋体"/>
          <w:b/>
          <w:color w:val="000000"/>
          <w:sz w:val="32"/>
          <w:szCs w:val="32"/>
          <w:lang w:val="en-US" w:eastAsia="zh-CN"/>
        </w:rPr>
        <w:t>6</w:t>
      </w:r>
      <w:r>
        <w:rPr>
          <w:rStyle w:val="16"/>
          <w:rFonts w:hint="eastAsia" w:ascii="宋体" w:hAnsi="宋体" w:eastAsia="宋体" w:cs="宋体"/>
          <w:b/>
          <w:color w:val="000000"/>
          <w:sz w:val="32"/>
          <w:szCs w:val="32"/>
        </w:rPr>
        <w:t>、农林水支出（类）扶贫（款）其他扶贫支出（项）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年初预算为0万元，支出决算为256.6万元，决算数大于年初预算数的主要原因是：未纳入本单位部门预算，为上级部门单位拨付的</w:t>
      </w:r>
      <w:r>
        <w:rPr>
          <w:rFonts w:hint="eastAsia" w:ascii="宋体" w:hAnsi="宋体" w:eastAsia="宋体" w:cs="宋体"/>
          <w:color w:val="000000"/>
          <w:kern w:val="2"/>
          <w:sz w:val="32"/>
          <w:szCs w:val="32"/>
          <w:lang w:eastAsia="zh-CN"/>
        </w:rPr>
        <w:t>产业扶贫</w:t>
      </w:r>
      <w:r>
        <w:rPr>
          <w:rFonts w:hint="eastAsia" w:ascii="宋体" w:hAnsi="宋体" w:eastAsia="宋体" w:cs="宋体"/>
          <w:color w:val="000000"/>
          <w:kern w:val="2"/>
          <w:sz w:val="32"/>
          <w:szCs w:val="32"/>
        </w:rPr>
        <w:t>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8</w:t>
      </w:r>
      <w:r>
        <w:rPr>
          <w:rStyle w:val="16"/>
          <w:rFonts w:hint="eastAsia" w:ascii="宋体" w:hAnsi="宋体" w:eastAsia="宋体" w:cs="宋体"/>
          <w:b/>
          <w:color w:val="000000"/>
          <w:sz w:val="32"/>
          <w:szCs w:val="32"/>
          <w:lang w:val="en-US" w:eastAsia="zh-CN"/>
        </w:rPr>
        <w:t>7</w:t>
      </w:r>
      <w:r>
        <w:rPr>
          <w:rStyle w:val="16"/>
          <w:rFonts w:hint="eastAsia" w:ascii="宋体" w:hAnsi="宋体" w:eastAsia="宋体" w:cs="宋体"/>
          <w:b/>
          <w:color w:val="000000"/>
          <w:sz w:val="32"/>
          <w:szCs w:val="32"/>
        </w:rPr>
        <w:t>、农林水支出（类）农村综合改革（款）对村民委员会和村党支部的补助（项）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年初预算为260万元，支出决算为554.45万元，完成年初预算的213.25%。决算数大于年初预算数的主要原因是：乡村振兴战略，年中增加了部分项目预算。</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8</w:t>
      </w:r>
      <w:r>
        <w:rPr>
          <w:rStyle w:val="16"/>
          <w:rFonts w:hint="eastAsia" w:ascii="宋体" w:hAnsi="宋体" w:eastAsia="宋体" w:cs="宋体"/>
          <w:b/>
          <w:color w:val="000000"/>
          <w:sz w:val="32"/>
          <w:szCs w:val="32"/>
          <w:lang w:val="en-US" w:eastAsia="zh-CN"/>
        </w:rPr>
        <w:t>8</w:t>
      </w:r>
      <w:r>
        <w:rPr>
          <w:rStyle w:val="16"/>
          <w:rFonts w:hint="eastAsia" w:ascii="宋体" w:hAnsi="宋体" w:eastAsia="宋体" w:cs="宋体"/>
          <w:b/>
          <w:color w:val="000000"/>
          <w:sz w:val="32"/>
          <w:szCs w:val="32"/>
        </w:rPr>
        <w:t>、农林水支出（类）农村综合改革（款）对村集体经济组织的补助（项）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年初预算为0万元，支出决算为30万元，决算数大于年初预算数的主要原因是：未纳入本单位部门预算，为上级部门单位拨付的财政预算资金。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8</w:t>
      </w:r>
      <w:r>
        <w:rPr>
          <w:rStyle w:val="16"/>
          <w:rFonts w:hint="eastAsia" w:ascii="宋体" w:hAnsi="宋体" w:eastAsia="宋体" w:cs="宋体"/>
          <w:b/>
          <w:color w:val="000000"/>
          <w:sz w:val="32"/>
          <w:szCs w:val="32"/>
          <w:lang w:val="en-US" w:eastAsia="zh-CN"/>
        </w:rPr>
        <w:t>9</w:t>
      </w:r>
      <w:r>
        <w:rPr>
          <w:rStyle w:val="16"/>
          <w:rFonts w:hint="eastAsia" w:ascii="宋体" w:hAnsi="宋体" w:eastAsia="宋体" w:cs="宋体"/>
          <w:b/>
          <w:color w:val="000000"/>
          <w:sz w:val="32"/>
          <w:szCs w:val="32"/>
        </w:rPr>
        <w:t>、农林水支出（类）农村综合改革（款）农村综合改革示范试点补助（项）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年初预算为0万元，支出决算为180万元，决算数大于年初预算数的主要原因是：未纳入本单位部门预算，为上级部门单位拨付的</w:t>
      </w:r>
      <w:r>
        <w:rPr>
          <w:rFonts w:hint="eastAsia" w:ascii="宋体" w:hAnsi="宋体" w:eastAsia="宋体" w:cs="宋体"/>
          <w:color w:val="000000"/>
          <w:kern w:val="2"/>
          <w:sz w:val="32"/>
          <w:szCs w:val="32"/>
          <w:lang w:eastAsia="zh-CN"/>
        </w:rPr>
        <w:t>农村试点</w:t>
      </w:r>
      <w:r>
        <w:rPr>
          <w:rFonts w:hint="eastAsia" w:ascii="宋体" w:hAnsi="宋体" w:eastAsia="宋体" w:cs="宋体"/>
          <w:color w:val="000000"/>
          <w:kern w:val="2"/>
          <w:sz w:val="32"/>
          <w:szCs w:val="32"/>
        </w:rPr>
        <w:t>财政资金。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lang w:val="en-US" w:eastAsia="zh-CN"/>
        </w:rPr>
        <w:t>90</w:t>
      </w:r>
      <w:r>
        <w:rPr>
          <w:rStyle w:val="16"/>
          <w:rFonts w:hint="eastAsia" w:ascii="宋体" w:hAnsi="宋体" w:eastAsia="宋体" w:cs="宋体"/>
          <w:b/>
          <w:color w:val="000000"/>
          <w:sz w:val="32"/>
          <w:szCs w:val="32"/>
        </w:rPr>
        <w:t>、农林水支出（类）普惠金融发展支出（款）农业保险保费补贴（项）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年初预算为0万元，支出决算为9.88万元，决算数大于年初预算数的主要原因是：未纳入本单位部门预算，为上级部门单位拨付的财政预算资金。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9</w:t>
      </w:r>
      <w:r>
        <w:rPr>
          <w:rStyle w:val="16"/>
          <w:rFonts w:hint="eastAsia" w:ascii="宋体" w:hAnsi="宋体" w:eastAsia="宋体" w:cs="宋体"/>
          <w:b/>
          <w:color w:val="000000"/>
          <w:sz w:val="32"/>
          <w:szCs w:val="32"/>
          <w:lang w:val="en-US" w:eastAsia="zh-CN"/>
        </w:rPr>
        <w:t>1</w:t>
      </w:r>
      <w:r>
        <w:rPr>
          <w:rStyle w:val="16"/>
          <w:rFonts w:hint="eastAsia" w:ascii="宋体" w:hAnsi="宋体" w:eastAsia="宋体" w:cs="宋体"/>
          <w:b/>
          <w:color w:val="000000"/>
          <w:sz w:val="32"/>
          <w:szCs w:val="32"/>
        </w:rPr>
        <w:t>、农林水支出（类）普惠金融发展支出（款）其他普惠金融发展支出（项）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年初预算为0万元，支出决算为1.2万元，决算数大于年初预算数的主要原因是：未纳入本单位部门预算，为上级部门单位拨付的财政预算资金。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9</w:t>
      </w:r>
      <w:r>
        <w:rPr>
          <w:rStyle w:val="16"/>
          <w:rFonts w:hint="eastAsia" w:ascii="宋体" w:hAnsi="宋体" w:eastAsia="宋体" w:cs="宋体"/>
          <w:b/>
          <w:color w:val="000000"/>
          <w:sz w:val="32"/>
          <w:szCs w:val="32"/>
          <w:lang w:val="en-US" w:eastAsia="zh-CN"/>
        </w:rPr>
        <w:t>2</w:t>
      </w:r>
      <w:r>
        <w:rPr>
          <w:rStyle w:val="16"/>
          <w:rFonts w:hint="eastAsia" w:ascii="宋体" w:hAnsi="宋体" w:eastAsia="宋体" w:cs="宋体"/>
          <w:b/>
          <w:color w:val="000000"/>
          <w:sz w:val="32"/>
          <w:szCs w:val="32"/>
        </w:rPr>
        <w:t>、农林水支出（类）其他农林水支出（款）其他农林水支出（项）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9</w:t>
      </w:r>
      <w:r>
        <w:rPr>
          <w:rStyle w:val="16"/>
          <w:rFonts w:hint="eastAsia" w:ascii="宋体" w:hAnsi="宋体" w:eastAsia="宋体" w:cs="宋体"/>
          <w:b/>
          <w:color w:val="000000"/>
          <w:sz w:val="32"/>
          <w:szCs w:val="32"/>
          <w:lang w:val="en-US" w:eastAsia="zh-CN"/>
        </w:rPr>
        <w:t>3</w:t>
      </w:r>
      <w:r>
        <w:rPr>
          <w:rStyle w:val="16"/>
          <w:rFonts w:hint="eastAsia" w:ascii="宋体" w:hAnsi="宋体" w:eastAsia="宋体" w:cs="宋体"/>
          <w:b/>
          <w:color w:val="000000"/>
          <w:sz w:val="32"/>
          <w:szCs w:val="32"/>
        </w:rPr>
        <w:t>、交通运输支出（类）公路水路运输（款）公路建设（项）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年初预算为0万元，支出决算为126.73万元，决算数大于年初预算数的主要原因是：未纳入本单位部门预算，为上级部门单位拨付</w:t>
      </w:r>
      <w:r>
        <w:rPr>
          <w:rFonts w:hint="eastAsia" w:ascii="宋体" w:hAnsi="宋体" w:eastAsia="宋体" w:cs="宋体"/>
          <w:color w:val="000000"/>
          <w:kern w:val="2"/>
          <w:sz w:val="32"/>
          <w:szCs w:val="32"/>
          <w:lang w:eastAsia="zh-CN"/>
        </w:rPr>
        <w:t>的荷文公路提质改造</w:t>
      </w:r>
      <w:r>
        <w:rPr>
          <w:rFonts w:hint="eastAsia" w:ascii="宋体" w:hAnsi="宋体" w:eastAsia="宋体" w:cs="宋体"/>
          <w:color w:val="000000"/>
          <w:kern w:val="2"/>
          <w:sz w:val="32"/>
          <w:szCs w:val="32"/>
        </w:rPr>
        <w:t>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9</w:t>
      </w:r>
      <w:r>
        <w:rPr>
          <w:rStyle w:val="16"/>
          <w:rFonts w:hint="eastAsia" w:ascii="宋体" w:hAnsi="宋体" w:eastAsia="宋体" w:cs="宋体"/>
          <w:b/>
          <w:color w:val="000000"/>
          <w:sz w:val="32"/>
          <w:szCs w:val="32"/>
          <w:lang w:val="en-US" w:eastAsia="zh-CN"/>
        </w:rPr>
        <w:t>4</w:t>
      </w:r>
      <w:r>
        <w:rPr>
          <w:rStyle w:val="16"/>
          <w:rFonts w:hint="eastAsia" w:ascii="宋体" w:hAnsi="宋体" w:eastAsia="宋体" w:cs="宋体"/>
          <w:b/>
          <w:color w:val="000000"/>
          <w:sz w:val="32"/>
          <w:szCs w:val="32"/>
        </w:rPr>
        <w:t>、交通运输支出（类）公路水路运输（款）公路养护（项）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年初预算为0万元，支出决算为15万元，决算数大于年初预算数的主要原因是：未纳入本单位部门预算，为上级部门单位拨付的财政预算资金。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9</w:t>
      </w:r>
      <w:r>
        <w:rPr>
          <w:rStyle w:val="16"/>
          <w:rFonts w:hint="eastAsia" w:ascii="宋体" w:hAnsi="宋体" w:eastAsia="宋体" w:cs="宋体"/>
          <w:b/>
          <w:color w:val="000000"/>
          <w:sz w:val="32"/>
          <w:szCs w:val="32"/>
          <w:lang w:val="en-US" w:eastAsia="zh-CN"/>
        </w:rPr>
        <w:t>5</w:t>
      </w:r>
      <w:r>
        <w:rPr>
          <w:rStyle w:val="16"/>
          <w:rFonts w:hint="eastAsia" w:ascii="宋体" w:hAnsi="宋体" w:eastAsia="宋体" w:cs="宋体"/>
          <w:b/>
          <w:color w:val="000000"/>
          <w:sz w:val="32"/>
          <w:szCs w:val="32"/>
        </w:rPr>
        <w:t>、交通运输支出（类）成品油价格改革对交通运输的补贴（款）对农村道路客运的补贴（项）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年初预算为0万元，支出决算为4.49万元，决算数大于年初预算数的主要原因是：未纳入本单位部门预算，为上级部门单位拨付的财政预算资金。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9</w:t>
      </w:r>
      <w:r>
        <w:rPr>
          <w:rStyle w:val="16"/>
          <w:rFonts w:hint="eastAsia" w:ascii="宋体" w:hAnsi="宋体" w:eastAsia="宋体" w:cs="宋体"/>
          <w:b/>
          <w:color w:val="000000"/>
          <w:sz w:val="32"/>
          <w:szCs w:val="32"/>
          <w:lang w:val="en-US" w:eastAsia="zh-CN"/>
        </w:rPr>
        <w:t>6</w:t>
      </w:r>
      <w:r>
        <w:rPr>
          <w:rStyle w:val="16"/>
          <w:rFonts w:hint="eastAsia" w:ascii="宋体" w:hAnsi="宋体" w:eastAsia="宋体" w:cs="宋体"/>
          <w:b/>
          <w:color w:val="000000"/>
          <w:sz w:val="32"/>
          <w:szCs w:val="32"/>
        </w:rPr>
        <w:t>、交通运输支出（类）成品油价格改革对交通运输的补贴（款）成品油价格改革补贴其他支出（项）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年初预算为0万元，支出决算为0.05万元，决算数大于年初预算数的主要原因是：未纳入本单位部门预算，为上级部门单位拨付的财政预算资金。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9</w:t>
      </w:r>
      <w:r>
        <w:rPr>
          <w:rStyle w:val="16"/>
          <w:rFonts w:hint="eastAsia" w:ascii="宋体" w:hAnsi="宋体" w:eastAsia="宋体" w:cs="宋体"/>
          <w:b/>
          <w:color w:val="000000"/>
          <w:sz w:val="32"/>
          <w:szCs w:val="32"/>
          <w:lang w:val="en-US" w:eastAsia="zh-CN"/>
        </w:rPr>
        <w:t>7</w:t>
      </w:r>
      <w:r>
        <w:rPr>
          <w:rStyle w:val="16"/>
          <w:rFonts w:hint="eastAsia" w:ascii="宋体" w:hAnsi="宋体" w:eastAsia="宋体" w:cs="宋体"/>
          <w:b/>
          <w:color w:val="000000"/>
          <w:sz w:val="32"/>
          <w:szCs w:val="32"/>
        </w:rPr>
        <w:t>、资源勘探工业信息等支出（类）支持中小企业发展和管理支出（款）其他支持中小企业发展和管理支出（项）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9</w:t>
      </w:r>
      <w:r>
        <w:rPr>
          <w:rStyle w:val="16"/>
          <w:rFonts w:hint="eastAsia" w:ascii="宋体" w:hAnsi="宋体" w:eastAsia="宋体" w:cs="宋体"/>
          <w:b/>
          <w:color w:val="000000"/>
          <w:sz w:val="32"/>
          <w:szCs w:val="32"/>
          <w:lang w:val="en-US" w:eastAsia="zh-CN"/>
        </w:rPr>
        <w:t>8</w:t>
      </w:r>
      <w:r>
        <w:rPr>
          <w:rStyle w:val="16"/>
          <w:rFonts w:hint="eastAsia" w:ascii="宋体" w:hAnsi="宋体" w:eastAsia="宋体" w:cs="宋体"/>
          <w:b/>
          <w:color w:val="000000"/>
          <w:sz w:val="32"/>
          <w:szCs w:val="32"/>
        </w:rPr>
        <w:t>、商业服务业等支出（类）商业流通事务（款）其他商业流通事务支出（项）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年初预算为0万元，支出决算为38万元，决算数大于年初预算数的主要原因是：未纳入本单位部门预算，为上级部门单位拨付的</w:t>
      </w:r>
      <w:r>
        <w:rPr>
          <w:rFonts w:hint="eastAsia" w:ascii="宋体" w:hAnsi="宋体" w:eastAsia="宋体" w:cs="宋体"/>
          <w:color w:val="000000"/>
          <w:kern w:val="2"/>
          <w:sz w:val="32"/>
          <w:szCs w:val="32"/>
          <w:lang w:eastAsia="zh-CN"/>
        </w:rPr>
        <w:t>农村</w:t>
      </w:r>
      <w:r>
        <w:rPr>
          <w:rFonts w:hint="eastAsia" w:ascii="宋体" w:hAnsi="宋体" w:eastAsia="宋体" w:cs="宋体"/>
          <w:color w:val="000000"/>
          <w:kern w:val="2"/>
          <w:sz w:val="32"/>
          <w:szCs w:val="32"/>
        </w:rPr>
        <w:t>圈舍改造、良种引进、防疫、污粪处理资金。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9</w:t>
      </w:r>
      <w:r>
        <w:rPr>
          <w:rStyle w:val="16"/>
          <w:rFonts w:hint="eastAsia" w:ascii="宋体" w:hAnsi="宋体" w:eastAsia="宋体" w:cs="宋体"/>
          <w:b/>
          <w:color w:val="000000"/>
          <w:sz w:val="32"/>
          <w:szCs w:val="32"/>
          <w:lang w:val="en-US" w:eastAsia="zh-CN"/>
        </w:rPr>
        <w:t>9</w:t>
      </w:r>
      <w:r>
        <w:rPr>
          <w:rStyle w:val="16"/>
          <w:rFonts w:hint="eastAsia" w:ascii="宋体" w:hAnsi="宋体" w:eastAsia="宋体" w:cs="宋体"/>
          <w:b/>
          <w:color w:val="000000"/>
          <w:sz w:val="32"/>
          <w:szCs w:val="32"/>
        </w:rPr>
        <w:t>、商业服务业等支出（类）其他商业服务业等支出（款）其他商业服务业等支出（项）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lang w:val="en-US" w:eastAsia="zh-CN"/>
        </w:rPr>
        <w:t>100</w:t>
      </w:r>
      <w:r>
        <w:rPr>
          <w:rStyle w:val="16"/>
          <w:rFonts w:hint="eastAsia" w:ascii="宋体" w:hAnsi="宋体" w:eastAsia="宋体" w:cs="宋体"/>
          <w:b/>
          <w:color w:val="000000"/>
          <w:sz w:val="32"/>
          <w:szCs w:val="32"/>
        </w:rPr>
        <w:t>、自然资源海洋气象等支出（类）自然资源事务（款）行政运行（项）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年初预算为0万元，支出决算为35.78万元，决算数大于年初预算数的主要原因是：未纳入本单位部门预算，为上级部门单位拨付的财政预算资金。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10</w:t>
      </w:r>
      <w:r>
        <w:rPr>
          <w:rStyle w:val="16"/>
          <w:rFonts w:hint="eastAsia" w:ascii="宋体" w:hAnsi="宋体" w:eastAsia="宋体" w:cs="宋体"/>
          <w:b/>
          <w:color w:val="000000"/>
          <w:sz w:val="32"/>
          <w:szCs w:val="32"/>
          <w:lang w:val="en-US" w:eastAsia="zh-CN"/>
        </w:rPr>
        <w:t>1</w:t>
      </w:r>
      <w:r>
        <w:rPr>
          <w:rStyle w:val="16"/>
          <w:rFonts w:hint="eastAsia" w:ascii="宋体" w:hAnsi="宋体" w:eastAsia="宋体" w:cs="宋体"/>
          <w:b/>
          <w:color w:val="000000"/>
          <w:sz w:val="32"/>
          <w:szCs w:val="32"/>
        </w:rPr>
        <w:t>、自然资源海洋气象等支出（类）自然资源事务（款）其他自然资源事务支出（项）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年初预算为0万元，支出决算为30.41万元，决算数大于年初预算数的主要原因是：未纳入本单位部门预算，为上级部门单位拨付的财政预算资金。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10</w:t>
      </w:r>
      <w:r>
        <w:rPr>
          <w:rStyle w:val="16"/>
          <w:rFonts w:hint="eastAsia" w:ascii="宋体" w:hAnsi="宋体" w:eastAsia="宋体" w:cs="宋体"/>
          <w:b/>
          <w:color w:val="000000"/>
          <w:sz w:val="32"/>
          <w:szCs w:val="32"/>
          <w:lang w:val="en-US" w:eastAsia="zh-CN"/>
        </w:rPr>
        <w:t>2</w:t>
      </w:r>
      <w:r>
        <w:rPr>
          <w:rStyle w:val="16"/>
          <w:rFonts w:hint="eastAsia" w:ascii="宋体" w:hAnsi="宋体" w:eastAsia="宋体" w:cs="宋体"/>
          <w:b/>
          <w:color w:val="000000"/>
          <w:sz w:val="32"/>
          <w:szCs w:val="32"/>
        </w:rPr>
        <w:t>、住房保障支出（类）保障性安居工程支出（款）棚户区改造（项）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年初预算为0万元，支出决算为168.51万元，决算数大于年初预算数的主要原因是：未纳入本单位部门预算，为上级部门单位拨付的</w:t>
      </w:r>
      <w:r>
        <w:rPr>
          <w:rFonts w:hint="eastAsia" w:ascii="宋体" w:hAnsi="宋体" w:eastAsia="宋体" w:cs="宋体"/>
          <w:color w:val="000000"/>
          <w:kern w:val="2"/>
          <w:sz w:val="32"/>
          <w:szCs w:val="32"/>
          <w:lang w:eastAsia="zh-CN"/>
        </w:rPr>
        <w:t>棚户区改造</w:t>
      </w:r>
      <w:r>
        <w:rPr>
          <w:rFonts w:hint="eastAsia" w:ascii="宋体" w:hAnsi="宋体" w:eastAsia="宋体" w:cs="宋体"/>
          <w:color w:val="000000"/>
          <w:kern w:val="2"/>
          <w:sz w:val="32"/>
          <w:szCs w:val="32"/>
        </w:rPr>
        <w:t>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10</w:t>
      </w:r>
      <w:r>
        <w:rPr>
          <w:rStyle w:val="16"/>
          <w:rFonts w:hint="eastAsia" w:ascii="宋体" w:hAnsi="宋体" w:eastAsia="宋体" w:cs="宋体"/>
          <w:b/>
          <w:color w:val="000000"/>
          <w:sz w:val="32"/>
          <w:szCs w:val="32"/>
          <w:lang w:val="en-US" w:eastAsia="zh-CN"/>
        </w:rPr>
        <w:t>3</w:t>
      </w:r>
      <w:r>
        <w:rPr>
          <w:rStyle w:val="16"/>
          <w:rFonts w:hint="eastAsia" w:ascii="宋体" w:hAnsi="宋体" w:eastAsia="宋体" w:cs="宋体"/>
          <w:b/>
          <w:color w:val="000000"/>
          <w:sz w:val="32"/>
          <w:szCs w:val="32"/>
        </w:rPr>
        <w:t>、住房保障支出（类）保障性安居工程支出（款）农村危房改造（项）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10</w:t>
      </w:r>
      <w:r>
        <w:rPr>
          <w:rStyle w:val="16"/>
          <w:rFonts w:hint="eastAsia" w:ascii="宋体" w:hAnsi="宋体" w:eastAsia="宋体" w:cs="宋体"/>
          <w:b/>
          <w:color w:val="000000"/>
          <w:sz w:val="32"/>
          <w:szCs w:val="32"/>
          <w:lang w:val="en-US" w:eastAsia="zh-CN"/>
        </w:rPr>
        <w:t>4</w:t>
      </w:r>
      <w:r>
        <w:rPr>
          <w:rStyle w:val="16"/>
          <w:rFonts w:hint="eastAsia" w:ascii="宋体" w:hAnsi="宋体" w:eastAsia="宋体" w:cs="宋体"/>
          <w:b/>
          <w:color w:val="000000"/>
          <w:sz w:val="32"/>
          <w:szCs w:val="32"/>
        </w:rPr>
        <w:t>、住房保障支出（类）保障性安居工程支出（款）公共租赁住房（项）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年初预算为0万元，支出决算为6.14万元，决算数大于年初预算数的主要原因是：未纳入本单位部门预算，为上级部门单位拨付的财政预算资金。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10</w:t>
      </w:r>
      <w:r>
        <w:rPr>
          <w:rStyle w:val="16"/>
          <w:rFonts w:hint="eastAsia" w:ascii="宋体" w:hAnsi="宋体" w:eastAsia="宋体" w:cs="宋体"/>
          <w:b/>
          <w:color w:val="000000"/>
          <w:sz w:val="32"/>
          <w:szCs w:val="32"/>
          <w:lang w:val="en-US" w:eastAsia="zh-CN"/>
        </w:rPr>
        <w:t>5</w:t>
      </w:r>
      <w:r>
        <w:rPr>
          <w:rStyle w:val="16"/>
          <w:rFonts w:hint="eastAsia" w:ascii="宋体" w:hAnsi="宋体" w:eastAsia="宋体" w:cs="宋体"/>
          <w:b/>
          <w:color w:val="000000"/>
          <w:sz w:val="32"/>
          <w:szCs w:val="32"/>
        </w:rPr>
        <w:t>、住房保障支出（类）保障性安居工程支出（款）老旧小区改造（项）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年初预算为0万元，支出决算为499.01万元，决算数大于年初预算数的主要原因是：未纳入本单位部门预算，为上级部门单位拨付</w:t>
      </w:r>
      <w:r>
        <w:rPr>
          <w:rFonts w:hint="eastAsia" w:ascii="宋体" w:hAnsi="宋体" w:eastAsia="宋体" w:cs="宋体"/>
          <w:color w:val="000000"/>
          <w:kern w:val="2"/>
          <w:sz w:val="32"/>
          <w:szCs w:val="32"/>
          <w:lang w:eastAsia="zh-CN"/>
        </w:rPr>
        <w:t>的</w:t>
      </w:r>
      <w:r>
        <w:rPr>
          <w:rFonts w:hint="eastAsia" w:ascii="宋体" w:hAnsi="宋体" w:eastAsia="宋体" w:cs="宋体"/>
          <w:color w:val="000000"/>
          <w:kern w:val="2"/>
          <w:sz w:val="32"/>
          <w:szCs w:val="32"/>
        </w:rPr>
        <w:t>麻纺厂宿舍配套基础设施项目资金。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10</w:t>
      </w:r>
      <w:r>
        <w:rPr>
          <w:rStyle w:val="16"/>
          <w:rFonts w:hint="eastAsia" w:ascii="宋体" w:hAnsi="宋体" w:eastAsia="宋体" w:cs="宋体"/>
          <w:b/>
          <w:color w:val="000000"/>
          <w:sz w:val="32"/>
          <w:szCs w:val="32"/>
          <w:lang w:val="en-US" w:eastAsia="zh-CN"/>
        </w:rPr>
        <w:t>6</w:t>
      </w:r>
      <w:r>
        <w:rPr>
          <w:rStyle w:val="16"/>
          <w:rFonts w:hint="eastAsia" w:ascii="宋体" w:hAnsi="宋体" w:eastAsia="宋体" w:cs="宋体"/>
          <w:b/>
          <w:color w:val="000000"/>
          <w:sz w:val="32"/>
          <w:szCs w:val="32"/>
        </w:rPr>
        <w:t>、住房保障支出（类）保障性安居工程支出（款）其他保障性安居工程支出（项）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eastAsia" w:ascii="宋体" w:hAnsi="宋体" w:eastAsia="宋体" w:cs="宋体"/>
          <w:color w:val="000000"/>
          <w:kern w:val="2"/>
          <w:sz w:val="32"/>
          <w:szCs w:val="32"/>
          <w:lang w:eastAsia="zh-CN"/>
        </w:rPr>
      </w:pPr>
      <w:r>
        <w:rPr>
          <w:rFonts w:hint="eastAsia" w:ascii="宋体" w:hAnsi="宋体" w:eastAsia="宋体" w:cs="宋体"/>
          <w:color w:val="000000"/>
          <w:kern w:val="2"/>
          <w:sz w:val="32"/>
          <w:szCs w:val="32"/>
        </w:rPr>
        <w:t>年初预算为0万元，支出决算为87万元，决算数大于年初预算数的主要原因是：未纳入本单位部门预算，为上级部门单位拨付的荷花公寓及周边小区棚改基础设施项目资金</w:t>
      </w:r>
      <w:r>
        <w:rPr>
          <w:rFonts w:hint="eastAsia" w:ascii="宋体" w:hAnsi="宋体" w:eastAsia="宋体" w:cs="宋体"/>
          <w:color w:val="000000"/>
          <w:kern w:val="2"/>
          <w:sz w:val="32"/>
          <w:szCs w:val="32"/>
          <w:lang w:eastAsia="zh-CN"/>
        </w:rPr>
        <w:t>。</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10</w:t>
      </w:r>
      <w:r>
        <w:rPr>
          <w:rStyle w:val="16"/>
          <w:rFonts w:hint="eastAsia" w:ascii="宋体" w:hAnsi="宋体" w:eastAsia="宋体" w:cs="宋体"/>
          <w:b/>
          <w:color w:val="000000"/>
          <w:sz w:val="32"/>
          <w:szCs w:val="32"/>
          <w:lang w:val="en-US" w:eastAsia="zh-CN"/>
        </w:rPr>
        <w:t>7</w:t>
      </w:r>
      <w:r>
        <w:rPr>
          <w:rStyle w:val="16"/>
          <w:rFonts w:hint="eastAsia" w:ascii="宋体" w:hAnsi="宋体" w:eastAsia="宋体" w:cs="宋体"/>
          <w:b/>
          <w:color w:val="000000"/>
          <w:sz w:val="32"/>
          <w:szCs w:val="32"/>
        </w:rPr>
        <w:t>、粮油物资储备支出（类）粮油物资事务（款）其他粮油物资事务支出（项）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年初预算为0万元，支出决算为11万元，决算数大于年初预算数的主要原因是：未纳入本单位部门预算，为上级部门单位拨付的财政预算资金。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10</w:t>
      </w:r>
      <w:r>
        <w:rPr>
          <w:rStyle w:val="16"/>
          <w:rFonts w:hint="eastAsia" w:ascii="宋体" w:hAnsi="宋体" w:eastAsia="宋体" w:cs="宋体"/>
          <w:b/>
          <w:color w:val="000000"/>
          <w:sz w:val="32"/>
          <w:szCs w:val="32"/>
          <w:lang w:val="en-US" w:eastAsia="zh-CN"/>
        </w:rPr>
        <w:t>8</w:t>
      </w:r>
      <w:r>
        <w:rPr>
          <w:rStyle w:val="16"/>
          <w:rFonts w:hint="eastAsia" w:ascii="宋体" w:hAnsi="宋体" w:eastAsia="宋体" w:cs="宋体"/>
          <w:b/>
          <w:color w:val="000000"/>
          <w:sz w:val="32"/>
          <w:szCs w:val="32"/>
        </w:rPr>
        <w:t>、灾害防治及应急管理支出（类）应急管理事务（款）安全监管（项）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年初预算为0万元，支出决算为14.6万元，决算数大于年初预算数的主要原因是：未纳入本单位部门预算，为上级部门单位拨付的财政预算资金。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10</w:t>
      </w:r>
      <w:r>
        <w:rPr>
          <w:rStyle w:val="16"/>
          <w:rFonts w:hint="eastAsia" w:ascii="宋体" w:hAnsi="宋体" w:eastAsia="宋体" w:cs="宋体"/>
          <w:b/>
          <w:color w:val="000000"/>
          <w:sz w:val="32"/>
          <w:szCs w:val="32"/>
          <w:lang w:val="en-US" w:eastAsia="zh-CN"/>
        </w:rPr>
        <w:t>9</w:t>
      </w:r>
      <w:r>
        <w:rPr>
          <w:rStyle w:val="16"/>
          <w:rFonts w:hint="eastAsia" w:ascii="宋体" w:hAnsi="宋体" w:eastAsia="宋体" w:cs="宋体"/>
          <w:b/>
          <w:color w:val="000000"/>
          <w:sz w:val="32"/>
          <w:szCs w:val="32"/>
        </w:rPr>
        <w:t>、灾害防治及应急管理支出（类）自然灾害防治（款）地质灾害防治（项）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年初预算为0万元，支出决算为3万元，决算数大于年初预算数的主要原因是：未纳入本单位部门预算，为上级部门单位拨付的财政预算资金。</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w:t>
      </w:r>
      <w:r>
        <w:rPr>
          <w:rStyle w:val="16"/>
          <w:rFonts w:hint="eastAsia" w:ascii="宋体" w:hAnsi="宋体" w:eastAsia="宋体" w:cs="宋体"/>
          <w:b/>
          <w:color w:val="000000"/>
          <w:sz w:val="32"/>
          <w:szCs w:val="32"/>
          <w:lang w:val="en-US" w:eastAsia="zh-CN"/>
        </w:rPr>
        <w:t>10</w:t>
      </w:r>
      <w:r>
        <w:rPr>
          <w:rStyle w:val="16"/>
          <w:rFonts w:hint="eastAsia" w:ascii="宋体" w:hAnsi="宋体" w:eastAsia="宋体" w:cs="宋体"/>
          <w:b/>
          <w:color w:val="000000"/>
          <w:sz w:val="32"/>
          <w:szCs w:val="32"/>
        </w:rPr>
        <w:t>、灾害防治及应急管理支出（类）其他灾害防治及应急管理支出（款）其他灾害防治及应急管理支出（项）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年初预算为0万元，支出决算为50万元，决算数大于年初预算数的主要原因是：未纳入本单位部门预算，为上级部门单位拨付的打击非法生产烟花爆竹专项资金。</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六、一般公共预算财政拨款基本支出决算情况说明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财政拨款基本支出2,901.92万元，其中：人员经费2,686.38万元，占基本支出的92.57%，主要包括：基本工资、津贴补贴、奖金、机关事业单位基本养老保险缴费、职业年金缴费、职工基本医疗保险缴费、公务员医疗补助缴费、其他社会保障缴费、住房公积金、抚恤金、生活补助、医疗费补助、奖励金、其他对个人和家庭的补助。公用经费215.54万元，占基本支出的7.43%，主要包括：办公设备购置、办公费、印刷费、水费、电费、邮电费、维修（护）费、培训费、工会经费、公务用车运行维护费、其他交通费用、其他商品和服务支出。</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七、一般公共预算财政拨款三公经费支出决算情况说明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（一）“三公”经费财政拨款支出决算总体情况说明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2021年度“三公”经费财政拨款支出预算为34.71万元，支出决算为2.66万元，完成预算的7.66%，其中：</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因公出国（境）费支出预算为0万元，支出决算为0万元，决算数与预算数一致，我单位严格按预算执行决算，因公出国（境）费支出与上年持平。</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公务接待费支出预算为24.71万元，支出决算为0万元，完成预算的0%，决算数小于预算数的主要原因是本年度无公务接待</w:t>
      </w:r>
      <w:r>
        <w:rPr>
          <w:rFonts w:hint="eastAsia" w:ascii="宋体" w:hAnsi="宋体" w:eastAsia="宋体" w:cs="宋体"/>
          <w:color w:val="000000"/>
          <w:kern w:val="2"/>
          <w:sz w:val="32"/>
          <w:szCs w:val="32"/>
          <w:lang w:eastAsia="zh-CN"/>
        </w:rPr>
        <w:t>，</w:t>
      </w:r>
      <w:r>
        <w:rPr>
          <w:rFonts w:hint="eastAsia" w:ascii="宋体" w:hAnsi="宋体" w:eastAsia="宋体" w:cs="宋体"/>
          <w:color w:val="000000"/>
          <w:kern w:val="2"/>
          <w:sz w:val="32"/>
          <w:szCs w:val="32"/>
        </w:rPr>
        <w:t>公务接待费支出与上年持平。</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公务用车购置费支出预算为0万元，支出决算为0万元，决算数与预算数一致，我单位严格按预算执行决算，公务用车购置费支出与上年持平。</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公务运行维护费支出预算为10万元，支出决算为2.66万元，完成预算的26.6%，决算数小于预算数的主要原因是厉行节约，减少公车出行 ，与上年相比减少0.31万元，下降10.44%，下降的主要原因是厉行节约，减少公车出行。</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（二）“三公”经费财政拨款支出决算具体情况说明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2021年度“三公”经费财政拨款支出决算中，公务接待费支出决算0万元，占0%，因公出国（境）费支出决算0万元，占0%，公务用车购置费及运行维护费支出决算2.66万元，占100%。其中：</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1、因公出国（境）费支出决算为0万元，全年安排因公出国（境）团组0个，累计0人次，我单位2021年度无因公出国（境）费支出。</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2、公务接待费支出决算为0万元，全年共接待来访团组0个、来宾0人次，我单位2021年度无公务接待费支出。</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3、公务用车购置费及运行维护费支出决算为2.66万元，其中：公务用车购置费0万元，单位本级更新公务用车0辆。公务用车运行维护费2.66万元，主要是车辆保险及日常维护支出，截至2021年12月31日，我单位开支财政拨款的公务用车保有量为</w:t>
      </w:r>
      <w:r>
        <w:rPr>
          <w:rFonts w:hint="eastAsia" w:ascii="宋体" w:hAnsi="宋体" w:eastAsia="宋体" w:cs="宋体"/>
          <w:color w:val="000000"/>
          <w:kern w:val="2"/>
          <w:sz w:val="32"/>
          <w:szCs w:val="32"/>
          <w:lang w:val="en-US" w:eastAsia="zh-CN"/>
        </w:rPr>
        <w:t>2</w:t>
      </w:r>
      <w:r>
        <w:rPr>
          <w:rFonts w:hint="eastAsia" w:ascii="宋体" w:hAnsi="宋体" w:eastAsia="宋体" w:cs="宋体"/>
          <w:color w:val="000000"/>
          <w:kern w:val="2"/>
          <w:sz w:val="32"/>
          <w:szCs w:val="32"/>
        </w:rPr>
        <w:t>辆</w:t>
      </w:r>
      <w:r>
        <w:rPr>
          <w:rFonts w:hint="eastAsia" w:ascii="宋体" w:hAnsi="宋体" w:eastAsia="宋体" w:cs="宋体"/>
          <w:color w:val="000000"/>
          <w:kern w:val="2"/>
          <w:sz w:val="32"/>
          <w:szCs w:val="32"/>
          <w:lang w:eastAsia="zh-CN"/>
        </w:rPr>
        <w:t>（公车所有权属于浏阳市机关事务中心，我街道只有使用权）</w:t>
      </w:r>
      <w:r>
        <w:rPr>
          <w:rFonts w:hint="eastAsia" w:ascii="宋体" w:hAnsi="宋体" w:eastAsia="宋体" w:cs="宋体"/>
          <w:color w:val="000000"/>
          <w:kern w:val="2"/>
          <w:sz w:val="32"/>
          <w:szCs w:val="32"/>
        </w:rPr>
        <w:t>。</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八、政府性基金预算收入支出决算情况</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2021年度政府性基金预算财政拨款收入28.92万元；年初结转和结余0万元；支出28.92万元，其中基本支出0万元，项目支出28.92万元；年末结转和结余0万元。 </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1、社会保障和就业支出（类）大中型水库移民后期扶持基金支出（款）移民补助（项）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年初预算为0万元，支出决算为20万元，决算大于年初预算数的</w:t>
      </w:r>
      <w:r>
        <w:rPr>
          <w:rFonts w:hint="eastAsia" w:ascii="宋体" w:hAnsi="宋体" w:eastAsia="宋体" w:cs="宋体"/>
          <w:color w:val="000000"/>
          <w:kern w:val="2"/>
          <w:sz w:val="32"/>
          <w:szCs w:val="32"/>
          <w:shd w:val="clear" w:fill="FFFFFF"/>
        </w:rPr>
        <w:t>主要原因是：上级追加经费。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2、其他支出（类）彩票公益金安排的支出（款）用于社会福利的彩票公益金支出（项）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年初预算为0万元，支出决算为1.5万元，决算大于年初预算数的</w:t>
      </w:r>
      <w:r>
        <w:rPr>
          <w:rFonts w:hint="eastAsia" w:ascii="宋体" w:hAnsi="宋体" w:eastAsia="宋体" w:cs="宋体"/>
          <w:color w:val="000000"/>
          <w:kern w:val="2"/>
          <w:sz w:val="32"/>
          <w:szCs w:val="32"/>
          <w:shd w:val="clear" w:fill="FFFFFF"/>
        </w:rPr>
        <w:t>主要原因是：上级追加经费。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3、抗疫特别国债安排的支出（类）抗疫相关支出（款）困难群众基本生活补助（项）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年初预算为0万元，支出决算为7.42万元，决算大于年初预算数。的</w:t>
      </w:r>
      <w:r>
        <w:rPr>
          <w:rFonts w:hint="eastAsia" w:ascii="宋体" w:hAnsi="宋体" w:eastAsia="宋体" w:cs="宋体"/>
          <w:color w:val="000000"/>
          <w:kern w:val="2"/>
          <w:sz w:val="32"/>
          <w:szCs w:val="32"/>
          <w:shd w:val="clear" w:fill="FFFFFF"/>
        </w:rPr>
        <w:t>主要原因是：上级追加经费。</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九、国有资本经营预算收入支出决算情况说明</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2021年度国有资本经营预算财政拨款支出0.7万元，其中基本支出0万元，项目支出0.7万元。</w:t>
      </w:r>
    </w:p>
    <w:p>
      <w:pPr>
        <w:pStyle w:val="19"/>
        <w:spacing w:before="0" w:beforeAutospacing="0" w:after="2" w:afterAutospacing="0"/>
        <w:ind w:left="0" w:firstLine="641"/>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十、关于机关运行经费支出说明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i w:val="0"/>
          <w:caps w:val="0"/>
          <w:color w:val="000000"/>
          <w:spacing w:val="0"/>
          <w:kern w:val="2"/>
          <w:sz w:val="32"/>
          <w:szCs w:val="32"/>
        </w:rPr>
        <w:t xml:space="preserve">浏阳市荷花街道办事处2021年度机关运行经费支出215.54万元，比年初预算数减少56.46万元，下降20.76%。主要原因是：勤俭节约，减少了不必要的各类支出。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十一、一般性支出情况</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本部门会议费支出10万元，用于召开2021年荷花街道七一表彰大会、党员冬春训会议、2021年经济工作会议，人数2,300人，会议内容为表彰优秀先进党组织、优秀党员、先进纳税企业等。2021年本部门培训费支出9.85万元，用于开展入党积极分子培训、预备党员</w:t>
      </w:r>
      <w:r>
        <w:rPr>
          <w:rFonts w:hint="eastAsia" w:ascii="宋体" w:hAnsi="宋体" w:eastAsia="宋体" w:cs="宋体"/>
          <w:color w:val="000000"/>
          <w:kern w:val="2"/>
          <w:sz w:val="32"/>
          <w:szCs w:val="32"/>
          <w:lang w:eastAsia="zh-CN"/>
        </w:rPr>
        <w:t>培训</w:t>
      </w:r>
      <w:r>
        <w:rPr>
          <w:rFonts w:hint="eastAsia" w:ascii="宋体" w:hAnsi="宋体" w:eastAsia="宋体" w:cs="宋体"/>
          <w:color w:val="000000"/>
          <w:kern w:val="2"/>
          <w:sz w:val="32"/>
          <w:szCs w:val="32"/>
        </w:rPr>
        <w:t>、危化企业安全培训、森林防火培训，人数600人，培训内容为学习党史、了解党章、增强党性。强化安全生产意识、健全企业安全生产制度、森林防火培训。未举办节庆、晚会、论坛、赛事活动等。</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十二、关于政府采购支出说明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jc w:val="both"/>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浏阳市荷花街道办事处2021年度政府采购支出总额2,437.46万元，其中：政府采购货物支出0万元、政府采购工程支出2,373.46万元、政府采购服务支出64万元。授予中小企业合同金额2,437.46万元，占政府采购支出总额的100%，其中：授予小微企业合同金额2,218.09万元，占政府采购支出总额的91%。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十三、关于国有资产占用情况说明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截至2021年12月31日，浏阳市荷花街道办事处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b/>
          <w:color w:val="000000"/>
          <w:kern w:val="2"/>
          <w:sz w:val="32"/>
          <w:szCs w:val="32"/>
        </w:rPr>
        <w:t>十四、关于2021年度预算绩效情况说明</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（1）绩效管理评价工作开展情况。</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为进一步规范财政资金管理，强化绩效和责任意识，切实提高财政资金使用效益，根据《浏阳市财政局关于开展2021年度部门整体支出绩效自评和2022年度绩效监控工作的通知》（浏财函〔2022〕12号）要求，我单位对2021年部门整体支出情况开展了绩效自评，形成了自评报告，自评结果为95分，评价等级为优秀。</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default" w:ascii="等线" w:hAnsi="等线" w:eastAsia="等线" w:cs="Times New Roman"/>
          <w:kern w:val="2"/>
          <w:sz w:val="27"/>
          <w:szCs w:val="27"/>
        </w:rPr>
      </w:pPr>
      <w:r>
        <w:rPr>
          <w:rStyle w:val="16"/>
          <w:rFonts w:hint="eastAsia" w:ascii="宋体" w:hAnsi="宋体" w:eastAsia="宋体" w:cs="宋体"/>
          <w:b/>
          <w:color w:val="000000"/>
          <w:sz w:val="32"/>
          <w:szCs w:val="32"/>
        </w:rPr>
        <w:t>（2）部门决算中项目绩效自评结果。</w:t>
      </w:r>
      <w:r>
        <w:rPr>
          <w:rFonts w:hint="default" w:ascii="等线" w:hAnsi="等线" w:eastAsia="等线" w:cs="Times New Roman"/>
          <w:color w:val="000000"/>
          <w:kern w:val="2"/>
          <w:sz w:val="27"/>
          <w:szCs w:val="27"/>
        </w:rPr>
        <w:t xml:space="preserve"> </w:t>
      </w:r>
    </w:p>
    <w:p>
      <w:pPr>
        <w:pStyle w:val="19"/>
        <w:spacing w:before="0" w:beforeAutospacing="0" w:after="2" w:afterAutospacing="0"/>
        <w:ind w:left="0" w:firstLine="640"/>
        <w:rPr>
          <w:rFonts w:hint="eastAsia" w:ascii="等线" w:hAnsi="等线" w:eastAsia="宋体" w:cs="Times New Roman"/>
          <w:kern w:val="2"/>
          <w:sz w:val="27"/>
          <w:szCs w:val="27"/>
          <w:lang w:eastAsia="zh-CN"/>
        </w:rPr>
      </w:pPr>
      <w:r>
        <w:rPr>
          <w:rFonts w:hint="eastAsia" w:ascii="宋体" w:hAnsi="宋体" w:eastAsia="宋体" w:cs="宋体"/>
          <w:color w:val="000000"/>
          <w:kern w:val="2"/>
          <w:sz w:val="32"/>
          <w:szCs w:val="32"/>
          <w:lang w:eastAsia="zh-CN"/>
        </w:rPr>
        <w:t>水利</w:t>
      </w:r>
      <w:r>
        <w:rPr>
          <w:rFonts w:hint="eastAsia" w:ascii="宋体" w:hAnsi="宋体" w:eastAsia="宋体" w:cs="宋体"/>
          <w:color w:val="000000"/>
          <w:kern w:val="2"/>
          <w:sz w:val="32"/>
          <w:szCs w:val="32"/>
        </w:rPr>
        <w:t>项目绩效自评综述：根据年初设定的绩效目标，项目绩效自评得分为95分。项目全年预算数为4</w:t>
      </w:r>
      <w:r>
        <w:rPr>
          <w:rFonts w:hint="eastAsia" w:ascii="宋体" w:hAnsi="宋体" w:eastAsia="宋体" w:cs="宋体"/>
          <w:color w:val="000000"/>
          <w:kern w:val="2"/>
          <w:sz w:val="32"/>
          <w:szCs w:val="32"/>
          <w:lang w:val="en-US" w:eastAsia="zh-CN"/>
        </w:rPr>
        <w:t>6</w:t>
      </w:r>
      <w:r>
        <w:rPr>
          <w:rFonts w:hint="eastAsia" w:ascii="宋体" w:hAnsi="宋体" w:eastAsia="宋体" w:cs="宋体"/>
          <w:color w:val="000000"/>
          <w:kern w:val="2"/>
          <w:sz w:val="32"/>
          <w:szCs w:val="32"/>
        </w:rPr>
        <w:t>万元，执行数为</w:t>
      </w:r>
      <w:r>
        <w:rPr>
          <w:rFonts w:hint="eastAsia" w:ascii="宋体" w:hAnsi="宋体" w:eastAsia="宋体" w:cs="宋体"/>
          <w:color w:val="000000"/>
          <w:kern w:val="2"/>
          <w:sz w:val="32"/>
          <w:szCs w:val="32"/>
          <w:lang w:val="en-US" w:eastAsia="zh-CN"/>
        </w:rPr>
        <w:t>213.1</w:t>
      </w:r>
      <w:r>
        <w:rPr>
          <w:rFonts w:hint="eastAsia" w:ascii="宋体" w:hAnsi="宋体" w:eastAsia="宋体" w:cs="宋体"/>
          <w:color w:val="000000"/>
          <w:kern w:val="2"/>
          <w:sz w:val="32"/>
          <w:szCs w:val="32"/>
        </w:rPr>
        <w:t>万元，完成预算的</w:t>
      </w:r>
      <w:r>
        <w:rPr>
          <w:rFonts w:hint="eastAsia" w:ascii="宋体" w:hAnsi="宋体" w:eastAsia="宋体" w:cs="宋体"/>
          <w:color w:val="000000"/>
          <w:kern w:val="2"/>
          <w:sz w:val="32"/>
          <w:szCs w:val="32"/>
          <w:lang w:val="en-US" w:eastAsia="zh-CN"/>
        </w:rPr>
        <w:t>463.26</w:t>
      </w:r>
      <w:r>
        <w:rPr>
          <w:rFonts w:hint="eastAsia" w:ascii="宋体" w:hAnsi="宋体" w:eastAsia="宋体" w:cs="宋体"/>
          <w:color w:val="000000"/>
          <w:kern w:val="2"/>
          <w:sz w:val="32"/>
          <w:szCs w:val="32"/>
        </w:rPr>
        <w:t>%。项目绩效目标完成情况：</w:t>
      </w:r>
      <w:r>
        <w:rPr>
          <w:rFonts w:hint="eastAsia" w:ascii="宋体" w:hAnsi="宋体" w:eastAsia="宋体" w:cs="宋体"/>
          <w:color w:val="000000"/>
          <w:kern w:val="2"/>
          <w:sz w:val="32"/>
          <w:szCs w:val="32"/>
          <w:lang w:eastAsia="zh-CN"/>
        </w:rPr>
        <w:t>加强了河道管理，做好了水毁修复、提高了河流水质。</w:t>
      </w:r>
    </w:p>
    <w:p>
      <w:pPr>
        <w:pStyle w:val="18"/>
        <w:keepNext w:val="0"/>
        <w:keepLines w:val="0"/>
        <w:widowControl/>
        <w:suppressLineNumbers w:val="0"/>
        <w:spacing w:before="0" w:beforeAutospacing="0" w:after="2" w:afterAutospacing="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widowControl/>
        <w:suppressLineNumbers w:val="0"/>
        <w:jc w:val="left"/>
        <w:rPr>
          <w:rFonts w:hint="eastAsia" w:ascii="等线" w:hAnsi="等线" w:eastAsia="等线" w:cs="Times New Roman"/>
          <w:kern w:val="2"/>
          <w:sz w:val="21"/>
          <w:szCs w:val="21"/>
          <w:lang w:eastAsia="zh-CN"/>
        </w:rPr>
      </w:pPr>
      <w:r>
        <w:rPr>
          <w:rFonts w:hint="default" w:ascii="等线" w:hAnsi="等线" w:eastAsia="等线" w:cs="Times New Roman"/>
          <w:kern w:val="2"/>
          <w:sz w:val="21"/>
          <w:szCs w:val="21"/>
        </w:rPr>
        <w:t xml:space="preserve"> </w:t>
      </w:r>
    </w:p>
    <w:p>
      <w:pPr>
        <w:pStyle w:val="18"/>
        <w:keepNext w:val="0"/>
        <w:keepLines w:val="0"/>
        <w:widowControl/>
        <w:suppressLineNumbers w:val="0"/>
        <w:spacing w:before="0" w:beforeAutospacing="0" w:after="2" w:afterAutospacing="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8"/>
        <w:keepNext w:val="0"/>
        <w:keepLines w:val="0"/>
        <w:widowControl/>
        <w:suppressLineNumbers w:val="0"/>
        <w:spacing w:before="0" w:beforeAutospacing="0" w:after="2" w:afterAutospacing="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spacing w:before="0" w:beforeAutospacing="0" w:after="2" w:afterAutospacing="0"/>
        <w:jc w:val="center"/>
        <w:rPr>
          <w:rFonts w:hint="default" w:ascii="等线" w:hAnsi="等线" w:eastAsia="等线" w:cs="Times New Roman"/>
          <w:kern w:val="2"/>
          <w:sz w:val="21"/>
          <w:szCs w:val="21"/>
        </w:rPr>
      </w:pPr>
      <w:r>
        <w:rPr>
          <w:rFonts w:hint="eastAsia" w:ascii="宋体" w:hAnsi="宋体" w:eastAsia="宋体" w:cs="宋体"/>
          <w:b/>
          <w:color w:val="000000"/>
          <w:kern w:val="2"/>
          <w:sz w:val="36"/>
          <w:szCs w:val="36"/>
        </w:rPr>
        <w:t>第四部分 名词解释</w:t>
      </w:r>
      <w:r>
        <w:rPr>
          <w:rFonts w:hint="default" w:ascii="等线" w:hAnsi="等线" w:eastAsia="等线" w:cs="Times New Roman"/>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财政拨款收入</w:t>
      </w:r>
      <w:r>
        <w:rPr>
          <w:rFonts w:hint="eastAsia" w:ascii="宋体" w:hAnsi="宋体" w:eastAsia="宋体" w:cs="宋体"/>
          <w:color w:val="000000"/>
          <w:kern w:val="2"/>
          <w:sz w:val="32"/>
          <w:szCs w:val="32"/>
        </w:rPr>
        <w:t>：指财政当年拨付的资金。包括一般公共预算财政拨款和政府性基金财政拨款。</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上级补助收入</w:t>
      </w:r>
      <w:r>
        <w:rPr>
          <w:rFonts w:hint="eastAsia" w:ascii="宋体" w:hAnsi="宋体" w:eastAsia="宋体" w:cs="宋体"/>
          <w:color w:val="000000"/>
          <w:kern w:val="2"/>
          <w:sz w:val="32"/>
          <w:szCs w:val="32"/>
        </w:rPr>
        <w:t>：指事业单位从主管部门和上级单位取得的非财政补助收入。</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事业收入：</w:t>
      </w:r>
      <w:r>
        <w:rPr>
          <w:rFonts w:hint="eastAsia" w:ascii="宋体" w:hAnsi="宋体" w:eastAsia="宋体" w:cs="宋体"/>
          <w:color w:val="000000"/>
          <w:kern w:val="2"/>
          <w:sz w:val="32"/>
          <w:szCs w:val="32"/>
        </w:rPr>
        <w:t>指事业单位开展专业业务活动及辅助活动所取得的收入。</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经营收入：</w:t>
      </w:r>
      <w:r>
        <w:rPr>
          <w:rFonts w:hint="eastAsia" w:ascii="宋体" w:hAnsi="宋体" w:eastAsia="宋体" w:cs="宋体"/>
          <w:color w:val="000000"/>
          <w:kern w:val="2"/>
          <w:sz w:val="32"/>
          <w:szCs w:val="32"/>
        </w:rPr>
        <w:t>指事业单位在专业业务活动及其辅助活动之外开展非独立核算经营活动取得的收入。</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附属单位上缴收入</w:t>
      </w:r>
      <w:r>
        <w:rPr>
          <w:rFonts w:hint="eastAsia" w:ascii="宋体" w:hAnsi="宋体" w:eastAsia="宋体" w:cs="宋体"/>
          <w:color w:val="000000"/>
          <w:kern w:val="2"/>
          <w:sz w:val="32"/>
          <w:szCs w:val="32"/>
        </w:rPr>
        <w:t>：指事业单位附属独立核算单位按照有关规定上缴的收入。</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其他收入</w:t>
      </w:r>
      <w:r>
        <w:rPr>
          <w:rFonts w:hint="eastAsia" w:ascii="宋体" w:hAnsi="宋体" w:eastAsia="宋体" w:cs="宋体"/>
          <w:color w:val="000000"/>
          <w:kern w:val="2"/>
          <w:sz w:val="32"/>
          <w:szCs w:val="32"/>
        </w:rPr>
        <w:t>：指除上述“财政拨款收入”、“事业收入”、“经营收入”等以外的收入。</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用事业基金弥补收支差额</w:t>
      </w:r>
      <w:r>
        <w:rPr>
          <w:rFonts w:hint="eastAsia" w:ascii="宋体" w:hAnsi="宋体" w:eastAsia="宋体" w:cs="宋体"/>
          <w:color w:val="000000"/>
          <w:kern w:val="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年初结转和结余</w:t>
      </w:r>
      <w:r>
        <w:rPr>
          <w:rFonts w:hint="eastAsia" w:ascii="宋体" w:hAnsi="宋体" w:eastAsia="宋体" w:cs="宋体"/>
          <w:color w:val="000000"/>
          <w:kern w:val="2"/>
          <w:sz w:val="32"/>
          <w:szCs w:val="32"/>
        </w:rPr>
        <w:t>：指以前年度尚未完成、结转到本年按有关规定继续使用的资金。</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结余分配</w:t>
      </w:r>
      <w:r>
        <w:rPr>
          <w:rFonts w:hint="eastAsia" w:ascii="宋体" w:hAnsi="宋体" w:eastAsia="宋体" w:cs="宋体"/>
          <w:color w:val="000000"/>
          <w:kern w:val="2"/>
          <w:sz w:val="32"/>
          <w:szCs w:val="32"/>
        </w:rPr>
        <w:t>：指事业事位按规定从非财政补助结余中分配的事业基金和职工福利基金等。</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年末结转和结余</w:t>
      </w:r>
      <w:r>
        <w:rPr>
          <w:rFonts w:hint="eastAsia" w:ascii="宋体" w:hAnsi="宋体" w:eastAsia="宋体" w:cs="宋体"/>
          <w:color w:val="000000"/>
          <w:kern w:val="2"/>
          <w:sz w:val="32"/>
          <w:szCs w:val="32"/>
        </w:rPr>
        <w:t>：指本年度或以前年度预算安排、因客观条件发生变化无法按原计划实施，需要延迟到以后年度按有关规定继续使用的资金。</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基本支出</w:t>
      </w:r>
      <w:r>
        <w:rPr>
          <w:rFonts w:hint="eastAsia" w:ascii="宋体" w:hAnsi="宋体" w:eastAsia="宋体" w:cs="宋体"/>
          <w:color w:val="000000"/>
          <w:kern w:val="2"/>
          <w:sz w:val="32"/>
          <w:szCs w:val="32"/>
        </w:rPr>
        <w:t>：指为保障机构正常运转、完成日常工作任务而发生的人员支出和公用支出。</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项目支出</w:t>
      </w:r>
      <w:r>
        <w:rPr>
          <w:rFonts w:hint="eastAsia" w:ascii="宋体" w:hAnsi="宋体" w:eastAsia="宋体" w:cs="宋体"/>
          <w:color w:val="000000"/>
          <w:kern w:val="2"/>
          <w:sz w:val="32"/>
          <w:szCs w:val="32"/>
        </w:rPr>
        <w:t>：指在基本支出之外为完成特定行政任务和事业发展目标所发生的支出。</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经营支出</w:t>
      </w:r>
      <w:r>
        <w:rPr>
          <w:rFonts w:hint="eastAsia" w:ascii="宋体" w:hAnsi="宋体" w:eastAsia="宋体" w:cs="宋体"/>
          <w:color w:val="000000"/>
          <w:kern w:val="2"/>
          <w:sz w:val="32"/>
          <w:szCs w:val="32"/>
        </w:rPr>
        <w:t>：指事业单位在专业业务活动及其辅助活动之外开展非独立核算经营活动所发生的支出。</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“三公”经费</w:t>
      </w:r>
      <w:r>
        <w:rPr>
          <w:rFonts w:hint="eastAsia" w:ascii="宋体" w:hAnsi="宋体" w:eastAsia="宋体" w:cs="宋体"/>
          <w:color w:val="000000"/>
          <w:kern w:val="2"/>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eastAsia" w:ascii="宋体" w:hAnsi="宋体" w:eastAsia="宋体" w:cs="宋体"/>
          <w:b/>
          <w:color w:val="000000"/>
          <w:kern w:val="2"/>
          <w:sz w:val="32"/>
          <w:szCs w:val="32"/>
        </w:rPr>
        <w:t>机关运行经费</w:t>
      </w:r>
      <w:r>
        <w:rPr>
          <w:rFonts w:hint="eastAsia" w:ascii="宋体" w:hAnsi="宋体" w:eastAsia="宋体" w:cs="宋体"/>
          <w:color w:val="000000"/>
          <w:kern w:val="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eastAsia="等线" w:cs="Calibri"/>
          <w:color w:val="000000"/>
          <w:kern w:val="2"/>
          <w:sz w:val="21"/>
          <w:szCs w:val="21"/>
        </w:rPr>
        <w:t xml:space="preserve"> </w:t>
      </w:r>
    </w:p>
    <w:p>
      <w:pPr>
        <w:spacing w:before="0" w:beforeAutospacing="0" w:after="2" w:afterAutospacing="0" w:line="336" w:lineRule="atLeast"/>
        <w:ind w:left="0" w:right="0" w:firstLine="643"/>
        <w:rPr>
          <w:rFonts w:hint="default" w:ascii="Calibri" w:hAnsi="Calibri" w:eastAsia="等线" w:cs="Calibri"/>
          <w:kern w:val="2"/>
          <w:sz w:val="21"/>
          <w:szCs w:val="21"/>
        </w:rPr>
      </w:pPr>
      <w:r>
        <w:rPr>
          <w:rFonts w:hint="default" w:ascii="Calibri" w:hAnsi="Calibri" w:eastAsia="等线" w:cs="Calibri"/>
          <w:kern w:val="2"/>
          <w:sz w:val="21"/>
          <w:szCs w:val="21"/>
        </w:rPr>
        <w:t xml:space="preserve"> </w:t>
      </w:r>
    </w:p>
    <w:p>
      <w:pPr>
        <w:spacing w:before="0" w:beforeAutospacing="0" w:after="2" w:afterAutospacing="0"/>
        <w:jc w:val="center"/>
        <w:rPr>
          <w:rFonts w:hint="default" w:ascii="等线" w:hAnsi="等线" w:eastAsia="等线" w:cs="Times New Roman"/>
          <w:kern w:val="2"/>
          <w:sz w:val="21"/>
          <w:szCs w:val="21"/>
        </w:rPr>
      </w:pPr>
      <w:r>
        <w:rPr>
          <w:rFonts w:hint="eastAsia" w:ascii="宋体" w:hAnsi="宋体" w:eastAsia="宋体" w:cs="宋体"/>
          <w:b/>
          <w:color w:val="000000"/>
          <w:kern w:val="2"/>
          <w:sz w:val="36"/>
          <w:szCs w:val="36"/>
        </w:rPr>
        <w:t>第五部分 附件</w:t>
      </w:r>
      <w:r>
        <w:rPr>
          <w:rFonts w:hint="default" w:ascii="等线" w:hAnsi="等线" w:eastAsia="等线" w:cs="Times New Roman"/>
          <w:color w:val="000000"/>
          <w:kern w:val="2"/>
          <w:sz w:val="21"/>
          <w:szCs w:val="21"/>
        </w:rPr>
        <w:t xml:space="preserve"> </w:t>
      </w:r>
    </w:p>
    <w:p>
      <w:pPr>
        <w:spacing w:before="0" w:beforeAutospacing="0" w:after="2" w:afterAutospacing="0"/>
        <w:jc w:val="cente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spacing w:line="596" w:lineRule="exact"/>
        <w:rPr>
          <w:rFonts w:hint="default" w:ascii="Times New Roman" w:hAnsi="Times New Roman" w:eastAsia="黑体" w:cs="Times New Roman"/>
          <w:color w:val="000000"/>
          <w:sz w:val="32"/>
          <w:szCs w:val="32"/>
          <w:lang w:val="en-US" w:eastAsia="zh-CN"/>
        </w:rPr>
      </w:pPr>
      <w:r>
        <w:rPr>
          <w:rFonts w:hint="default" w:ascii="等线" w:hAnsi="等线" w:eastAsia="等线" w:cs="Times New Roman"/>
          <w:kern w:val="2"/>
          <w:sz w:val="21"/>
          <w:szCs w:val="21"/>
        </w:rPr>
        <w:t xml:space="preserve"> </w:t>
      </w: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1</w:t>
      </w:r>
    </w:p>
    <w:p>
      <w:pPr>
        <w:jc w:val="center"/>
        <w:rPr>
          <w:rFonts w:hint="default" w:ascii="Times New Roman" w:hAnsi="Times New Roman" w:eastAsia="方正小标宋_GBK" w:cs="Times New Roman"/>
          <w:color w:val="000000"/>
          <w:sz w:val="48"/>
          <w:szCs w:val="48"/>
        </w:rPr>
      </w:pPr>
    </w:p>
    <w:p>
      <w:pPr>
        <w:jc w:val="center"/>
        <w:rPr>
          <w:rFonts w:hint="default" w:ascii="Times New Roman" w:hAnsi="Times New Roman" w:eastAsia="方正小标宋_GBK" w:cs="Times New Roman"/>
          <w:color w:val="000000"/>
          <w:sz w:val="48"/>
          <w:szCs w:val="48"/>
        </w:rPr>
      </w:pPr>
      <w:r>
        <w:rPr>
          <w:rFonts w:hint="default" w:ascii="Times New Roman" w:hAnsi="Times New Roman" w:eastAsia="方正小标宋_GBK" w:cs="Times New Roman"/>
          <w:color w:val="000000"/>
          <w:sz w:val="48"/>
          <w:szCs w:val="48"/>
        </w:rPr>
        <w:t>202</w:t>
      </w:r>
      <w:r>
        <w:rPr>
          <w:rFonts w:hint="eastAsia" w:ascii="Times New Roman" w:hAnsi="Times New Roman" w:eastAsia="方正小标宋_GBK" w:cs="Times New Roman"/>
          <w:color w:val="000000"/>
          <w:sz w:val="48"/>
          <w:szCs w:val="48"/>
          <w:lang w:val="en-US" w:eastAsia="zh-CN"/>
        </w:rPr>
        <w:t>2</w:t>
      </w:r>
      <w:r>
        <w:rPr>
          <w:rFonts w:hint="default" w:ascii="Times New Roman" w:hAnsi="Times New Roman" w:eastAsia="方正小标宋_GBK" w:cs="Times New Roman"/>
          <w:color w:val="000000"/>
          <w:sz w:val="48"/>
          <w:szCs w:val="48"/>
        </w:rPr>
        <w:t>年部门整体支出绩效自评报告</w:t>
      </w: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6"/>
          <w:szCs w:val="36"/>
          <w:lang w:val="en-US" w:eastAsia="zh-CN"/>
        </w:rPr>
      </w:pPr>
      <w:r>
        <w:rPr>
          <w:rFonts w:hint="default" w:ascii="Times New Roman" w:hAnsi="Times New Roman" w:eastAsia="黑体" w:cs="Times New Roman"/>
          <w:color w:val="000000"/>
          <w:sz w:val="36"/>
          <w:szCs w:val="36"/>
        </w:rPr>
        <w:t>单位名称（盖章）：</w:t>
      </w:r>
      <w:r>
        <w:rPr>
          <w:rFonts w:hint="default" w:ascii="Times New Roman" w:hAnsi="Times New Roman" w:eastAsia="黑体" w:cs="Times New Roman"/>
          <w:color w:val="000000"/>
          <w:sz w:val="36"/>
          <w:szCs w:val="36"/>
          <w:lang w:val="en-US" w:eastAsia="zh-CN"/>
        </w:rPr>
        <w:t>浏阳市荷花街道办事处</w:t>
      </w: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黑体" w:cs="Times New Roman"/>
          <w:color w:val="000000"/>
          <w:sz w:val="32"/>
          <w:szCs w:val="32"/>
        </w:rPr>
      </w:pPr>
    </w:p>
    <w:p>
      <w:pPr>
        <w:jc w:val="center"/>
        <w:rPr>
          <w:rFonts w:hint="default" w:ascii="Times New Roman" w:hAnsi="Times New Roman" w:eastAsia="楷体_GB2312" w:cs="Times New Roman"/>
          <w:b/>
          <w:color w:val="000000"/>
          <w:sz w:val="36"/>
          <w:szCs w:val="36"/>
        </w:rPr>
      </w:pPr>
      <w:r>
        <w:rPr>
          <w:rFonts w:hint="default" w:ascii="Times New Roman" w:hAnsi="Times New Roman" w:eastAsia="楷体_GB2312" w:cs="Times New Roman"/>
          <w:b/>
          <w:color w:val="000000"/>
          <w:sz w:val="36"/>
          <w:szCs w:val="36"/>
        </w:rPr>
        <w:t>二O二</w:t>
      </w:r>
      <w:r>
        <w:rPr>
          <w:rFonts w:hint="eastAsia" w:ascii="Times New Roman" w:hAnsi="Times New Roman" w:eastAsia="楷体_GB2312" w:cs="Times New Roman"/>
          <w:b/>
          <w:color w:val="000000"/>
          <w:sz w:val="36"/>
          <w:szCs w:val="36"/>
          <w:lang w:eastAsia="zh-CN"/>
        </w:rPr>
        <w:t>三</w:t>
      </w:r>
      <w:r>
        <w:rPr>
          <w:rFonts w:hint="default" w:ascii="Times New Roman" w:hAnsi="Times New Roman" w:eastAsia="楷体_GB2312" w:cs="Times New Roman"/>
          <w:b/>
          <w:color w:val="000000"/>
          <w:sz w:val="36"/>
          <w:szCs w:val="36"/>
        </w:rPr>
        <w:t>年</w:t>
      </w:r>
      <w:r>
        <w:rPr>
          <w:rFonts w:hint="default" w:ascii="Times New Roman" w:hAnsi="Times New Roman" w:eastAsia="楷体_GB2312" w:cs="Times New Roman"/>
          <w:b/>
          <w:color w:val="000000"/>
          <w:sz w:val="36"/>
          <w:szCs w:val="36"/>
          <w:lang w:val="en-US" w:eastAsia="zh-CN"/>
        </w:rPr>
        <w:t>十</w:t>
      </w:r>
      <w:r>
        <w:rPr>
          <w:rFonts w:hint="eastAsia" w:ascii="Times New Roman" w:hAnsi="Times New Roman" w:eastAsia="楷体_GB2312" w:cs="Times New Roman"/>
          <w:b/>
          <w:color w:val="000000"/>
          <w:sz w:val="36"/>
          <w:szCs w:val="36"/>
          <w:lang w:val="en-US" w:eastAsia="zh-CN"/>
        </w:rPr>
        <w:t>一</w:t>
      </w:r>
      <w:r>
        <w:rPr>
          <w:rFonts w:hint="default" w:ascii="Times New Roman" w:hAnsi="Times New Roman" w:eastAsia="楷体_GB2312" w:cs="Times New Roman"/>
          <w:b/>
          <w:color w:val="000000"/>
          <w:sz w:val="36"/>
          <w:szCs w:val="36"/>
        </w:rPr>
        <w:t>月</w:t>
      </w:r>
      <w:r>
        <w:rPr>
          <w:rFonts w:hint="eastAsia" w:ascii="Times New Roman" w:hAnsi="Times New Roman" w:eastAsia="楷体_GB2312" w:cs="Times New Roman"/>
          <w:b/>
          <w:color w:val="000000"/>
          <w:sz w:val="36"/>
          <w:szCs w:val="36"/>
          <w:lang w:eastAsia="zh-CN"/>
        </w:rPr>
        <w:t>三</w:t>
      </w:r>
      <w:r>
        <w:rPr>
          <w:rFonts w:hint="default" w:ascii="Times New Roman" w:hAnsi="Times New Roman" w:eastAsia="楷体_GB2312" w:cs="Times New Roman"/>
          <w:b/>
          <w:color w:val="000000"/>
          <w:sz w:val="36"/>
          <w:szCs w:val="36"/>
        </w:rPr>
        <w:t>日</w:t>
      </w:r>
    </w:p>
    <w:p>
      <w:pPr>
        <w:pStyle w:val="20"/>
        <w:widowControl/>
        <w:spacing w:line="596" w:lineRule="exact"/>
        <w:ind w:firstLine="579" w:firstLineChars="181"/>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kern w:val="0"/>
          <w:sz w:val="32"/>
          <w:szCs w:val="32"/>
        </w:rPr>
        <w:t>一、部门概况</w:t>
      </w:r>
    </w:p>
    <w:p>
      <w:pPr>
        <w:pStyle w:val="1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楷体_GB2312" w:cs="Times New Roman"/>
          <w:b/>
          <w:bCs/>
          <w:color w:val="000000"/>
          <w:kern w:val="0"/>
          <w:sz w:val="32"/>
          <w:szCs w:val="32"/>
          <w:lang w:val="en-US" w:eastAsia="zh-CN" w:bidi="ar-SA"/>
        </w:rPr>
      </w:pPr>
      <w:r>
        <w:rPr>
          <w:rFonts w:hint="default" w:ascii="Times New Roman" w:hAnsi="Times New Roman" w:eastAsia="楷体_GB2312" w:cs="Times New Roman"/>
          <w:b/>
          <w:bCs/>
          <w:color w:val="000000"/>
          <w:kern w:val="0"/>
          <w:sz w:val="32"/>
          <w:szCs w:val="32"/>
          <w:lang w:val="en-US" w:eastAsia="zh-CN" w:bidi="ar-SA"/>
        </w:rPr>
        <w:t>（一）部门职能概述</w:t>
      </w:r>
    </w:p>
    <w:p>
      <w:pPr>
        <w:pStyle w:val="19"/>
        <w:keepNext w:val="0"/>
        <w:keepLines w:val="0"/>
        <w:pageBreakBefore w:val="0"/>
        <w:widowControl w:val="0"/>
        <w:kinsoku/>
        <w:wordWrap/>
        <w:overflowPunct/>
        <w:topLinePunct w:val="0"/>
        <w:autoSpaceDN/>
        <w:bidi w:val="0"/>
        <w:adjustRightInd/>
        <w:snapToGrid/>
        <w:spacing w:after="0" w:afterAutospacing="0" w:line="600" w:lineRule="exact"/>
        <w:ind w:left="0" w:firstLine="641"/>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1.加强党的建设。</w:t>
      </w:r>
      <w:r>
        <w:rPr>
          <w:rFonts w:hint="default" w:ascii="Times New Roman" w:hAnsi="Times New Roman" w:eastAsia="仿宋_GB2312" w:cs="Times New Roman"/>
          <w:color w:val="000000"/>
          <w:kern w:val="0"/>
          <w:sz w:val="32"/>
          <w:szCs w:val="32"/>
          <w:lang w:val="en-US" w:eastAsia="zh-CN" w:bidi="ar-SA"/>
        </w:rPr>
        <w:t xml:space="preserve">落实基层党建工作责任制，全面加强党对各领域各方面工作的领导，着力夯实基层基础，强化党建引领基层治理，切实抓好本区域党组织建设。落实党风廉政建设责任制，强化“两个责任”，坚持正风肃纪，推进全面从严治党。落实意识形态工作责任制，全面加强农村基层宣传思想文化工作，弘扬时代新风。 </w:t>
      </w:r>
    </w:p>
    <w:p>
      <w:pPr>
        <w:pStyle w:val="19"/>
        <w:keepNext w:val="0"/>
        <w:keepLines w:val="0"/>
        <w:pageBreakBefore w:val="0"/>
        <w:widowControl w:val="0"/>
        <w:kinsoku/>
        <w:wordWrap/>
        <w:overflowPunct/>
        <w:topLinePunct w:val="0"/>
        <w:autoSpaceDN/>
        <w:bidi w:val="0"/>
        <w:adjustRightInd/>
        <w:snapToGrid/>
        <w:spacing w:after="0" w:afterAutospacing="0" w:line="600" w:lineRule="exact"/>
        <w:ind w:left="0" w:firstLine="641"/>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2.统筹区域发展。</w:t>
      </w:r>
      <w:r>
        <w:rPr>
          <w:rFonts w:hint="default" w:ascii="Times New Roman" w:hAnsi="Times New Roman" w:eastAsia="仿宋_GB2312" w:cs="Times New Roman"/>
          <w:color w:val="000000"/>
          <w:kern w:val="0"/>
          <w:sz w:val="32"/>
          <w:szCs w:val="32"/>
          <w:lang w:val="en-US" w:eastAsia="zh-CN" w:bidi="ar-SA"/>
        </w:rPr>
        <w:t xml:space="preserve">贯彻落实上级重大决策和建设规划，研究制订并组织实施本区域中长期发展规划和年度计划，全面实施乡村振兴战略，统筹推进经济社会全面发展。承担优化发展环境、采集企业信息、服务商贸企业、推进项目建设等工作。 </w:t>
      </w:r>
    </w:p>
    <w:p>
      <w:pPr>
        <w:pStyle w:val="19"/>
        <w:keepNext w:val="0"/>
        <w:keepLines w:val="0"/>
        <w:pageBreakBefore w:val="0"/>
        <w:widowControl w:val="0"/>
        <w:kinsoku/>
        <w:wordWrap/>
        <w:overflowPunct/>
        <w:topLinePunct w:val="0"/>
        <w:autoSpaceDN/>
        <w:bidi w:val="0"/>
        <w:adjustRightInd/>
        <w:snapToGrid/>
        <w:spacing w:after="0" w:afterAutospacing="0" w:line="600" w:lineRule="exact"/>
        <w:ind w:left="0" w:firstLine="641"/>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3.实施公共管理。</w:t>
      </w:r>
      <w:r>
        <w:rPr>
          <w:rFonts w:hint="default" w:ascii="Times New Roman" w:hAnsi="Times New Roman" w:eastAsia="仿宋_GB2312" w:cs="Times New Roman"/>
          <w:color w:val="000000"/>
          <w:kern w:val="0"/>
          <w:sz w:val="32"/>
          <w:szCs w:val="32"/>
          <w:lang w:val="en-US" w:eastAsia="zh-CN" w:bidi="ar-SA"/>
        </w:rPr>
        <w:t xml:space="preserve">负责辖区综合性管理工作，承担组织领导和综合协调辖区社会治理、生态环境保护、综合执法、市场监管、集镇管理、人口管理等工作。加强社会治理制度建设，领导基层自治工作，完善党委领导、政府负责、社会协同、公众参与、法治保障的社会治理体制，健全自治为基、法治为本、德治为先的基层治理体系。 </w:t>
      </w:r>
    </w:p>
    <w:p>
      <w:pPr>
        <w:pStyle w:val="19"/>
        <w:keepNext w:val="0"/>
        <w:keepLines w:val="0"/>
        <w:pageBreakBefore w:val="0"/>
        <w:widowControl w:val="0"/>
        <w:kinsoku/>
        <w:wordWrap/>
        <w:overflowPunct/>
        <w:topLinePunct w:val="0"/>
        <w:autoSpaceDN/>
        <w:bidi w:val="0"/>
        <w:adjustRightInd/>
        <w:snapToGrid/>
        <w:spacing w:after="0" w:afterAutospacing="0" w:line="600" w:lineRule="exact"/>
        <w:ind w:left="0" w:firstLine="641"/>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4.负责辖区内应急管理工作。</w:t>
      </w:r>
      <w:r>
        <w:rPr>
          <w:rFonts w:hint="default" w:ascii="Times New Roman" w:hAnsi="Times New Roman" w:eastAsia="仿宋_GB2312" w:cs="Times New Roman"/>
          <w:color w:val="000000"/>
          <w:kern w:val="0"/>
          <w:sz w:val="32"/>
          <w:szCs w:val="32"/>
          <w:lang w:val="en-US" w:eastAsia="zh-CN" w:bidi="ar-SA"/>
        </w:rPr>
        <w:t xml:space="preserve">构建公共安全防控体系，建立应对突发紧急事件的处理预案，在市直有关部门的指导下做好区域内生产经营单位安全生产和食品药品、道路交通安全监督检查工作，承担区域内防汛抗旱、森林防火、疫病防控等工作。负责辖区内社会治安综合治理工作，接待群众来信来访，建立多元纠纷解决机制，综合发挥人民调解、行政调解和司法调解的作用，及时化解辖区社会矛盾，确保社会稳定。 </w:t>
      </w:r>
    </w:p>
    <w:p>
      <w:pPr>
        <w:pStyle w:val="19"/>
        <w:keepNext w:val="0"/>
        <w:keepLines w:val="0"/>
        <w:pageBreakBefore w:val="0"/>
        <w:widowControl w:val="0"/>
        <w:kinsoku/>
        <w:wordWrap/>
        <w:overflowPunct/>
        <w:topLinePunct w:val="0"/>
        <w:autoSpaceDN/>
        <w:bidi w:val="0"/>
        <w:adjustRightInd/>
        <w:snapToGrid/>
        <w:spacing w:after="0" w:afterAutospacing="0" w:line="600" w:lineRule="exact"/>
        <w:ind w:left="0" w:firstLine="641"/>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5.组织公共服务。</w:t>
      </w:r>
      <w:r>
        <w:rPr>
          <w:rFonts w:hint="default" w:ascii="Times New Roman" w:hAnsi="Times New Roman" w:eastAsia="仿宋_GB2312" w:cs="Times New Roman"/>
          <w:color w:val="000000"/>
          <w:kern w:val="0"/>
          <w:sz w:val="32"/>
          <w:szCs w:val="32"/>
          <w:lang w:val="en-US" w:eastAsia="zh-CN" w:bidi="ar-SA"/>
        </w:rPr>
        <w:t xml:space="preserve">组织实施与群众生活密切相关的各项公共服务，落实人力资源和社会保障、民政、教育、科技、文化、体育、卫生健康等领域和退役军人事务、妇女儿童、老年人、残疾人等方面的机关政策，不断提高公共服务质量。拓宽服务渠道，改进政务服务方式，推进审批服务便民化改革，建立健全群众办事一次办结机制，完善街道和村级便民服务平台，提高政务服务和政务公开水平，提升人民群众在享受公共服务方面的获得感和幸福感。 </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6.完成市委、市人民政府交办的其他任务。</w:t>
      </w:r>
    </w:p>
    <w:p>
      <w:pPr>
        <w:pStyle w:val="1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楷体_GB2312" w:cs="Times New Roman"/>
          <w:b/>
          <w:bCs/>
          <w:color w:val="000000"/>
          <w:kern w:val="0"/>
          <w:sz w:val="32"/>
          <w:szCs w:val="32"/>
          <w:lang w:val="en-US" w:eastAsia="zh-CN" w:bidi="ar-SA"/>
        </w:rPr>
      </w:pPr>
      <w:r>
        <w:rPr>
          <w:rFonts w:hint="default" w:ascii="Times New Roman" w:hAnsi="Times New Roman" w:eastAsia="楷体_GB2312" w:cs="Times New Roman"/>
          <w:b/>
          <w:bCs/>
          <w:color w:val="000000"/>
          <w:kern w:val="0"/>
          <w:sz w:val="32"/>
          <w:szCs w:val="32"/>
          <w:lang w:val="en-US" w:eastAsia="zh-CN" w:bidi="ar-SA"/>
        </w:rPr>
        <w:t>（二）部门组织机构及人员情况</w:t>
      </w:r>
    </w:p>
    <w:p>
      <w:pPr>
        <w:pStyle w:val="1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 xml:space="preserve">1.机构设置 </w:t>
      </w:r>
    </w:p>
    <w:p>
      <w:pPr>
        <w:pStyle w:val="1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浏阳市荷花街道办事处下设：党政综合办公室、财政所、基层党建办、纪检监察办、经济发展办、农业农村办、自然资源和生态环境办、社会治安和应急管理办等办公室。我部门共有在编在岗13</w:t>
      </w: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lang w:val="en-US" w:eastAsia="zh-CN"/>
        </w:rPr>
        <w:t>人。</w:t>
      </w:r>
    </w:p>
    <w:p>
      <w:pPr>
        <w:pStyle w:val="1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both"/>
        <w:textAlignment w:val="auto"/>
        <w:rPr>
          <w:rFonts w:hint="eastAsia"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2.</w:t>
      </w:r>
      <w:r>
        <w:rPr>
          <w:rFonts w:hint="eastAsia" w:ascii="Times New Roman" w:hAnsi="Times New Roman" w:eastAsia="仿宋_GB2312" w:cs="Times New Roman"/>
          <w:b/>
          <w:bCs/>
          <w:color w:val="000000"/>
          <w:kern w:val="0"/>
          <w:sz w:val="32"/>
          <w:szCs w:val="32"/>
          <w:lang w:val="en-US" w:eastAsia="zh-CN" w:bidi="ar-SA"/>
        </w:rPr>
        <w:t>人员情况</w:t>
      </w:r>
    </w:p>
    <w:p>
      <w:pPr>
        <w:pStyle w:val="1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截至2021年末，荷花街道实有人数</w:t>
      </w:r>
      <w:r>
        <w:rPr>
          <w:rFonts w:hint="default" w:ascii="Times New Roman" w:hAnsi="Times New Roman" w:eastAsia="仿宋_GB2312" w:cs="Times New Roman"/>
          <w:color w:val="000000"/>
          <w:kern w:val="0"/>
          <w:sz w:val="32"/>
          <w:szCs w:val="32"/>
          <w:lang w:val="en-US" w:eastAsia="zh-CN"/>
        </w:rPr>
        <w:t>13</w:t>
      </w: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lang w:val="en-US" w:eastAsia="zh-CN"/>
        </w:rPr>
        <w:t>人。</w:t>
      </w:r>
    </w:p>
    <w:p>
      <w:pPr>
        <w:pStyle w:val="1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楷体_GB2312" w:cs="Times New Roman"/>
          <w:b/>
          <w:bCs/>
          <w:color w:val="000000"/>
          <w:kern w:val="0"/>
          <w:sz w:val="32"/>
          <w:szCs w:val="32"/>
          <w:lang w:val="en-US" w:eastAsia="zh-CN" w:bidi="ar-SA"/>
        </w:rPr>
      </w:pPr>
      <w:r>
        <w:rPr>
          <w:rFonts w:hint="default" w:ascii="Times New Roman" w:hAnsi="Times New Roman" w:eastAsia="楷体_GB2312" w:cs="Times New Roman"/>
          <w:b/>
          <w:bCs/>
          <w:color w:val="000000"/>
          <w:kern w:val="0"/>
          <w:sz w:val="32"/>
          <w:szCs w:val="32"/>
          <w:lang w:val="en-US" w:eastAsia="zh-CN" w:bidi="ar-SA"/>
        </w:rPr>
        <w:t>（三）年度重点工作计划</w:t>
      </w:r>
    </w:p>
    <w:p>
      <w:pPr>
        <w:pStyle w:val="19"/>
        <w:keepNext w:val="0"/>
        <w:keepLines w:val="0"/>
        <w:pageBreakBefore w:val="0"/>
        <w:widowControl w:val="0"/>
        <w:kinsoku/>
        <w:wordWrap/>
        <w:overflowPunct/>
        <w:topLinePunct w:val="0"/>
        <w:autoSpaceDN/>
        <w:bidi w:val="0"/>
        <w:adjustRightInd/>
        <w:snapToGrid/>
        <w:spacing w:after="0" w:afterAutospacing="0" w:line="600" w:lineRule="exact"/>
        <w:ind w:left="0" w:firstLine="641"/>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2"/>
          <w:sz w:val="32"/>
          <w:szCs w:val="32"/>
          <w:lang w:val="en-US" w:eastAsia="zh-CN" w:bidi="ar-SA"/>
        </w:rPr>
        <w:t>我街道本年度重点工作为</w:t>
      </w:r>
      <w:r>
        <w:rPr>
          <w:rFonts w:hint="eastAsia" w:ascii="Times New Roman" w:hAnsi="Times New Roman" w:eastAsia="仿宋_GB2312" w:cs="Times New Roman"/>
          <w:color w:val="000000"/>
          <w:kern w:val="2"/>
          <w:sz w:val="32"/>
          <w:szCs w:val="32"/>
          <w:lang w:val="en-US" w:eastAsia="zh-CN" w:bidi="ar-SA"/>
        </w:rPr>
        <w:t>乡村振兴工作。</w:t>
      </w:r>
      <w:r>
        <w:rPr>
          <w:rFonts w:hint="default" w:ascii="Times New Roman" w:hAnsi="Times New Roman" w:eastAsia="仿宋_GB2312" w:cs="Times New Roman"/>
          <w:color w:val="000000"/>
          <w:kern w:val="2"/>
          <w:sz w:val="32"/>
          <w:szCs w:val="32"/>
          <w:lang w:val="en-US" w:eastAsia="zh-CN" w:bidi="ar-SA"/>
        </w:rPr>
        <w:t>深入实践乡村振兴战略，让农业兴、农村美、农民富的壮美画卷在荷花街道徐徐展开。</w:t>
      </w:r>
    </w:p>
    <w:p>
      <w:pPr>
        <w:pStyle w:val="1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楷体_GB2312" w:cs="Times New Roman"/>
          <w:b/>
          <w:bCs/>
          <w:color w:val="000000"/>
          <w:kern w:val="0"/>
          <w:sz w:val="32"/>
          <w:szCs w:val="32"/>
          <w:lang w:val="en-US" w:eastAsia="zh-CN" w:bidi="ar-SA"/>
        </w:rPr>
      </w:pPr>
      <w:r>
        <w:rPr>
          <w:rFonts w:hint="default" w:ascii="Times New Roman" w:hAnsi="Times New Roman" w:eastAsia="楷体_GB2312" w:cs="Times New Roman"/>
          <w:b/>
          <w:bCs/>
          <w:color w:val="000000"/>
          <w:kern w:val="0"/>
          <w:sz w:val="32"/>
          <w:szCs w:val="32"/>
          <w:lang w:val="en-US" w:eastAsia="zh-CN" w:bidi="ar-SA"/>
        </w:rPr>
        <w:t>（四）部门整体支出规模、使用方向、主要内容和涉及范围</w:t>
      </w:r>
    </w:p>
    <w:p>
      <w:pPr>
        <w:keepNext w:val="0"/>
        <w:keepLines w:val="0"/>
        <w:pageBreakBefore w:val="0"/>
        <w:widowControl w:val="0"/>
        <w:numPr>
          <w:ilvl w:val="0"/>
          <w:numId w:val="0"/>
        </w:numPr>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本年度整体</w:t>
      </w:r>
      <w:r>
        <w:rPr>
          <w:rFonts w:hint="eastAsia" w:ascii="Times New Roman" w:hAnsi="Times New Roman" w:eastAsia="仿宋_GB2312" w:cs="Times New Roman"/>
          <w:color w:val="000000"/>
          <w:kern w:val="0"/>
          <w:sz w:val="32"/>
          <w:szCs w:val="32"/>
          <w:lang w:val="en-US" w:eastAsia="zh-CN"/>
        </w:rPr>
        <w:t>支出</w:t>
      </w:r>
      <w:r>
        <w:rPr>
          <w:rFonts w:hint="default" w:ascii="Times New Roman" w:hAnsi="Times New Roman" w:eastAsia="仿宋_GB2312" w:cs="Times New Roman"/>
          <w:color w:val="000000"/>
          <w:kern w:val="0"/>
          <w:sz w:val="32"/>
          <w:szCs w:val="32"/>
          <w:lang w:val="en-US" w:eastAsia="zh-CN"/>
        </w:rPr>
        <w:t>规模为</w:t>
      </w:r>
      <w:r>
        <w:rPr>
          <w:rFonts w:hint="eastAsia" w:ascii="Times New Roman" w:hAnsi="Times New Roman" w:eastAsia="仿宋_GB2312" w:cs="Times New Roman"/>
          <w:color w:val="000000"/>
          <w:kern w:val="0"/>
          <w:sz w:val="32"/>
          <w:szCs w:val="32"/>
          <w:lang w:val="en-US" w:eastAsia="zh-CN"/>
        </w:rPr>
        <w:t>11076.68</w:t>
      </w:r>
      <w:r>
        <w:rPr>
          <w:rFonts w:hint="default" w:ascii="Times New Roman" w:hAnsi="Times New Roman" w:eastAsia="仿宋_GB2312" w:cs="Times New Roman"/>
          <w:color w:val="000000"/>
          <w:kern w:val="0"/>
          <w:sz w:val="32"/>
          <w:szCs w:val="32"/>
          <w:lang w:val="en-US" w:eastAsia="zh-CN"/>
        </w:rPr>
        <w:t>万元，主要用于城乡环境治理、乡村振兴、提升教育教学质量、民生改善等方面。</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二、部门整体支出资金管理及使用情况</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default" w:ascii="Times New Roman" w:hAnsi="Times New Roman" w:eastAsia="楷体_GB2312" w:cs="Times New Roman"/>
          <w:b/>
          <w:bCs/>
          <w:color w:val="000000"/>
          <w:kern w:val="0"/>
          <w:sz w:val="32"/>
          <w:szCs w:val="32"/>
        </w:rPr>
      </w:pPr>
      <w:r>
        <w:rPr>
          <w:rFonts w:hint="default" w:ascii="Times New Roman" w:hAnsi="Times New Roman" w:eastAsia="楷体_GB2312" w:cs="Times New Roman"/>
          <w:b/>
          <w:bCs/>
          <w:color w:val="000000"/>
          <w:kern w:val="0"/>
          <w:sz w:val="32"/>
          <w:szCs w:val="32"/>
        </w:rPr>
        <w:t>（一）基本支出</w:t>
      </w:r>
    </w:p>
    <w:p>
      <w:pPr>
        <w:pStyle w:val="1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1．实际整体收支情况。</w:t>
      </w:r>
    </w:p>
    <w:p>
      <w:pPr>
        <w:pStyle w:val="1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楷体_GB2312" w:cs="Times New Roman"/>
          <w:b/>
          <w:bCs/>
          <w:color w:val="000000"/>
          <w:sz w:val="32"/>
          <w:szCs w:val="32"/>
          <w:lang w:eastAsia="zh-CN"/>
        </w:rPr>
        <w:t>基本支出</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 w:val="32"/>
          <w:szCs w:val="32"/>
          <w:lang w:val="en-US"/>
        </w:rPr>
        <w:t>202</w:t>
      </w:r>
      <w:r>
        <w:rPr>
          <w:rFonts w:hint="default" w:ascii="Times New Roman" w:hAnsi="Times New Roman"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年度我街道基本支出</w:t>
      </w:r>
      <w:r>
        <w:rPr>
          <w:rFonts w:hint="default" w:ascii="Times New Roman" w:hAnsi="Times New Roman" w:eastAsia="仿宋_GB2312" w:cs="Times New Roman"/>
          <w:color w:val="000000"/>
          <w:sz w:val="32"/>
          <w:szCs w:val="32"/>
          <w:lang w:val="en-US" w:eastAsia="zh-CN"/>
        </w:rPr>
        <w:t>2903.9</w:t>
      </w:r>
      <w:r>
        <w:rPr>
          <w:rFonts w:hint="default" w:ascii="Times New Roman" w:hAnsi="Times New Roman" w:eastAsia="仿宋_GB2312" w:cs="Times New Roman"/>
          <w:color w:val="000000"/>
          <w:sz w:val="32"/>
          <w:szCs w:val="32"/>
          <w:lang w:eastAsia="zh-CN"/>
        </w:rPr>
        <w:t>万元，其中用于人员经费支出</w:t>
      </w:r>
      <w:r>
        <w:rPr>
          <w:rFonts w:hint="default" w:ascii="Times New Roman" w:hAnsi="Times New Roman" w:eastAsia="仿宋_GB2312" w:cs="Times New Roman"/>
          <w:color w:val="000000"/>
          <w:sz w:val="32"/>
          <w:szCs w:val="32"/>
          <w:lang w:val="en-US" w:eastAsia="zh-CN"/>
        </w:rPr>
        <w:t>2688.36</w:t>
      </w:r>
      <w:r>
        <w:rPr>
          <w:rFonts w:hint="default" w:ascii="Times New Roman" w:hAnsi="Times New Roman" w:eastAsia="仿宋_GB2312" w:cs="Times New Roman"/>
          <w:color w:val="000000"/>
          <w:sz w:val="32"/>
          <w:szCs w:val="32"/>
          <w:lang w:eastAsia="zh-CN"/>
        </w:rPr>
        <w:t>万元，日常公用经费支出</w:t>
      </w:r>
      <w:r>
        <w:rPr>
          <w:rFonts w:hint="default" w:ascii="Times New Roman" w:hAnsi="Times New Roman" w:eastAsia="仿宋_GB2312" w:cs="Times New Roman"/>
          <w:color w:val="000000"/>
          <w:sz w:val="32"/>
          <w:szCs w:val="32"/>
          <w:lang w:val="en-US" w:eastAsia="zh-CN"/>
        </w:rPr>
        <w:t>215.54</w:t>
      </w:r>
      <w:r>
        <w:rPr>
          <w:rFonts w:hint="default" w:ascii="Times New Roman" w:hAnsi="Times New Roman" w:eastAsia="仿宋_GB2312" w:cs="Times New Roman"/>
          <w:color w:val="000000"/>
          <w:sz w:val="32"/>
          <w:szCs w:val="32"/>
          <w:lang w:eastAsia="zh-CN"/>
        </w:rPr>
        <w:t>万元。</w:t>
      </w:r>
    </w:p>
    <w:p>
      <w:pPr>
        <w:keepNext w:val="0"/>
        <w:keepLines w:val="0"/>
        <w:pageBreakBefore w:val="0"/>
        <w:widowControl w:val="0"/>
        <w:numPr>
          <w:ilvl w:val="0"/>
          <w:numId w:val="2"/>
        </w:numPr>
        <w:kinsoku/>
        <w:wordWrap/>
        <w:overflowPunct/>
        <w:topLinePunct w:val="0"/>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“三公” 经费总支出情况。</w:t>
      </w:r>
    </w:p>
    <w:p>
      <w:pPr>
        <w:keepNext w:val="0"/>
        <w:keepLines w:val="0"/>
        <w:pageBreakBefore w:val="0"/>
        <w:widowControl w:val="0"/>
        <w:numPr>
          <w:ilvl w:val="0"/>
          <w:numId w:val="0"/>
        </w:numPr>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rPr>
        <w:t>202</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eastAsia="zh-CN"/>
        </w:rPr>
        <w:t>年三公经费预算为</w:t>
      </w:r>
      <w:r>
        <w:rPr>
          <w:rFonts w:hint="default" w:ascii="Times New Roman" w:hAnsi="Times New Roman" w:eastAsia="仿宋_GB2312" w:cs="Times New Roman"/>
          <w:color w:val="000000"/>
          <w:kern w:val="0"/>
          <w:sz w:val="32"/>
          <w:szCs w:val="32"/>
          <w:lang w:val="en-US"/>
        </w:rPr>
        <w:t>34.71</w:t>
      </w:r>
      <w:r>
        <w:rPr>
          <w:rFonts w:hint="default" w:ascii="Times New Roman" w:hAnsi="Times New Roman" w:eastAsia="仿宋_GB2312" w:cs="Times New Roman"/>
          <w:color w:val="000000"/>
          <w:kern w:val="0"/>
          <w:sz w:val="32"/>
          <w:szCs w:val="32"/>
          <w:lang w:eastAsia="zh-CN"/>
        </w:rPr>
        <w:t>万元，支出</w:t>
      </w:r>
      <w:r>
        <w:rPr>
          <w:rFonts w:hint="default" w:ascii="Times New Roman" w:hAnsi="Times New Roman" w:eastAsia="仿宋_GB2312" w:cs="Times New Roman"/>
          <w:color w:val="000000"/>
          <w:kern w:val="0"/>
          <w:sz w:val="32"/>
          <w:szCs w:val="32"/>
          <w:lang w:val="en-US" w:eastAsia="zh-CN"/>
        </w:rPr>
        <w:t>2.66</w:t>
      </w:r>
      <w:r>
        <w:rPr>
          <w:rFonts w:hint="default" w:ascii="Times New Roman" w:hAnsi="Times New Roman" w:eastAsia="仿宋_GB2312" w:cs="Times New Roman"/>
          <w:color w:val="000000"/>
          <w:kern w:val="0"/>
          <w:sz w:val="32"/>
          <w:szCs w:val="32"/>
          <w:lang w:eastAsia="zh-CN"/>
        </w:rPr>
        <w:t>万元，同比去年</w:t>
      </w:r>
      <w:r>
        <w:rPr>
          <w:rFonts w:hint="default" w:ascii="Times New Roman" w:hAnsi="Times New Roman" w:eastAsia="仿宋_GB2312" w:cs="Times New Roman"/>
          <w:color w:val="000000"/>
          <w:kern w:val="0"/>
          <w:sz w:val="32"/>
          <w:szCs w:val="32"/>
          <w:lang w:val="en-US" w:eastAsia="zh-CN"/>
        </w:rPr>
        <w:t>2.97</w:t>
      </w:r>
      <w:r>
        <w:rPr>
          <w:rFonts w:hint="default" w:ascii="Times New Roman" w:hAnsi="Times New Roman" w:eastAsia="仿宋_GB2312" w:cs="Times New Roman"/>
          <w:color w:val="000000"/>
          <w:kern w:val="0"/>
          <w:sz w:val="32"/>
          <w:szCs w:val="32"/>
          <w:lang w:eastAsia="zh-CN"/>
        </w:rPr>
        <w:t>万元减少</w:t>
      </w:r>
      <w:r>
        <w:rPr>
          <w:rFonts w:hint="default" w:ascii="Times New Roman" w:hAnsi="Times New Roman" w:eastAsia="仿宋_GB2312" w:cs="Times New Roman"/>
          <w:color w:val="000000"/>
          <w:kern w:val="0"/>
          <w:sz w:val="32"/>
          <w:szCs w:val="32"/>
          <w:lang w:val="en-US" w:eastAsia="zh-CN"/>
        </w:rPr>
        <w:t>0.31</w:t>
      </w:r>
      <w:r>
        <w:rPr>
          <w:rFonts w:hint="default" w:ascii="Times New Roman" w:hAnsi="Times New Roman" w:eastAsia="仿宋_GB2312" w:cs="Times New Roman"/>
          <w:color w:val="000000"/>
          <w:kern w:val="0"/>
          <w:sz w:val="32"/>
          <w:szCs w:val="32"/>
          <w:lang w:eastAsia="zh-CN"/>
        </w:rPr>
        <w:t>万元，本单位厉行节约，减少三公经费。其中公务接待费完成</w:t>
      </w:r>
      <w:r>
        <w:rPr>
          <w:rFonts w:hint="default" w:ascii="Times New Roman" w:hAnsi="Times New Roman" w:eastAsia="仿宋_GB2312" w:cs="Times New Roman"/>
          <w:color w:val="000000"/>
          <w:kern w:val="0"/>
          <w:sz w:val="32"/>
          <w:szCs w:val="32"/>
          <w:lang w:val="en-US"/>
        </w:rPr>
        <w:t>0</w:t>
      </w:r>
      <w:r>
        <w:rPr>
          <w:rFonts w:hint="default" w:ascii="Times New Roman" w:hAnsi="Times New Roman" w:eastAsia="仿宋_GB2312" w:cs="Times New Roman"/>
          <w:color w:val="000000"/>
          <w:kern w:val="0"/>
          <w:sz w:val="32"/>
          <w:szCs w:val="32"/>
          <w:lang w:eastAsia="zh-CN"/>
        </w:rPr>
        <w:t>万元（预算为</w:t>
      </w:r>
      <w:r>
        <w:rPr>
          <w:rFonts w:hint="default" w:ascii="Times New Roman" w:hAnsi="Times New Roman" w:eastAsia="仿宋_GB2312" w:cs="Times New Roman"/>
          <w:color w:val="000000"/>
          <w:kern w:val="0"/>
          <w:sz w:val="32"/>
          <w:szCs w:val="32"/>
          <w:lang w:val="en-US" w:eastAsia="zh-CN"/>
        </w:rPr>
        <w:t>24.71</w:t>
      </w:r>
      <w:r>
        <w:rPr>
          <w:rFonts w:hint="default" w:ascii="Times New Roman" w:hAnsi="Times New Roman" w:eastAsia="仿宋_GB2312" w:cs="Times New Roman"/>
          <w:color w:val="000000"/>
          <w:kern w:val="0"/>
          <w:sz w:val="32"/>
          <w:szCs w:val="32"/>
          <w:lang w:eastAsia="zh-CN"/>
        </w:rPr>
        <w:t>万元）；公务用车运行维护费完成</w:t>
      </w:r>
      <w:r>
        <w:rPr>
          <w:rFonts w:hint="default" w:ascii="Times New Roman" w:hAnsi="Times New Roman" w:eastAsia="仿宋_GB2312" w:cs="Times New Roman"/>
          <w:color w:val="000000"/>
          <w:kern w:val="0"/>
          <w:sz w:val="32"/>
          <w:szCs w:val="32"/>
          <w:lang w:val="en-US"/>
        </w:rPr>
        <w:t>2.</w:t>
      </w:r>
      <w:r>
        <w:rPr>
          <w:rFonts w:hint="default" w:ascii="Times New Roman" w:hAnsi="Times New Roman" w:eastAsia="仿宋_GB2312" w:cs="Times New Roman"/>
          <w:color w:val="000000"/>
          <w:kern w:val="0"/>
          <w:sz w:val="32"/>
          <w:szCs w:val="32"/>
          <w:lang w:val="en-US" w:eastAsia="zh-CN"/>
        </w:rPr>
        <w:t>66</w:t>
      </w:r>
      <w:r>
        <w:rPr>
          <w:rFonts w:hint="default" w:ascii="Times New Roman" w:hAnsi="Times New Roman" w:eastAsia="仿宋_GB2312" w:cs="Times New Roman"/>
          <w:color w:val="000000"/>
          <w:kern w:val="0"/>
          <w:sz w:val="32"/>
          <w:szCs w:val="32"/>
          <w:lang w:eastAsia="zh-CN"/>
        </w:rPr>
        <w:t>万元（预算为</w:t>
      </w:r>
      <w:r>
        <w:rPr>
          <w:rFonts w:hint="default" w:ascii="Times New Roman" w:hAnsi="Times New Roman" w:eastAsia="仿宋_GB2312" w:cs="Times New Roman"/>
          <w:color w:val="000000"/>
          <w:kern w:val="0"/>
          <w:sz w:val="32"/>
          <w:szCs w:val="32"/>
          <w:lang w:val="en-US"/>
        </w:rPr>
        <w:t>10</w:t>
      </w:r>
      <w:r>
        <w:rPr>
          <w:rFonts w:hint="default" w:ascii="Times New Roman" w:hAnsi="Times New Roman" w:eastAsia="仿宋_GB2312" w:cs="Times New Roman"/>
          <w:color w:val="000000"/>
          <w:kern w:val="0"/>
          <w:sz w:val="32"/>
          <w:szCs w:val="32"/>
          <w:lang w:eastAsia="zh-CN"/>
        </w:rPr>
        <w:t>万元），同比去年</w:t>
      </w:r>
      <w:r>
        <w:rPr>
          <w:rFonts w:hint="default" w:ascii="Times New Roman" w:hAnsi="Times New Roman" w:eastAsia="仿宋_GB2312" w:cs="Times New Roman"/>
          <w:color w:val="000000"/>
          <w:kern w:val="0"/>
          <w:sz w:val="32"/>
          <w:szCs w:val="32"/>
          <w:lang w:val="en-US" w:eastAsia="zh-CN"/>
        </w:rPr>
        <w:t>2.97</w:t>
      </w:r>
      <w:r>
        <w:rPr>
          <w:rFonts w:hint="default" w:ascii="Times New Roman" w:hAnsi="Times New Roman" w:eastAsia="仿宋_GB2312" w:cs="Times New Roman"/>
          <w:color w:val="000000"/>
          <w:kern w:val="0"/>
          <w:sz w:val="32"/>
          <w:szCs w:val="32"/>
          <w:lang w:eastAsia="zh-CN"/>
        </w:rPr>
        <w:t>万元减少</w:t>
      </w:r>
      <w:r>
        <w:rPr>
          <w:rFonts w:hint="default" w:ascii="Times New Roman" w:hAnsi="Times New Roman" w:eastAsia="仿宋_GB2312" w:cs="Times New Roman"/>
          <w:color w:val="000000"/>
          <w:kern w:val="0"/>
          <w:sz w:val="32"/>
          <w:szCs w:val="32"/>
          <w:lang w:val="en-US" w:eastAsia="zh-CN"/>
        </w:rPr>
        <w:t>0.31</w:t>
      </w:r>
      <w:r>
        <w:rPr>
          <w:rFonts w:hint="default" w:ascii="Times New Roman" w:hAnsi="Times New Roman" w:eastAsia="仿宋_GB2312" w:cs="Times New Roman"/>
          <w:color w:val="000000"/>
          <w:kern w:val="0"/>
          <w:sz w:val="32"/>
          <w:szCs w:val="32"/>
          <w:lang w:eastAsia="zh-CN"/>
        </w:rPr>
        <w:t>万元，减少的主要原因是公务用车次数减少，费用下降。</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3．因公出国（境）费用支出和公务用车（购置）情况。</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本年度无</w:t>
      </w:r>
      <w:r>
        <w:rPr>
          <w:rFonts w:hint="default" w:ascii="Times New Roman" w:hAnsi="Times New Roman" w:eastAsia="仿宋_GB2312" w:cs="Times New Roman"/>
          <w:color w:val="000000"/>
          <w:kern w:val="0"/>
          <w:sz w:val="32"/>
          <w:szCs w:val="32"/>
        </w:rPr>
        <w:t>因公出国（境）费用支出和公务用车（购置）</w:t>
      </w:r>
      <w:r>
        <w:rPr>
          <w:rFonts w:hint="default" w:ascii="Times New Roman" w:hAnsi="Times New Roman" w:eastAsia="仿宋_GB2312" w:cs="Times New Roman"/>
          <w:color w:val="000000"/>
          <w:kern w:val="0"/>
          <w:sz w:val="32"/>
          <w:szCs w:val="32"/>
          <w:lang w:val="en-US" w:eastAsia="zh-CN"/>
        </w:rPr>
        <w:t>支出。</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default" w:ascii="Times New Roman" w:hAnsi="Times New Roman" w:eastAsia="楷体_GB2312" w:cs="Times New Roman"/>
          <w:b/>
          <w:bCs/>
          <w:color w:val="000000"/>
          <w:kern w:val="0"/>
          <w:sz w:val="32"/>
          <w:szCs w:val="32"/>
        </w:rPr>
      </w:pPr>
      <w:r>
        <w:rPr>
          <w:rFonts w:hint="default" w:ascii="Times New Roman" w:hAnsi="Times New Roman" w:eastAsia="楷体_GB2312" w:cs="Times New Roman"/>
          <w:b/>
          <w:bCs/>
          <w:color w:val="000000"/>
          <w:kern w:val="0"/>
          <w:sz w:val="32"/>
          <w:szCs w:val="32"/>
        </w:rPr>
        <w:t xml:space="preserve">（二）项目支出 </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2021年度本单位项目支出总资金</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1．项目资金（包括财政资金、自筹资金等）安排落实、总投入等情况分析。</w:t>
      </w:r>
      <w:r>
        <w:rPr>
          <w:rFonts w:hint="default" w:ascii="Times New Roman" w:hAnsi="Times New Roman" w:eastAsia="仿宋_GB2312" w:cs="Times New Roman"/>
          <w:color w:val="000000"/>
          <w:sz w:val="32"/>
          <w:szCs w:val="32"/>
          <w:lang w:val="en-US"/>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年项目</w:t>
      </w:r>
      <w:r>
        <w:rPr>
          <w:rFonts w:hint="default" w:ascii="Times New Roman" w:hAnsi="Times New Roman" w:eastAsia="仿宋_GB2312" w:cs="Times New Roman"/>
          <w:color w:val="000000"/>
          <w:sz w:val="32"/>
          <w:szCs w:val="32"/>
          <w:lang w:val="en-US" w:eastAsia="zh-CN"/>
        </w:rPr>
        <w:t>资金总投入8341.52</w:t>
      </w:r>
      <w:r>
        <w:rPr>
          <w:rFonts w:hint="default" w:ascii="Times New Roman" w:hAnsi="Times New Roman" w:eastAsia="仿宋_GB2312" w:cs="Times New Roman"/>
          <w:color w:val="000000"/>
          <w:sz w:val="32"/>
          <w:szCs w:val="32"/>
          <w:lang w:eastAsia="zh-CN"/>
        </w:rPr>
        <w:t>万元，</w:t>
      </w:r>
      <w:r>
        <w:rPr>
          <w:rFonts w:hint="default" w:ascii="Times New Roman" w:hAnsi="Times New Roman" w:eastAsia="仿宋_GB2312" w:cs="Times New Roman"/>
          <w:color w:val="000000"/>
          <w:sz w:val="32"/>
          <w:szCs w:val="32"/>
          <w:lang w:val="en-US" w:eastAsia="zh-CN"/>
        </w:rPr>
        <w:t>已全部落实</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2．项目资金（主要指财政资金）实际使用情况分析。 </w:t>
      </w:r>
      <w:r>
        <w:rPr>
          <w:rFonts w:hint="default" w:ascii="Times New Roman" w:hAnsi="Times New Roman" w:eastAsia="仿宋_GB2312" w:cs="Times New Roman"/>
          <w:color w:val="000000"/>
          <w:sz w:val="32"/>
          <w:szCs w:val="32"/>
          <w:lang w:val="en-US"/>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年项目</w:t>
      </w:r>
      <w:r>
        <w:rPr>
          <w:rFonts w:hint="default" w:ascii="Times New Roman" w:hAnsi="Times New Roman" w:eastAsia="仿宋_GB2312" w:cs="Times New Roman"/>
          <w:color w:val="000000"/>
          <w:sz w:val="32"/>
          <w:szCs w:val="32"/>
          <w:lang w:val="en-US" w:eastAsia="zh-CN"/>
        </w:rPr>
        <w:t>支出8341.52</w:t>
      </w:r>
      <w:r>
        <w:rPr>
          <w:rFonts w:hint="default" w:ascii="Times New Roman" w:hAnsi="Times New Roman" w:eastAsia="仿宋_GB2312" w:cs="Times New Roman"/>
          <w:color w:val="000000"/>
          <w:sz w:val="32"/>
          <w:szCs w:val="32"/>
          <w:lang w:eastAsia="zh-CN"/>
        </w:rPr>
        <w:t>万元。</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numPr>
          <w:ilvl w:val="0"/>
          <w:numId w:val="0"/>
        </w:numPr>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3. </w:t>
      </w:r>
      <w:r>
        <w:rPr>
          <w:rFonts w:hint="default" w:ascii="Times New Roman" w:hAnsi="Times New Roman" w:eastAsia="仿宋_GB2312" w:cs="Times New Roman"/>
          <w:color w:val="000000"/>
          <w:sz w:val="32"/>
          <w:szCs w:val="32"/>
        </w:rPr>
        <w:t>本单位</w:t>
      </w:r>
      <w:r>
        <w:rPr>
          <w:rFonts w:hint="default" w:ascii="Times New Roman" w:hAnsi="Times New Roman" w:eastAsia="仿宋_GB2312" w:cs="Times New Roman"/>
          <w:color w:val="000000"/>
          <w:sz w:val="32"/>
          <w:szCs w:val="32"/>
          <w:lang w:val="en-US" w:eastAsia="zh-CN"/>
        </w:rPr>
        <w:t>项目资金</w:t>
      </w:r>
      <w:r>
        <w:rPr>
          <w:rFonts w:hint="default" w:ascii="Times New Roman" w:hAnsi="Times New Roman" w:eastAsia="仿宋_GB2312" w:cs="Times New Roman"/>
          <w:color w:val="000000"/>
          <w:sz w:val="32"/>
          <w:szCs w:val="32"/>
        </w:rPr>
        <w:t xml:space="preserve">财务管理制度健全，部门整体支出合法依规，资金拨付都有完整的审批程序和手续，限额以上所需物资和服务全部使用政府采购形式，无截留、挤占、挪用、虚列支出资金等情况。 </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 xml:space="preserve">三、部门项目组织实施情况 </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eastAsia="zh-CN"/>
        </w:rPr>
        <w:t>一是建立项目台账，对项目实施情况及时登记，作为项目进度的主要依据。</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kern w:val="0"/>
          <w:sz w:val="32"/>
          <w:szCs w:val="32"/>
          <w:lang w:eastAsia="zh-CN"/>
        </w:rPr>
        <w:t>二是</w:t>
      </w:r>
      <w:r>
        <w:rPr>
          <w:rFonts w:hint="default" w:ascii="Times New Roman" w:hAnsi="Times New Roman" w:eastAsia="仿宋_GB2312" w:cs="Times New Roman"/>
          <w:color w:val="000000"/>
          <w:sz w:val="32"/>
          <w:szCs w:val="32"/>
          <w:lang w:eastAsia="zh-CN"/>
        </w:rPr>
        <w:t>为加强对全街道重点建设项目的组织和管理，确保重点建设项目建设顺利实施，促进街道经济持续、快速、健康发展，根据国家和省、市项目建设管理的有关规定，</w:t>
      </w:r>
      <w:r>
        <w:rPr>
          <w:rFonts w:hint="default" w:ascii="Times New Roman" w:hAnsi="Times New Roman" w:eastAsia="仿宋_GB2312" w:cs="Times New Roman"/>
          <w:color w:val="000000"/>
          <w:sz w:val="32"/>
          <w:szCs w:val="32"/>
          <w:lang w:val="en-US" w:eastAsia="zh-CN"/>
        </w:rPr>
        <w:t>进行</w:t>
      </w:r>
      <w:r>
        <w:rPr>
          <w:rFonts w:hint="default" w:ascii="Times New Roman" w:hAnsi="Times New Roman" w:eastAsia="仿宋_GB2312" w:cs="Times New Roman"/>
          <w:color w:val="000000"/>
          <w:sz w:val="32"/>
          <w:szCs w:val="32"/>
        </w:rPr>
        <w:t>项目管理制度建设、日常检查监督</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 xml:space="preserve">四、资产管理情况 </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街道为更好的保障国有资产完整、完好，确保资产的保值、增值，建立健全了相关资产管理制度，在日常管理中严格按照固定资产管理办法执行，采取统一采购、多人经办的方式严格管理，根据实际需求制定采购计划，严格按规定标准配置固定资产，厉行节约，合理配备。</w:t>
      </w:r>
    </w:p>
    <w:p>
      <w:pPr>
        <w:keepNext w:val="0"/>
        <w:keepLines w:val="0"/>
        <w:pageBreakBefore w:val="0"/>
        <w:widowControl w:val="0"/>
        <w:numPr>
          <w:ilvl w:val="0"/>
          <w:numId w:val="3"/>
        </w:numPr>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highlight w:val="none"/>
        </w:rPr>
      </w:pPr>
      <w:r>
        <w:rPr>
          <w:rFonts w:hint="default" w:ascii="Times New Roman" w:hAnsi="Times New Roman" w:eastAsia="黑体" w:cs="Times New Roman"/>
          <w:bCs/>
          <w:color w:val="000000"/>
          <w:sz w:val="32"/>
          <w:szCs w:val="32"/>
          <w:highlight w:val="none"/>
        </w:rPr>
        <w:t xml:space="preserve">部门整体支出绩效情况 </w:t>
      </w:r>
    </w:p>
    <w:p>
      <w:pPr>
        <w:spacing w:line="360" w:lineRule="auto"/>
        <w:ind w:firstLine="640" w:firstLineChars="200"/>
        <w:outlineLvl w:val="1"/>
        <w:rPr>
          <w:rFonts w:hint="default"/>
        </w:rPr>
      </w:pPr>
      <w:r>
        <w:rPr>
          <w:rFonts w:hint="eastAsia" w:ascii="仿宋" w:hAnsi="仿宋" w:eastAsia="仿宋" w:cs="仿宋"/>
          <w:sz w:val="32"/>
          <w:szCs w:val="32"/>
        </w:rPr>
        <w:t>（一）简要概述自评结果及得分情况。</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2022年，我街道积极履职，财务核算规范，依照计划管理使用资金，较好的完成了年初设定的各项工作目标。根据镇（街）财政运行综合绩效评价指标体系，我街道2022年度绩效自评得分为9</w:t>
      </w:r>
      <w:r>
        <w:rPr>
          <w:rFonts w:hint="eastAsia" w:ascii="Times New Roman" w:hAnsi="Times New Roman" w:eastAsia="仿宋_GB2312" w:cs="Times New Roman"/>
          <w:color w:val="000000"/>
          <w:kern w:val="0"/>
          <w:sz w:val="32"/>
          <w:szCs w:val="32"/>
          <w:lang w:val="en-US" w:eastAsia="zh-CN"/>
        </w:rPr>
        <w:t>6</w:t>
      </w:r>
      <w:r>
        <w:rPr>
          <w:rFonts w:hint="eastAsia" w:ascii="Times New Roman" w:hAnsi="Times New Roman" w:eastAsia="仿宋_GB2312" w:cs="Times New Roman"/>
          <w:color w:val="000000"/>
          <w:kern w:val="0"/>
          <w:sz w:val="32"/>
          <w:szCs w:val="32"/>
          <w:lang w:eastAsia="zh-CN"/>
        </w:rPr>
        <w:t>.6分，评价结果为“优”</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numPr>
          <w:ilvl w:val="0"/>
          <w:numId w:val="4"/>
        </w:numPr>
        <w:kinsoku/>
        <w:wordWrap/>
        <w:overflowPunct/>
        <w:topLinePunct w:val="0"/>
        <w:autoSpaceDN/>
        <w:bidi w:val="0"/>
        <w:adjustRightInd/>
        <w:snapToGrid/>
        <w:spacing w:line="600" w:lineRule="exact"/>
        <w:ind w:firstLine="320" w:firstLineChars="1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单位总支出情况</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rPr>
        <w:t>2022年度支出合计11,076.68万元，其中：基本支出3,327.2万元，占30.04%；项目支出7,749.48万元，占69.96%；上缴上级支出0万元，占0%；经营支出0万元，占0%；对附属单位补助支出0万元，占0%。</w:t>
      </w:r>
    </w:p>
    <w:p>
      <w:pPr>
        <w:spacing w:line="360" w:lineRule="auto"/>
        <w:ind w:firstLine="640" w:firstLineChars="200"/>
        <w:outlineLvl w:val="1"/>
        <w:rPr>
          <w:rFonts w:ascii="仿宋" w:hAnsi="仿宋" w:eastAsia="仿宋" w:cs="Times New Roman"/>
          <w:sz w:val="32"/>
          <w:szCs w:val="32"/>
        </w:rPr>
      </w:pPr>
      <w:r>
        <w:rPr>
          <w:rFonts w:hint="eastAsia" w:ascii="仿宋" w:hAnsi="仿宋" w:eastAsia="仿宋" w:cs="仿宋"/>
          <w:sz w:val="32"/>
          <w:szCs w:val="32"/>
        </w:rPr>
        <w:t>（二）预算配置评价</w:t>
      </w:r>
    </w:p>
    <w:p>
      <w:pPr>
        <w:spacing w:line="360" w:lineRule="auto"/>
        <w:ind w:firstLine="640" w:firstLineChars="200"/>
        <w:outlineLvl w:val="2"/>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在职人员控制率</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2022</w:t>
      </w:r>
      <w:r>
        <w:rPr>
          <w:rFonts w:hint="eastAsia" w:ascii="仿宋" w:hAnsi="仿宋" w:eastAsia="仿宋" w:cs="仿宋"/>
          <w:sz w:val="32"/>
          <w:szCs w:val="32"/>
        </w:rPr>
        <w:t>年批准的人员编制数为</w:t>
      </w:r>
      <w:r>
        <w:rPr>
          <w:rFonts w:hint="eastAsia" w:ascii="仿宋" w:hAnsi="仿宋" w:eastAsia="仿宋" w:cs="仿宋"/>
          <w:sz w:val="32"/>
          <w:szCs w:val="32"/>
          <w:lang w:val="en-US" w:eastAsia="zh-CN"/>
        </w:rPr>
        <w:t>135</w:t>
      </w:r>
      <w:r>
        <w:rPr>
          <w:rFonts w:hint="eastAsia" w:ascii="仿宋" w:hAnsi="仿宋" w:eastAsia="仿宋" w:cs="仿宋"/>
          <w:sz w:val="32"/>
          <w:szCs w:val="32"/>
        </w:rPr>
        <w:t>人，在职在岗人员</w:t>
      </w:r>
      <w:r>
        <w:rPr>
          <w:rFonts w:hint="eastAsia" w:ascii="仿宋" w:hAnsi="仿宋" w:eastAsia="仿宋" w:cs="仿宋"/>
          <w:sz w:val="32"/>
          <w:szCs w:val="32"/>
          <w:lang w:val="en-US" w:eastAsia="zh-CN"/>
        </w:rPr>
        <w:t>135</w:t>
      </w:r>
      <w:r>
        <w:rPr>
          <w:rFonts w:hint="eastAsia" w:ascii="仿宋" w:hAnsi="仿宋" w:eastAsia="仿宋" w:cs="仿宋"/>
          <w:sz w:val="32"/>
          <w:szCs w:val="32"/>
        </w:rPr>
        <w:t>人，在职人员控制率</w:t>
      </w:r>
      <w:r>
        <w:rPr>
          <w:rFonts w:ascii="仿宋" w:hAnsi="仿宋" w:eastAsia="仿宋" w:cs="仿宋"/>
          <w:sz w:val="32"/>
          <w:szCs w:val="32"/>
        </w:rPr>
        <w:t>100.00%</w:t>
      </w:r>
      <w:r>
        <w:rPr>
          <w:rFonts w:hint="eastAsia" w:ascii="仿宋" w:hAnsi="仿宋" w:eastAsia="仿宋" w:cs="仿宋"/>
          <w:sz w:val="32"/>
          <w:szCs w:val="32"/>
        </w:rPr>
        <w:t>。</w:t>
      </w:r>
    </w:p>
    <w:p>
      <w:pPr>
        <w:spacing w:line="360" w:lineRule="auto"/>
        <w:ind w:firstLine="640" w:firstLineChars="200"/>
        <w:outlineLvl w:val="2"/>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“三公”经费变动率</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2022</w:t>
      </w:r>
      <w:r>
        <w:rPr>
          <w:rFonts w:hint="eastAsia" w:ascii="仿宋" w:hAnsi="仿宋" w:eastAsia="仿宋" w:cs="仿宋"/>
          <w:sz w:val="32"/>
          <w:szCs w:val="32"/>
        </w:rPr>
        <w:t>年“三公经费”预算安排数为</w:t>
      </w:r>
      <w:r>
        <w:rPr>
          <w:rFonts w:hint="eastAsia" w:ascii="仿宋" w:hAnsi="仿宋" w:eastAsia="仿宋" w:cs="仿宋"/>
          <w:sz w:val="32"/>
          <w:szCs w:val="32"/>
          <w:lang w:val="en-US" w:eastAsia="zh-CN"/>
        </w:rPr>
        <w:t>34.7</w:t>
      </w:r>
      <w:r>
        <w:rPr>
          <w:rFonts w:hint="eastAsia" w:ascii="仿宋" w:hAnsi="仿宋" w:eastAsia="仿宋" w:cs="仿宋"/>
          <w:sz w:val="32"/>
          <w:szCs w:val="32"/>
        </w:rPr>
        <w:t>万元，</w:t>
      </w:r>
      <w:r>
        <w:rPr>
          <w:rFonts w:ascii="仿宋" w:hAnsi="仿宋" w:eastAsia="仿宋" w:cs="仿宋"/>
          <w:sz w:val="32"/>
          <w:szCs w:val="32"/>
        </w:rPr>
        <w:t>2021</w:t>
      </w:r>
      <w:r>
        <w:rPr>
          <w:rFonts w:hint="eastAsia" w:ascii="仿宋" w:hAnsi="仿宋" w:eastAsia="仿宋" w:cs="仿宋"/>
          <w:sz w:val="32"/>
          <w:szCs w:val="32"/>
        </w:rPr>
        <w:t>年“三公经费”预算安排数</w:t>
      </w:r>
      <w:r>
        <w:rPr>
          <w:rFonts w:hint="eastAsia" w:ascii="仿宋" w:hAnsi="仿宋" w:eastAsia="仿宋" w:cs="仿宋"/>
          <w:sz w:val="32"/>
          <w:szCs w:val="32"/>
          <w:lang w:val="en-US" w:eastAsia="zh-CN"/>
        </w:rPr>
        <w:t>34.7</w:t>
      </w:r>
      <w:r>
        <w:rPr>
          <w:rFonts w:hint="eastAsia" w:ascii="仿宋" w:hAnsi="仿宋" w:eastAsia="仿宋" w:cs="仿宋"/>
          <w:sz w:val="32"/>
          <w:szCs w:val="32"/>
        </w:rPr>
        <w:t>万元，“三公经费”变动率为</w:t>
      </w:r>
      <w:r>
        <w:rPr>
          <w:rFonts w:ascii="仿宋" w:hAnsi="仿宋" w:eastAsia="仿宋" w:cs="仿宋"/>
          <w:sz w:val="32"/>
          <w:szCs w:val="32"/>
        </w:rPr>
        <w:t>0</w:t>
      </w:r>
      <w:r>
        <w:rPr>
          <w:rFonts w:hint="eastAsia" w:ascii="仿宋" w:hAnsi="仿宋" w:eastAsia="仿宋" w:cs="仿宋"/>
          <w:sz w:val="32"/>
          <w:szCs w:val="32"/>
        </w:rPr>
        <w:t>。</w:t>
      </w:r>
    </w:p>
    <w:p>
      <w:pPr>
        <w:spacing w:line="360" w:lineRule="auto"/>
        <w:ind w:firstLine="640" w:firstLineChars="200"/>
        <w:outlineLvl w:val="1"/>
        <w:rPr>
          <w:rFonts w:ascii="仿宋" w:hAnsi="仿宋" w:eastAsia="仿宋" w:cs="Times New Roman"/>
          <w:sz w:val="32"/>
          <w:szCs w:val="32"/>
        </w:rPr>
      </w:pPr>
      <w:r>
        <w:rPr>
          <w:rFonts w:hint="eastAsia" w:ascii="仿宋" w:hAnsi="仿宋" w:eastAsia="仿宋" w:cs="仿宋"/>
          <w:sz w:val="32"/>
          <w:szCs w:val="32"/>
        </w:rPr>
        <w:t>（三）预算执行评价</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预算完成率</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2022</w:t>
      </w:r>
      <w:r>
        <w:rPr>
          <w:rFonts w:hint="eastAsia" w:ascii="仿宋" w:hAnsi="仿宋" w:eastAsia="仿宋" w:cs="仿宋"/>
          <w:sz w:val="32"/>
          <w:szCs w:val="32"/>
        </w:rPr>
        <w:t>年财政拨款收入</w:t>
      </w:r>
      <w:r>
        <w:rPr>
          <w:rFonts w:hint="eastAsia" w:ascii="仿宋" w:hAnsi="仿宋" w:eastAsia="仿宋" w:cs="仿宋"/>
          <w:sz w:val="32"/>
          <w:szCs w:val="32"/>
          <w:lang w:val="en-US" w:eastAsia="zh-CN"/>
        </w:rPr>
        <w:t>10019.25</w:t>
      </w:r>
      <w:r>
        <w:rPr>
          <w:rFonts w:hint="eastAsia" w:ascii="仿宋" w:hAnsi="仿宋" w:eastAsia="仿宋" w:cs="仿宋"/>
          <w:sz w:val="32"/>
          <w:szCs w:val="32"/>
        </w:rPr>
        <w:t>万元，财政拨款支出</w:t>
      </w:r>
      <w:r>
        <w:rPr>
          <w:rFonts w:hint="eastAsia" w:ascii="仿宋" w:hAnsi="仿宋" w:eastAsia="仿宋" w:cs="仿宋"/>
          <w:sz w:val="32"/>
          <w:szCs w:val="32"/>
          <w:lang w:val="en-US" w:eastAsia="zh-CN"/>
        </w:rPr>
        <w:t>10019.25</w:t>
      </w:r>
      <w:r>
        <w:rPr>
          <w:rFonts w:hint="eastAsia" w:ascii="仿宋" w:hAnsi="仿宋" w:eastAsia="仿宋" w:cs="仿宋"/>
          <w:sz w:val="32"/>
          <w:szCs w:val="32"/>
        </w:rPr>
        <w:t>万元，预算完成率</w:t>
      </w:r>
      <w:r>
        <w:rPr>
          <w:rFonts w:ascii="仿宋" w:hAnsi="仿宋" w:eastAsia="仿宋" w:cs="仿宋"/>
          <w:sz w:val="32"/>
          <w:szCs w:val="32"/>
        </w:rPr>
        <w:t>100%</w:t>
      </w:r>
      <w:r>
        <w:rPr>
          <w:rFonts w:hint="eastAsia" w:ascii="仿宋" w:hAnsi="仿宋" w:eastAsia="仿宋" w:cs="仿宋"/>
          <w:sz w:val="32"/>
          <w:szCs w:val="32"/>
        </w:rPr>
        <w:t>。</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支付进度率</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2022</w:t>
      </w:r>
      <w:r>
        <w:rPr>
          <w:rFonts w:hint="eastAsia" w:ascii="仿宋" w:hAnsi="仿宋" w:eastAsia="仿宋" w:cs="仿宋"/>
          <w:sz w:val="32"/>
          <w:szCs w:val="32"/>
        </w:rPr>
        <w:t>年财政拨款收入</w:t>
      </w:r>
      <w:r>
        <w:rPr>
          <w:rFonts w:hint="eastAsia" w:ascii="仿宋" w:hAnsi="仿宋" w:eastAsia="仿宋" w:cs="仿宋"/>
          <w:sz w:val="32"/>
          <w:szCs w:val="32"/>
          <w:lang w:val="en-US" w:eastAsia="zh-CN"/>
        </w:rPr>
        <w:t>10019.25</w:t>
      </w:r>
      <w:r>
        <w:rPr>
          <w:rFonts w:hint="eastAsia" w:ascii="仿宋" w:hAnsi="仿宋" w:eastAsia="仿宋" w:cs="仿宋"/>
          <w:sz w:val="32"/>
          <w:szCs w:val="32"/>
        </w:rPr>
        <w:t>万元，财政拨款支出</w:t>
      </w:r>
      <w:r>
        <w:rPr>
          <w:rFonts w:hint="eastAsia" w:ascii="仿宋" w:hAnsi="仿宋" w:eastAsia="仿宋" w:cs="仿宋"/>
          <w:sz w:val="32"/>
          <w:szCs w:val="32"/>
          <w:lang w:val="en-US" w:eastAsia="zh-CN"/>
        </w:rPr>
        <w:t>10019.25</w:t>
      </w:r>
      <w:r>
        <w:rPr>
          <w:rFonts w:hint="eastAsia" w:ascii="仿宋" w:hAnsi="仿宋" w:eastAsia="仿宋" w:cs="仿宋"/>
          <w:sz w:val="32"/>
          <w:szCs w:val="32"/>
        </w:rPr>
        <w:t>万元，支付进度率</w:t>
      </w:r>
      <w:r>
        <w:rPr>
          <w:rFonts w:ascii="仿宋" w:hAnsi="仿宋" w:eastAsia="仿宋" w:cs="仿宋"/>
          <w:sz w:val="32"/>
          <w:szCs w:val="32"/>
        </w:rPr>
        <w:t>100%</w:t>
      </w:r>
      <w:r>
        <w:rPr>
          <w:rFonts w:hint="eastAsia" w:ascii="仿宋" w:hAnsi="仿宋" w:eastAsia="仿宋" w:cs="仿宋"/>
          <w:sz w:val="32"/>
          <w:szCs w:val="32"/>
        </w:rPr>
        <w:t>。</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预算调整率</w:t>
      </w:r>
    </w:p>
    <w:p>
      <w:pPr>
        <w:pStyle w:val="2"/>
        <w:rPr>
          <w:rFonts w:hint="eastAsia" w:ascii="仿宋" w:hAnsi="仿宋" w:eastAsia="仿宋" w:cs="仿宋"/>
          <w:sz w:val="32"/>
          <w:szCs w:val="32"/>
          <w:lang w:val="en-US" w:eastAsia="zh-CN"/>
        </w:rPr>
      </w:pPr>
      <w:r>
        <w:rPr>
          <w:rFonts w:ascii="仿宋" w:hAnsi="仿宋" w:eastAsia="仿宋" w:cs="仿宋"/>
          <w:sz w:val="32"/>
          <w:szCs w:val="32"/>
        </w:rPr>
        <w:t>2022</w:t>
      </w:r>
      <w:r>
        <w:rPr>
          <w:rFonts w:hint="eastAsia" w:ascii="仿宋" w:hAnsi="仿宋" w:eastAsia="仿宋" w:cs="仿宋"/>
          <w:sz w:val="32"/>
          <w:szCs w:val="32"/>
        </w:rPr>
        <w:t>年初</w:t>
      </w:r>
      <w:r>
        <w:rPr>
          <w:rFonts w:hint="eastAsia" w:ascii="仿宋" w:hAnsi="仿宋" w:eastAsia="仿宋" w:cs="仿宋"/>
          <w:sz w:val="32"/>
          <w:szCs w:val="32"/>
          <w:lang w:eastAsia="zh-CN"/>
        </w:rPr>
        <w:t>市</w:t>
      </w:r>
      <w:r>
        <w:rPr>
          <w:rFonts w:hint="eastAsia" w:ascii="仿宋" w:hAnsi="仿宋" w:eastAsia="仿宋" w:cs="仿宋"/>
          <w:sz w:val="32"/>
          <w:szCs w:val="32"/>
        </w:rPr>
        <w:t>财政批复</w:t>
      </w:r>
      <w:r>
        <w:rPr>
          <w:rFonts w:hint="eastAsia" w:ascii="仿宋" w:hAnsi="仿宋" w:eastAsia="仿宋" w:cs="仿宋"/>
          <w:sz w:val="32"/>
          <w:szCs w:val="32"/>
          <w:lang w:eastAsia="zh-CN"/>
        </w:rPr>
        <w:t>荷花</w:t>
      </w:r>
      <w:r>
        <w:rPr>
          <w:rFonts w:hint="eastAsia" w:ascii="仿宋" w:hAnsi="仿宋" w:eastAsia="仿宋" w:cs="仿宋"/>
          <w:sz w:val="32"/>
          <w:szCs w:val="32"/>
        </w:rPr>
        <w:t>街道部门预算</w:t>
      </w:r>
      <w:r>
        <w:rPr>
          <w:rFonts w:hint="eastAsia" w:ascii="仿宋" w:hAnsi="仿宋" w:eastAsia="仿宋" w:cs="仿宋"/>
          <w:sz w:val="32"/>
          <w:szCs w:val="32"/>
          <w:lang w:val="en-US" w:eastAsia="zh-CN"/>
        </w:rPr>
        <w:t>7147.37</w:t>
      </w:r>
      <w:r>
        <w:rPr>
          <w:rFonts w:hint="eastAsia" w:ascii="仿宋" w:hAnsi="仿宋" w:eastAsia="仿宋" w:cs="仿宋"/>
          <w:sz w:val="32"/>
          <w:szCs w:val="32"/>
        </w:rPr>
        <w:t>万元，年中追加部门预算</w:t>
      </w:r>
      <w:r>
        <w:rPr>
          <w:rFonts w:hint="eastAsia" w:ascii="仿宋" w:hAnsi="仿宋" w:eastAsia="仿宋" w:cs="仿宋"/>
          <w:sz w:val="32"/>
          <w:szCs w:val="32"/>
          <w:lang w:val="en-US" w:eastAsia="zh-CN"/>
        </w:rPr>
        <w:t>3929.31</w:t>
      </w:r>
      <w:r>
        <w:rPr>
          <w:rFonts w:hint="eastAsia" w:ascii="仿宋" w:hAnsi="仿宋" w:eastAsia="仿宋" w:cs="仿宋"/>
          <w:sz w:val="32"/>
          <w:szCs w:val="32"/>
        </w:rPr>
        <w:t>万元，预算调整率为</w:t>
      </w:r>
      <w:r>
        <w:rPr>
          <w:rFonts w:hint="eastAsia" w:ascii="仿宋" w:hAnsi="仿宋" w:eastAsia="仿宋" w:cs="仿宋"/>
          <w:sz w:val="32"/>
          <w:szCs w:val="32"/>
          <w:lang w:val="en-US" w:eastAsia="zh-CN"/>
        </w:rPr>
        <w:t>154.97</w:t>
      </w:r>
      <w:r>
        <w:rPr>
          <w:rFonts w:ascii="仿宋" w:hAnsi="仿宋" w:eastAsia="仿宋" w:cs="仿宋"/>
          <w:sz w:val="32"/>
          <w:szCs w:val="32"/>
        </w:rPr>
        <w:t>%</w:t>
      </w:r>
      <w:r>
        <w:rPr>
          <w:rFonts w:hint="eastAsia" w:ascii="仿宋" w:hAnsi="仿宋" w:eastAsia="仿宋" w:cs="仿宋"/>
          <w:sz w:val="32"/>
          <w:szCs w:val="32"/>
          <w:lang w:val="en-US" w:eastAsia="zh-CN"/>
        </w:rPr>
        <w:t>.</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“三公经费”控制率</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2022</w:t>
      </w:r>
      <w:r>
        <w:rPr>
          <w:rFonts w:hint="eastAsia" w:ascii="仿宋" w:hAnsi="仿宋" w:eastAsia="仿宋" w:cs="仿宋"/>
          <w:sz w:val="32"/>
          <w:szCs w:val="32"/>
        </w:rPr>
        <w:t>年“三公经费”</w:t>
      </w:r>
      <w:r>
        <w:rPr>
          <w:rFonts w:ascii="仿宋" w:hAnsi="仿宋" w:eastAsia="仿宋" w:cs="仿宋"/>
          <w:sz w:val="32"/>
          <w:szCs w:val="32"/>
        </w:rPr>
        <w:t xml:space="preserve"> </w:t>
      </w:r>
      <w:r>
        <w:rPr>
          <w:rFonts w:hint="eastAsia" w:ascii="仿宋" w:hAnsi="仿宋" w:eastAsia="仿宋" w:cs="仿宋"/>
          <w:sz w:val="32"/>
          <w:szCs w:val="32"/>
        </w:rPr>
        <w:t>预算安排数为</w:t>
      </w:r>
      <w:r>
        <w:rPr>
          <w:rFonts w:ascii="仿宋" w:hAnsi="仿宋" w:eastAsia="仿宋" w:cs="仿宋"/>
          <w:sz w:val="32"/>
          <w:szCs w:val="32"/>
        </w:rPr>
        <w:t>7.00</w:t>
      </w:r>
      <w:r>
        <w:rPr>
          <w:rFonts w:hint="eastAsia" w:ascii="仿宋" w:hAnsi="仿宋" w:eastAsia="仿宋" w:cs="仿宋"/>
          <w:sz w:val="32"/>
          <w:szCs w:val="32"/>
        </w:rPr>
        <w:t>万元，“三公经费”实际支出数</w:t>
      </w:r>
      <w:r>
        <w:rPr>
          <w:rFonts w:ascii="仿宋" w:hAnsi="仿宋" w:eastAsia="仿宋" w:cs="仿宋"/>
          <w:sz w:val="32"/>
          <w:szCs w:val="32"/>
        </w:rPr>
        <w:t>0.20</w:t>
      </w:r>
      <w:r>
        <w:rPr>
          <w:rFonts w:hint="eastAsia" w:ascii="仿宋" w:hAnsi="仿宋" w:eastAsia="仿宋" w:cs="仿宋"/>
          <w:sz w:val="32"/>
          <w:szCs w:val="32"/>
        </w:rPr>
        <w:t>万元，“三公经费”控制率为</w:t>
      </w:r>
      <w:r>
        <w:rPr>
          <w:rFonts w:ascii="仿宋" w:hAnsi="仿宋" w:eastAsia="仿宋" w:cs="仿宋"/>
          <w:sz w:val="32"/>
          <w:szCs w:val="32"/>
        </w:rPr>
        <w:t>2.86%</w:t>
      </w:r>
      <w:r>
        <w:rPr>
          <w:rFonts w:hint="eastAsia" w:ascii="仿宋" w:hAnsi="仿宋" w:eastAsia="仿宋" w:cs="仿宋"/>
          <w:sz w:val="32"/>
          <w:szCs w:val="32"/>
        </w:rPr>
        <w:t>。</w:t>
      </w:r>
      <w:r>
        <w:rPr>
          <w:rFonts w:ascii="仿宋" w:hAnsi="仿宋" w:eastAsia="仿宋" w:cs="仿宋"/>
          <w:sz w:val="32"/>
          <w:szCs w:val="32"/>
        </w:rPr>
        <w:t>2021</w:t>
      </w:r>
      <w:r>
        <w:rPr>
          <w:rFonts w:hint="eastAsia" w:ascii="仿宋" w:hAnsi="仿宋" w:eastAsia="仿宋" w:cs="仿宋"/>
          <w:sz w:val="32"/>
          <w:szCs w:val="32"/>
        </w:rPr>
        <w:t>年“三公经费”决算金额为</w:t>
      </w:r>
      <w:r>
        <w:rPr>
          <w:rFonts w:ascii="仿宋" w:hAnsi="仿宋" w:eastAsia="仿宋" w:cs="仿宋"/>
          <w:sz w:val="32"/>
          <w:szCs w:val="32"/>
        </w:rPr>
        <w:t>0.00</w:t>
      </w:r>
      <w:r>
        <w:rPr>
          <w:rFonts w:hint="eastAsia" w:ascii="仿宋" w:hAnsi="仿宋" w:eastAsia="仿宋" w:cs="仿宋"/>
          <w:sz w:val="32"/>
          <w:szCs w:val="32"/>
        </w:rPr>
        <w:t>元。“三公经费”控制率为</w:t>
      </w:r>
      <w:r>
        <w:rPr>
          <w:rFonts w:ascii="仿宋" w:hAnsi="仿宋" w:eastAsia="仿宋" w:cs="仿宋"/>
          <w:sz w:val="32"/>
          <w:szCs w:val="32"/>
        </w:rPr>
        <w:t>2.86%</w:t>
      </w:r>
      <w:r>
        <w:rPr>
          <w:rFonts w:hint="eastAsia" w:ascii="仿宋" w:hAnsi="仿宋" w:eastAsia="仿宋" w:cs="仿宋"/>
          <w:sz w:val="32"/>
          <w:szCs w:val="32"/>
        </w:rPr>
        <w:t>，不超本年预算且不超上年预算。</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政府采购执行率</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2022</w:t>
      </w:r>
      <w:r>
        <w:rPr>
          <w:rFonts w:hint="eastAsia" w:ascii="仿宋" w:hAnsi="仿宋" w:eastAsia="仿宋" w:cs="仿宋"/>
          <w:sz w:val="32"/>
          <w:szCs w:val="32"/>
        </w:rPr>
        <w:t>年政府采购金额</w:t>
      </w:r>
      <w:r>
        <w:rPr>
          <w:rFonts w:ascii="仿宋" w:hAnsi="仿宋" w:eastAsia="仿宋" w:cs="仿宋"/>
          <w:sz w:val="32"/>
          <w:szCs w:val="32"/>
        </w:rPr>
        <w:t>343.57</w:t>
      </w:r>
      <w:r>
        <w:rPr>
          <w:rFonts w:hint="eastAsia" w:ascii="仿宋" w:hAnsi="仿宋" w:eastAsia="仿宋" w:cs="仿宋"/>
          <w:sz w:val="32"/>
          <w:szCs w:val="32"/>
        </w:rPr>
        <w:t>万元，政府采购预算数为</w:t>
      </w:r>
    </w:p>
    <w:p>
      <w:pPr>
        <w:spacing w:line="360" w:lineRule="auto"/>
        <w:rPr>
          <w:rFonts w:ascii="仿宋" w:hAnsi="仿宋" w:eastAsia="仿宋" w:cs="Times New Roman"/>
          <w:sz w:val="32"/>
          <w:szCs w:val="32"/>
        </w:rPr>
      </w:pPr>
      <w:r>
        <w:rPr>
          <w:rFonts w:ascii="仿宋" w:hAnsi="仿宋" w:eastAsia="仿宋" w:cs="仿宋"/>
          <w:sz w:val="32"/>
          <w:szCs w:val="32"/>
        </w:rPr>
        <w:t>330</w:t>
      </w:r>
      <w:r>
        <w:rPr>
          <w:rFonts w:hint="eastAsia" w:ascii="仿宋" w:hAnsi="仿宋" w:eastAsia="仿宋" w:cs="仿宋"/>
          <w:sz w:val="32"/>
          <w:szCs w:val="32"/>
        </w:rPr>
        <w:t>万元，政府采购执行率为</w:t>
      </w:r>
      <w:r>
        <w:rPr>
          <w:rFonts w:ascii="仿宋" w:hAnsi="仿宋" w:eastAsia="仿宋" w:cs="仿宋"/>
          <w:sz w:val="32"/>
          <w:szCs w:val="32"/>
        </w:rPr>
        <w:t>104.11%</w:t>
      </w:r>
      <w:r>
        <w:rPr>
          <w:rFonts w:hint="eastAsia" w:ascii="仿宋" w:hAnsi="仿宋" w:eastAsia="仿宋" w:cs="仿宋"/>
          <w:sz w:val="32"/>
          <w:szCs w:val="32"/>
        </w:rPr>
        <w:t>。</w:t>
      </w:r>
    </w:p>
    <w:p>
      <w:pPr>
        <w:spacing w:line="360" w:lineRule="auto"/>
        <w:ind w:firstLine="640" w:firstLineChars="200"/>
        <w:outlineLvl w:val="1"/>
        <w:rPr>
          <w:rFonts w:ascii="仿宋" w:hAnsi="仿宋" w:eastAsia="仿宋" w:cs="Times New Roman"/>
          <w:sz w:val="32"/>
          <w:szCs w:val="32"/>
        </w:rPr>
      </w:pPr>
      <w:r>
        <w:rPr>
          <w:rFonts w:hint="eastAsia" w:ascii="仿宋" w:hAnsi="仿宋" w:eastAsia="仿宋" w:cs="仿宋"/>
          <w:sz w:val="32"/>
          <w:szCs w:val="32"/>
        </w:rPr>
        <w:t>（四）预算管理评价</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管理制度健全情况</w:t>
      </w:r>
    </w:p>
    <w:p>
      <w:pPr>
        <w:spacing w:line="360" w:lineRule="auto"/>
        <w:ind w:firstLine="640" w:firstLineChars="200"/>
        <w:rPr>
          <w:rFonts w:ascii="仿宋" w:hAnsi="仿宋" w:eastAsia="仿宋" w:cs="Times New Roman"/>
          <w:sz w:val="32"/>
          <w:szCs w:val="32"/>
        </w:rPr>
      </w:pPr>
      <w:r>
        <w:rPr>
          <w:rFonts w:hint="eastAsia" w:ascii="仿宋" w:hAnsi="仿宋" w:eastAsia="仿宋" w:cs="仿宋"/>
          <w:sz w:val="32"/>
          <w:szCs w:val="32"/>
        </w:rPr>
        <w:t>街道有健全的各项管理制度，各项支出严格按照《星沙街道资金管理办法》、《星沙街道政府采购办法》、《星沙街道财经审批制度》、《星沙街道内部控制制度》、《星沙街道预算管理制度》执行，确保财政收支预算执行取得良好的实施效果。</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资金使用合规性</w:t>
      </w:r>
    </w:p>
    <w:p>
      <w:pPr>
        <w:spacing w:line="360" w:lineRule="auto"/>
        <w:ind w:firstLine="640" w:firstLineChars="200"/>
        <w:rPr>
          <w:rFonts w:ascii="仿宋" w:hAnsi="仿宋" w:eastAsia="仿宋_GB2312" w:cs="Times New Roman"/>
          <w:sz w:val="32"/>
          <w:szCs w:val="32"/>
        </w:rPr>
      </w:pPr>
      <w:r>
        <w:rPr>
          <w:rFonts w:hint="eastAsia" w:ascii="仿宋" w:hAnsi="仿宋" w:eastAsia="仿宋" w:cs="仿宋"/>
          <w:sz w:val="32"/>
          <w:szCs w:val="32"/>
        </w:rPr>
        <w:t>资金使用严格按照国家财经法规和财务管理制度的规定，根据计划安排在预算范围内合理支出。资金拨付有完整的审批程序，确保资金使用合规，资金使用无截留、挤占、挪用、虚列支出等情况</w:t>
      </w:r>
      <w:r>
        <w:rPr>
          <w:rFonts w:hint="eastAsia" w:ascii="仿宋_GB2312" w:hAnsi="仿宋_GB2312" w:eastAsia="仿宋_GB2312" w:cs="仿宋_GB2312"/>
          <w:sz w:val="32"/>
          <w:szCs w:val="32"/>
        </w:rPr>
        <w:t>。</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预决算公开性</w:t>
      </w:r>
    </w:p>
    <w:p>
      <w:pPr>
        <w:spacing w:line="360" w:lineRule="auto"/>
        <w:ind w:firstLine="640" w:firstLineChars="200"/>
        <w:rPr>
          <w:rFonts w:ascii="仿宋" w:hAnsi="仿宋" w:eastAsia="仿宋" w:cs="Times New Roman"/>
          <w:sz w:val="32"/>
          <w:szCs w:val="32"/>
        </w:rPr>
      </w:pPr>
      <w:r>
        <w:rPr>
          <w:rFonts w:hint="eastAsia" w:ascii="仿宋" w:hAnsi="仿宋" w:eastAsia="仿宋" w:cs="仿宋"/>
          <w:sz w:val="32"/>
          <w:szCs w:val="32"/>
        </w:rPr>
        <w:t>街道根据政府信息公开有关规定，及时在县人民政府门户网站上按规定时限、规定内容公开预决算信息，保证基础数据信息和会计信息资料真实、完整。</w:t>
      </w:r>
    </w:p>
    <w:p>
      <w:pPr>
        <w:spacing w:line="360" w:lineRule="auto"/>
        <w:ind w:firstLine="640" w:firstLineChars="200"/>
        <w:outlineLvl w:val="1"/>
        <w:rPr>
          <w:rFonts w:ascii="仿宋" w:hAnsi="仿宋" w:eastAsia="仿宋" w:cs="Times New Roman"/>
          <w:sz w:val="32"/>
          <w:szCs w:val="32"/>
        </w:rPr>
      </w:pPr>
      <w:r>
        <w:rPr>
          <w:rFonts w:hint="eastAsia" w:ascii="仿宋" w:hAnsi="仿宋" w:eastAsia="仿宋" w:cs="仿宋"/>
          <w:sz w:val="32"/>
          <w:szCs w:val="32"/>
        </w:rPr>
        <w:t>（五）部门项目组织实施情况</w:t>
      </w:r>
    </w:p>
    <w:p>
      <w:pPr>
        <w:spacing w:line="360" w:lineRule="auto"/>
        <w:ind w:firstLine="640" w:firstLineChars="200"/>
        <w:outlineLvl w:val="2"/>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项目组织情况分析</w:t>
      </w:r>
    </w:p>
    <w:p>
      <w:pPr>
        <w:spacing w:line="360" w:lineRule="auto"/>
        <w:ind w:firstLine="640" w:firstLineChars="200"/>
        <w:rPr>
          <w:rFonts w:ascii="仿宋" w:hAnsi="仿宋" w:eastAsia="仿宋" w:cs="Times New Roman"/>
          <w:sz w:val="32"/>
          <w:szCs w:val="32"/>
          <w:highlight w:val="yellow"/>
        </w:rPr>
      </w:pPr>
      <w:r>
        <w:rPr>
          <w:rFonts w:hint="eastAsia" w:ascii="仿宋" w:hAnsi="仿宋" w:eastAsia="仿宋" w:cs="仿宋"/>
          <w:sz w:val="32"/>
          <w:szCs w:val="32"/>
        </w:rPr>
        <w:t>为加强项目资金的管理，街道项目的开展实施严格按照《长沙县财政投资评价管理办法（试行）》及相关招投标法律法规执行，实行公开、公平竞争。项目建设工作由党政会议集体研究决定，由分管领导具体负责实施，按照相关程序组织开展，确保资金发挥最优效能。</w:t>
      </w:r>
    </w:p>
    <w:p>
      <w:pPr>
        <w:spacing w:line="360" w:lineRule="auto"/>
        <w:ind w:firstLine="640" w:firstLineChars="200"/>
        <w:outlineLvl w:val="2"/>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项目管理情况分析</w:t>
      </w:r>
    </w:p>
    <w:p>
      <w:pPr>
        <w:spacing w:line="360" w:lineRule="auto"/>
        <w:ind w:firstLine="640" w:firstLineChars="200"/>
        <w:rPr>
          <w:rFonts w:ascii="仿宋" w:hAnsi="仿宋" w:eastAsia="仿宋" w:cs="Times New Roman"/>
          <w:sz w:val="32"/>
          <w:szCs w:val="32"/>
          <w:highlight w:val="yellow"/>
        </w:rPr>
      </w:pPr>
      <w:r>
        <w:rPr>
          <w:rFonts w:hint="eastAsia" w:ascii="仿宋" w:hAnsi="仿宋" w:eastAsia="仿宋" w:cs="仿宋"/>
          <w:sz w:val="32"/>
          <w:szCs w:val="32"/>
        </w:rPr>
        <w:t>所有项目统一实行专项管理，严格按照相关制度执行，用制度约束每个项目的实施过程，同时加强对项目的监督管理，实时跟踪项目进度，对发现的问题及时提出整改，确保每个项目能够按时按质交付。</w:t>
      </w:r>
    </w:p>
    <w:p>
      <w:pPr>
        <w:spacing w:line="360" w:lineRule="auto"/>
        <w:ind w:firstLine="640" w:firstLineChars="200"/>
        <w:outlineLvl w:val="1"/>
        <w:rPr>
          <w:rFonts w:ascii="仿宋" w:hAnsi="仿宋" w:eastAsia="仿宋" w:cs="Times New Roman"/>
          <w:sz w:val="32"/>
          <w:szCs w:val="32"/>
        </w:rPr>
      </w:pPr>
      <w:r>
        <w:rPr>
          <w:rFonts w:hint="eastAsia" w:ascii="仿宋" w:hAnsi="仿宋" w:eastAsia="仿宋" w:cs="仿宋"/>
          <w:sz w:val="32"/>
          <w:szCs w:val="32"/>
        </w:rPr>
        <w:t>（六）资产管理情况</w:t>
      </w:r>
    </w:p>
    <w:p>
      <w:pPr>
        <w:spacing w:line="360" w:lineRule="auto"/>
        <w:ind w:firstLine="640" w:firstLineChars="200"/>
        <w:rPr>
          <w:rFonts w:ascii="仿宋" w:hAnsi="仿宋" w:eastAsia="仿宋" w:cs="Times New Roman"/>
          <w:sz w:val="32"/>
          <w:szCs w:val="32"/>
          <w:highlight w:val="yellow"/>
        </w:rPr>
      </w:pPr>
      <w:r>
        <w:rPr>
          <w:rFonts w:ascii="仿宋" w:hAnsi="仿宋" w:eastAsia="仿宋" w:cs="仿宋"/>
          <w:sz w:val="32"/>
          <w:szCs w:val="32"/>
        </w:rPr>
        <w:t>2022</w:t>
      </w:r>
      <w:r>
        <w:rPr>
          <w:rFonts w:hint="eastAsia" w:ascii="仿宋" w:hAnsi="仿宋" w:eastAsia="仿宋" w:cs="仿宋"/>
          <w:sz w:val="32"/>
          <w:szCs w:val="32"/>
        </w:rPr>
        <w:t>年星沙街道固定资产合计</w:t>
      </w:r>
      <w:r>
        <w:rPr>
          <w:rFonts w:ascii="仿宋" w:hAnsi="仿宋" w:eastAsia="仿宋" w:cs="仿宋"/>
          <w:sz w:val="32"/>
          <w:szCs w:val="32"/>
        </w:rPr>
        <w:t>10,399.74</w:t>
      </w:r>
      <w:r>
        <w:rPr>
          <w:rFonts w:hint="eastAsia" w:ascii="仿宋" w:hAnsi="仿宋" w:eastAsia="仿宋" w:cs="仿宋"/>
          <w:sz w:val="32"/>
          <w:szCs w:val="32"/>
        </w:rPr>
        <w:t>万元。街道为更好的保障国有资产完整、完好，确保资产的保值、增值，建立健全了相关资产管理制度，在日常管理中严格按照固定资产管理办法执行，采取统一采购、多人经办的方式严格管理，根据实际需求制定采购计划，严格按规定标准配置固定资产，厉行节约，合理配备。</w:t>
      </w:r>
    </w:p>
    <w:p>
      <w:pPr>
        <w:spacing w:line="360" w:lineRule="auto"/>
        <w:ind w:firstLine="640" w:firstLineChars="200"/>
        <w:jc w:val="left"/>
        <w:outlineLvl w:val="1"/>
        <w:rPr>
          <w:rFonts w:ascii="仿宋" w:hAnsi="仿宋" w:eastAsia="仿宋" w:cs="Times New Roman"/>
          <w:sz w:val="32"/>
          <w:szCs w:val="32"/>
        </w:rPr>
      </w:pPr>
      <w:r>
        <w:rPr>
          <w:rFonts w:hint="eastAsia" w:ascii="仿宋" w:hAnsi="仿宋" w:eastAsia="仿宋" w:cs="仿宋"/>
          <w:sz w:val="32"/>
          <w:szCs w:val="32"/>
        </w:rPr>
        <w:t>（七）职责履行评价</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1.2022</w:t>
      </w:r>
      <w:r>
        <w:rPr>
          <w:rFonts w:hint="eastAsia" w:ascii="仿宋" w:hAnsi="仿宋" w:eastAsia="仿宋" w:cs="仿宋"/>
          <w:sz w:val="32"/>
          <w:szCs w:val="32"/>
        </w:rPr>
        <w:t>年星沙街道</w:t>
      </w:r>
      <w:r>
        <w:rPr>
          <w:rFonts w:hint="eastAsia" w:ascii="仿宋" w:hAnsi="仿宋" w:eastAsia="仿宋" w:cs="仿宋"/>
          <w:snapToGrid w:val="0"/>
          <w:kern w:val="0"/>
          <w:sz w:val="32"/>
          <w:szCs w:val="32"/>
        </w:rPr>
        <w:t>规上工业产值完成</w:t>
      </w:r>
      <w:r>
        <w:rPr>
          <w:rFonts w:ascii="仿宋" w:hAnsi="仿宋" w:eastAsia="仿宋" w:cs="仿宋"/>
          <w:snapToGrid w:val="0"/>
          <w:kern w:val="0"/>
          <w:sz w:val="32"/>
          <w:szCs w:val="32"/>
        </w:rPr>
        <w:t>3.69</w:t>
      </w:r>
      <w:r>
        <w:rPr>
          <w:rFonts w:hint="eastAsia" w:ascii="仿宋" w:hAnsi="仿宋" w:eastAsia="仿宋" w:cs="仿宋"/>
          <w:snapToGrid w:val="0"/>
          <w:kern w:val="0"/>
          <w:sz w:val="32"/>
          <w:szCs w:val="32"/>
        </w:rPr>
        <w:t>亿元，规下工业产值完成</w:t>
      </w:r>
      <w:r>
        <w:rPr>
          <w:rFonts w:ascii="仿宋" w:hAnsi="仿宋" w:eastAsia="仿宋" w:cs="仿宋"/>
          <w:snapToGrid w:val="0"/>
          <w:kern w:val="0"/>
          <w:sz w:val="32"/>
          <w:szCs w:val="32"/>
        </w:rPr>
        <w:t>30.5</w:t>
      </w:r>
      <w:r>
        <w:rPr>
          <w:rFonts w:hint="eastAsia" w:ascii="仿宋" w:hAnsi="仿宋" w:eastAsia="仿宋" w:cs="仿宋"/>
          <w:snapToGrid w:val="0"/>
          <w:kern w:val="0"/>
          <w:sz w:val="32"/>
          <w:szCs w:val="32"/>
        </w:rPr>
        <w:t>万元，社会消费品零售总额完成</w:t>
      </w:r>
      <w:r>
        <w:rPr>
          <w:rFonts w:ascii="仿宋" w:hAnsi="仿宋" w:eastAsia="仿宋" w:cs="仿宋"/>
          <w:snapToGrid w:val="0"/>
          <w:kern w:val="0"/>
          <w:sz w:val="32"/>
          <w:szCs w:val="32"/>
        </w:rPr>
        <w:t>26.1</w:t>
      </w:r>
      <w:r>
        <w:rPr>
          <w:rFonts w:hint="eastAsia" w:ascii="仿宋" w:hAnsi="仿宋" w:eastAsia="仿宋" w:cs="仿宋"/>
          <w:snapToGrid w:val="0"/>
          <w:kern w:val="0"/>
          <w:sz w:val="32"/>
          <w:szCs w:val="32"/>
        </w:rPr>
        <w:t>亿元，同比增长分别达</w:t>
      </w:r>
      <w:r>
        <w:rPr>
          <w:rFonts w:ascii="仿宋" w:hAnsi="仿宋" w:eastAsia="仿宋" w:cs="仿宋"/>
          <w:snapToGrid w:val="0"/>
          <w:kern w:val="0"/>
          <w:sz w:val="32"/>
          <w:szCs w:val="32"/>
        </w:rPr>
        <w:t>13.2%</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66.67%</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22%</w:t>
      </w:r>
      <w:r>
        <w:rPr>
          <w:rFonts w:hint="eastAsia" w:ascii="仿宋" w:hAnsi="仿宋" w:eastAsia="仿宋" w:cs="仿宋"/>
          <w:snapToGrid w:val="0"/>
          <w:kern w:val="0"/>
          <w:sz w:val="32"/>
          <w:szCs w:val="32"/>
        </w:rPr>
        <w:t>，远超预期目标。地方一般公共预算收入</w:t>
      </w:r>
      <w:r>
        <w:rPr>
          <w:rFonts w:ascii="仿宋" w:hAnsi="仿宋" w:eastAsia="仿宋" w:cs="仿宋"/>
          <w:snapToGrid w:val="0"/>
          <w:kern w:val="0"/>
          <w:sz w:val="32"/>
          <w:szCs w:val="32"/>
        </w:rPr>
        <w:t>45,690</w:t>
      </w:r>
      <w:r>
        <w:rPr>
          <w:rFonts w:hint="eastAsia" w:ascii="仿宋" w:hAnsi="仿宋" w:eastAsia="仿宋" w:cs="仿宋"/>
          <w:snapToGrid w:val="0"/>
          <w:kern w:val="0"/>
          <w:sz w:val="32"/>
          <w:szCs w:val="32"/>
        </w:rPr>
        <w:t>万元，固定资产投资完成</w:t>
      </w:r>
      <w:r>
        <w:rPr>
          <w:rFonts w:ascii="仿宋" w:hAnsi="仿宋" w:eastAsia="仿宋" w:cs="仿宋"/>
          <w:snapToGrid w:val="0"/>
          <w:kern w:val="0"/>
          <w:sz w:val="32"/>
          <w:szCs w:val="32"/>
        </w:rPr>
        <w:t>90.8</w:t>
      </w:r>
      <w:r>
        <w:rPr>
          <w:rFonts w:hint="eastAsia" w:ascii="仿宋" w:hAnsi="仿宋" w:eastAsia="仿宋" w:cs="仿宋"/>
          <w:snapToGrid w:val="0"/>
          <w:kern w:val="0"/>
          <w:sz w:val="32"/>
          <w:szCs w:val="32"/>
        </w:rPr>
        <w:t>亿元，外贸进出口额完成</w:t>
      </w:r>
      <w:r>
        <w:rPr>
          <w:rFonts w:ascii="仿宋" w:hAnsi="仿宋" w:eastAsia="仿宋" w:cs="仿宋"/>
          <w:snapToGrid w:val="0"/>
          <w:kern w:val="0"/>
          <w:sz w:val="32"/>
          <w:szCs w:val="32"/>
        </w:rPr>
        <w:t>30.8</w:t>
      </w:r>
      <w:r>
        <w:rPr>
          <w:rFonts w:hint="eastAsia" w:ascii="仿宋" w:hAnsi="仿宋" w:eastAsia="仿宋" w:cs="仿宋"/>
          <w:snapToGrid w:val="0"/>
          <w:kern w:val="0"/>
          <w:sz w:val="32"/>
          <w:szCs w:val="32"/>
        </w:rPr>
        <w:t>亿元，均达成年度任务指标。</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星沙街道</w:t>
      </w:r>
      <w:r>
        <w:rPr>
          <w:rFonts w:ascii="仿宋" w:hAnsi="仿宋" w:eastAsia="仿宋" w:cs="仿宋"/>
          <w:sz w:val="32"/>
          <w:szCs w:val="32"/>
        </w:rPr>
        <w:t>2022</w:t>
      </w:r>
      <w:r>
        <w:rPr>
          <w:rFonts w:hint="eastAsia" w:ascii="仿宋" w:hAnsi="仿宋" w:eastAsia="仿宋" w:cs="仿宋"/>
          <w:sz w:val="32"/>
          <w:szCs w:val="32"/>
        </w:rPr>
        <w:t>年共申报市重大项目</w:t>
      </w:r>
      <w:r>
        <w:rPr>
          <w:rFonts w:ascii="仿宋" w:hAnsi="仿宋" w:eastAsia="仿宋" w:cs="仿宋"/>
          <w:sz w:val="32"/>
          <w:szCs w:val="32"/>
        </w:rPr>
        <w:t>15</w:t>
      </w:r>
      <w:r>
        <w:rPr>
          <w:rFonts w:hint="eastAsia" w:ascii="仿宋" w:hAnsi="仿宋" w:eastAsia="仿宋" w:cs="仿宋"/>
          <w:sz w:val="32"/>
          <w:szCs w:val="32"/>
        </w:rPr>
        <w:t>个，总投资逾</w:t>
      </w:r>
      <w:r>
        <w:rPr>
          <w:rFonts w:ascii="仿宋" w:hAnsi="仿宋" w:eastAsia="仿宋" w:cs="仿宋"/>
          <w:sz w:val="32"/>
          <w:szCs w:val="32"/>
        </w:rPr>
        <w:t>300</w:t>
      </w:r>
      <w:r>
        <w:rPr>
          <w:rFonts w:hint="eastAsia" w:ascii="仿宋" w:hAnsi="仿宋" w:eastAsia="仿宋" w:cs="仿宋"/>
          <w:sz w:val="32"/>
          <w:szCs w:val="32"/>
        </w:rPr>
        <w:t>亿元，所有项目按序时进度稳步推进。</w:t>
      </w:r>
      <w:r>
        <w:rPr>
          <w:rFonts w:ascii="仿宋" w:hAnsi="仿宋" w:eastAsia="仿宋" w:cs="仿宋"/>
          <w:sz w:val="32"/>
          <w:szCs w:val="32"/>
        </w:rPr>
        <w:t>2022</w:t>
      </w:r>
      <w:r>
        <w:rPr>
          <w:rFonts w:hint="eastAsia" w:ascii="仿宋" w:hAnsi="仿宋" w:eastAsia="仿宋" w:cs="仿宋"/>
          <w:sz w:val="32"/>
          <w:szCs w:val="32"/>
        </w:rPr>
        <w:t>年计划投资</w:t>
      </w:r>
      <w:r>
        <w:rPr>
          <w:rFonts w:ascii="仿宋" w:hAnsi="仿宋" w:eastAsia="仿宋" w:cs="仿宋"/>
          <w:sz w:val="32"/>
          <w:szCs w:val="32"/>
        </w:rPr>
        <w:t>40.6</w:t>
      </w:r>
      <w:r>
        <w:rPr>
          <w:rFonts w:hint="eastAsia" w:ascii="仿宋" w:hAnsi="仿宋" w:eastAsia="仿宋" w:cs="仿宋"/>
          <w:sz w:val="32"/>
          <w:szCs w:val="32"/>
        </w:rPr>
        <w:t>亿元，完成投资额</w:t>
      </w:r>
      <w:r>
        <w:rPr>
          <w:rFonts w:ascii="仿宋" w:hAnsi="仿宋" w:eastAsia="仿宋" w:cs="仿宋"/>
          <w:sz w:val="32"/>
          <w:szCs w:val="32"/>
        </w:rPr>
        <w:t>86.23</w:t>
      </w:r>
      <w:r>
        <w:rPr>
          <w:rFonts w:hint="eastAsia" w:ascii="仿宋" w:hAnsi="仿宋" w:eastAsia="仿宋" w:cs="仿宋"/>
          <w:sz w:val="32"/>
          <w:szCs w:val="32"/>
        </w:rPr>
        <w:t>亿元（含五矿万境雅院）左右，完成全年计划的</w:t>
      </w:r>
      <w:r>
        <w:rPr>
          <w:rFonts w:ascii="仿宋" w:hAnsi="仿宋" w:eastAsia="仿宋" w:cs="仿宋"/>
          <w:sz w:val="32"/>
          <w:szCs w:val="32"/>
        </w:rPr>
        <w:t>212.39%</w:t>
      </w:r>
      <w:r>
        <w:rPr>
          <w:rFonts w:hint="eastAsia" w:ascii="仿宋" w:hAnsi="仿宋" w:eastAsia="仿宋" w:cs="仿宋"/>
          <w:sz w:val="32"/>
          <w:szCs w:val="32"/>
        </w:rPr>
        <w:t>。</w:t>
      </w:r>
    </w:p>
    <w:p>
      <w:pPr>
        <w:spacing w:line="360" w:lineRule="auto"/>
        <w:ind w:firstLine="640" w:firstLineChars="200"/>
        <w:rPr>
          <w:rFonts w:ascii="仿宋" w:hAnsi="仿宋" w:eastAsia="仿宋" w:cs="Times New Roman"/>
          <w:sz w:val="32"/>
          <w:szCs w:val="32"/>
          <w:highlight w:val="yellow"/>
        </w:rPr>
      </w:pPr>
      <w:r>
        <w:rPr>
          <w:rFonts w:ascii="仿宋" w:hAnsi="仿宋" w:eastAsia="仿宋" w:cs="仿宋"/>
          <w:sz w:val="32"/>
          <w:szCs w:val="32"/>
        </w:rPr>
        <w:t>3.</w:t>
      </w:r>
      <w:r>
        <w:rPr>
          <w:rFonts w:hint="eastAsia" w:ascii="仿宋" w:hAnsi="仿宋" w:eastAsia="仿宋" w:cs="仿宋"/>
          <w:sz w:val="32"/>
          <w:szCs w:val="32"/>
        </w:rPr>
        <w:t>围绕“一湖一带一圈一链”发展体系，充分发挥城区优势，不断丰富楼宇经济业态。道道全总部、星大总部、新长海发展集团总部等项目招商引资逐个落地；世景国际广场企业服务中心、君尚购物中心成功签约，形成“以楼聚产、以产兴城”局面。辖区已认定的高新技术企业达</w:t>
      </w:r>
      <w:r>
        <w:rPr>
          <w:rFonts w:ascii="仿宋" w:hAnsi="仿宋" w:eastAsia="仿宋" w:cs="仿宋"/>
          <w:sz w:val="32"/>
          <w:szCs w:val="32"/>
        </w:rPr>
        <w:t>65</w:t>
      </w:r>
      <w:r>
        <w:rPr>
          <w:rFonts w:hint="eastAsia" w:ascii="仿宋" w:hAnsi="仿宋" w:eastAsia="仿宋" w:cs="仿宋"/>
          <w:sz w:val="32"/>
          <w:szCs w:val="32"/>
        </w:rPr>
        <w:t>家，科技型中小型企业</w:t>
      </w:r>
      <w:r>
        <w:rPr>
          <w:rFonts w:ascii="仿宋" w:hAnsi="仿宋" w:eastAsia="仿宋" w:cs="仿宋"/>
          <w:sz w:val="32"/>
          <w:szCs w:val="32"/>
        </w:rPr>
        <w:t>68</w:t>
      </w:r>
      <w:r>
        <w:rPr>
          <w:rFonts w:hint="eastAsia" w:ascii="仿宋" w:hAnsi="仿宋" w:eastAsia="仿宋" w:cs="仿宋"/>
          <w:sz w:val="32"/>
          <w:szCs w:val="32"/>
        </w:rPr>
        <w:t>家，创新动能持续激发；协调为</w:t>
      </w:r>
      <w:r>
        <w:rPr>
          <w:rFonts w:ascii="仿宋" w:hAnsi="仿宋" w:eastAsia="仿宋" w:cs="仿宋"/>
          <w:sz w:val="32"/>
          <w:szCs w:val="32"/>
        </w:rPr>
        <w:t>25</w:t>
      </w:r>
      <w:r>
        <w:rPr>
          <w:rFonts w:hint="eastAsia" w:ascii="仿宋" w:hAnsi="仿宋" w:eastAsia="仿宋" w:cs="仿宋"/>
          <w:sz w:val="32"/>
          <w:szCs w:val="32"/>
        </w:rPr>
        <w:t>家民营企业放款</w:t>
      </w:r>
      <w:r>
        <w:rPr>
          <w:rFonts w:ascii="仿宋" w:hAnsi="仿宋" w:eastAsia="仿宋" w:cs="仿宋"/>
          <w:sz w:val="32"/>
          <w:szCs w:val="32"/>
        </w:rPr>
        <w:t>1,713</w:t>
      </w:r>
      <w:r>
        <w:rPr>
          <w:rFonts w:hint="eastAsia" w:ascii="仿宋" w:hAnsi="仿宋" w:eastAsia="仿宋" w:cs="仿宋"/>
          <w:sz w:val="32"/>
          <w:szCs w:val="32"/>
        </w:rPr>
        <w:t>万元，疫后帮扶工作到底到边。</w:t>
      </w:r>
    </w:p>
    <w:p>
      <w:pPr>
        <w:spacing w:line="360" w:lineRule="auto"/>
        <w:ind w:firstLine="640" w:firstLineChars="200"/>
        <w:rPr>
          <w:rFonts w:ascii="仿宋" w:hAnsi="仿宋" w:eastAsia="仿宋" w:cs="Times New Roman"/>
          <w:sz w:val="32"/>
          <w:szCs w:val="32"/>
          <w:highlight w:val="yellow"/>
        </w:rPr>
      </w:pPr>
      <w:r>
        <w:rPr>
          <w:rFonts w:ascii="仿宋" w:hAnsi="仿宋" w:eastAsia="仿宋" w:cs="仿宋"/>
          <w:sz w:val="32"/>
          <w:szCs w:val="32"/>
        </w:rPr>
        <w:t>4.</w:t>
      </w:r>
      <w:r>
        <w:rPr>
          <w:rFonts w:hint="eastAsia" w:ascii="仿宋" w:hAnsi="仿宋" w:eastAsia="仿宋" w:cs="仿宋"/>
          <w:snapToGrid w:val="0"/>
          <w:kern w:val="0"/>
          <w:sz w:val="32"/>
          <w:szCs w:val="32"/>
        </w:rPr>
        <w:t>以“四进四查五到位强基保安”行动为主要抓手，深入开展安全生产大检查“百日攻坚”行动。修订完善《星沙街道领导带队检查安全生产工作方案》，全体党政带队检查生产经营单位</w:t>
      </w:r>
      <w:r>
        <w:rPr>
          <w:rFonts w:ascii="仿宋" w:hAnsi="仿宋" w:eastAsia="仿宋" w:cs="仿宋"/>
          <w:snapToGrid w:val="0"/>
          <w:kern w:val="0"/>
          <w:sz w:val="32"/>
          <w:szCs w:val="32"/>
        </w:rPr>
        <w:t>212</w:t>
      </w:r>
      <w:r>
        <w:rPr>
          <w:rFonts w:hint="eastAsia" w:ascii="仿宋" w:hAnsi="仿宋" w:eastAsia="仿宋" w:cs="仿宋"/>
          <w:snapToGrid w:val="0"/>
          <w:kern w:val="0"/>
          <w:sz w:val="32"/>
          <w:szCs w:val="32"/>
        </w:rPr>
        <w:t>家，发现隐患</w:t>
      </w:r>
      <w:r>
        <w:rPr>
          <w:rFonts w:ascii="仿宋" w:hAnsi="仿宋" w:eastAsia="仿宋" w:cs="仿宋"/>
          <w:snapToGrid w:val="0"/>
          <w:kern w:val="0"/>
          <w:sz w:val="32"/>
          <w:szCs w:val="32"/>
        </w:rPr>
        <w:t>237</w:t>
      </w:r>
      <w:r>
        <w:rPr>
          <w:rFonts w:hint="eastAsia" w:ascii="仿宋" w:hAnsi="仿宋" w:eastAsia="仿宋" w:cs="仿宋"/>
          <w:snapToGrid w:val="0"/>
          <w:kern w:val="0"/>
          <w:sz w:val="32"/>
          <w:szCs w:val="32"/>
        </w:rPr>
        <w:t>条，督促整改</w:t>
      </w:r>
      <w:r>
        <w:rPr>
          <w:rFonts w:ascii="仿宋" w:hAnsi="仿宋" w:eastAsia="仿宋" w:cs="仿宋"/>
          <w:snapToGrid w:val="0"/>
          <w:kern w:val="0"/>
          <w:sz w:val="32"/>
          <w:szCs w:val="32"/>
        </w:rPr>
        <w:t>202</w:t>
      </w:r>
      <w:r>
        <w:rPr>
          <w:rFonts w:hint="eastAsia" w:ascii="仿宋" w:hAnsi="仿宋" w:eastAsia="仿宋" w:cs="仿宋"/>
          <w:snapToGrid w:val="0"/>
          <w:kern w:val="0"/>
          <w:sz w:val="32"/>
          <w:szCs w:val="32"/>
        </w:rPr>
        <w:t>处隐患。全街累计检查生产经营单位</w:t>
      </w:r>
      <w:r>
        <w:rPr>
          <w:rFonts w:ascii="仿宋" w:hAnsi="仿宋" w:eastAsia="仿宋" w:cs="仿宋"/>
          <w:snapToGrid w:val="0"/>
          <w:kern w:val="0"/>
          <w:sz w:val="32"/>
          <w:szCs w:val="32"/>
        </w:rPr>
        <w:t>5068</w:t>
      </w:r>
      <w:r>
        <w:rPr>
          <w:rFonts w:hint="eastAsia" w:ascii="仿宋" w:hAnsi="仿宋" w:eastAsia="仿宋" w:cs="仿宋"/>
          <w:snapToGrid w:val="0"/>
          <w:kern w:val="0"/>
          <w:sz w:val="32"/>
          <w:szCs w:val="32"/>
        </w:rPr>
        <w:t>家，排查发现安全隐患</w:t>
      </w:r>
      <w:r>
        <w:rPr>
          <w:rFonts w:ascii="仿宋" w:hAnsi="仿宋" w:eastAsia="仿宋" w:cs="仿宋"/>
          <w:snapToGrid w:val="0"/>
          <w:kern w:val="0"/>
          <w:sz w:val="32"/>
          <w:szCs w:val="32"/>
        </w:rPr>
        <w:t>7056</w:t>
      </w:r>
      <w:r>
        <w:rPr>
          <w:rFonts w:hint="eastAsia" w:ascii="仿宋" w:hAnsi="仿宋" w:eastAsia="仿宋" w:cs="仿宋"/>
          <w:snapToGrid w:val="0"/>
          <w:kern w:val="0"/>
          <w:sz w:val="32"/>
          <w:szCs w:val="32"/>
        </w:rPr>
        <w:t>处，督促整改</w:t>
      </w:r>
      <w:r>
        <w:rPr>
          <w:rFonts w:ascii="仿宋" w:hAnsi="仿宋" w:eastAsia="仿宋" w:cs="仿宋"/>
          <w:snapToGrid w:val="0"/>
          <w:kern w:val="0"/>
          <w:sz w:val="32"/>
          <w:szCs w:val="32"/>
        </w:rPr>
        <w:t>5334</w:t>
      </w:r>
      <w:r>
        <w:rPr>
          <w:rFonts w:hint="eastAsia" w:ascii="仿宋" w:hAnsi="仿宋" w:eastAsia="仿宋" w:cs="仿宋"/>
          <w:snapToGrid w:val="0"/>
          <w:kern w:val="0"/>
          <w:sz w:val="32"/>
          <w:szCs w:val="32"/>
        </w:rPr>
        <w:t>处。以消防安全为重点，开展“三项专项行动”，共计摸排</w:t>
      </w:r>
      <w:r>
        <w:rPr>
          <w:rFonts w:ascii="仿宋" w:hAnsi="仿宋" w:eastAsia="仿宋" w:cs="仿宋"/>
          <w:snapToGrid w:val="0"/>
          <w:kern w:val="0"/>
          <w:sz w:val="32"/>
          <w:szCs w:val="32"/>
        </w:rPr>
        <w:t>1788</w:t>
      </w:r>
      <w:r>
        <w:rPr>
          <w:rFonts w:hint="eastAsia" w:ascii="仿宋" w:hAnsi="仿宋" w:eastAsia="仿宋" w:cs="仿宋"/>
          <w:snapToGrid w:val="0"/>
          <w:kern w:val="0"/>
          <w:sz w:val="32"/>
          <w:szCs w:val="32"/>
        </w:rPr>
        <w:t>家餐饮商铺，发现燃气隐患问题</w:t>
      </w:r>
      <w:r>
        <w:rPr>
          <w:rFonts w:ascii="仿宋" w:hAnsi="仿宋" w:eastAsia="仿宋" w:cs="仿宋"/>
          <w:snapToGrid w:val="0"/>
          <w:kern w:val="0"/>
          <w:sz w:val="32"/>
          <w:szCs w:val="32"/>
        </w:rPr>
        <w:t>3575</w:t>
      </w:r>
      <w:r>
        <w:rPr>
          <w:rFonts w:hint="eastAsia" w:ascii="仿宋" w:hAnsi="仿宋" w:eastAsia="仿宋" w:cs="仿宋"/>
          <w:snapToGrid w:val="0"/>
          <w:kern w:val="0"/>
          <w:sz w:val="32"/>
          <w:szCs w:val="32"/>
        </w:rPr>
        <w:t>处；摸排门店</w:t>
      </w:r>
      <w:r>
        <w:rPr>
          <w:rFonts w:ascii="仿宋" w:hAnsi="仿宋" w:eastAsia="仿宋" w:cs="仿宋"/>
          <w:snapToGrid w:val="0"/>
          <w:kern w:val="0"/>
          <w:sz w:val="32"/>
          <w:szCs w:val="32"/>
        </w:rPr>
        <w:t>3007</w:t>
      </w:r>
      <w:r>
        <w:rPr>
          <w:rFonts w:hint="eastAsia" w:ascii="仿宋" w:hAnsi="仿宋" w:eastAsia="仿宋" w:cs="仿宋"/>
          <w:snapToGrid w:val="0"/>
          <w:kern w:val="0"/>
          <w:sz w:val="32"/>
          <w:szCs w:val="32"/>
        </w:rPr>
        <w:t>家，发现防火分隔不到位</w:t>
      </w:r>
      <w:r>
        <w:rPr>
          <w:rFonts w:ascii="仿宋" w:hAnsi="仿宋" w:eastAsia="仿宋" w:cs="仿宋"/>
          <w:snapToGrid w:val="0"/>
          <w:kern w:val="0"/>
          <w:sz w:val="32"/>
          <w:szCs w:val="32"/>
        </w:rPr>
        <w:t>846</w:t>
      </w:r>
      <w:r>
        <w:rPr>
          <w:rFonts w:hint="eastAsia" w:ascii="仿宋" w:hAnsi="仿宋" w:eastAsia="仿宋" w:cs="仿宋"/>
          <w:snapToGrid w:val="0"/>
          <w:kern w:val="0"/>
          <w:sz w:val="32"/>
          <w:szCs w:val="32"/>
        </w:rPr>
        <w:t>处，针对发现问题拉单列表，进行专门调度、专项整改，督促企业主体落实整改措施。</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严厉打击电信诈骗、非法传销行为，细致开展综合整治和矛盾化解工作。摸排疑似非法传销窝点</w:t>
      </w:r>
      <w:r>
        <w:rPr>
          <w:rFonts w:ascii="仿宋" w:hAnsi="仿宋" w:eastAsia="仿宋" w:cs="仿宋"/>
          <w:sz w:val="32"/>
          <w:szCs w:val="32"/>
        </w:rPr>
        <w:t>43</w:t>
      </w:r>
      <w:r>
        <w:rPr>
          <w:rFonts w:hint="eastAsia" w:ascii="仿宋" w:hAnsi="仿宋" w:eastAsia="仿宋" w:cs="仿宋"/>
          <w:sz w:val="32"/>
          <w:szCs w:val="32"/>
        </w:rPr>
        <w:t>个，打击传销人员</w:t>
      </w:r>
      <w:r>
        <w:rPr>
          <w:rFonts w:ascii="仿宋" w:hAnsi="仿宋" w:eastAsia="仿宋" w:cs="仿宋"/>
          <w:sz w:val="32"/>
          <w:szCs w:val="32"/>
        </w:rPr>
        <w:t>340</w:t>
      </w:r>
      <w:r>
        <w:rPr>
          <w:rFonts w:hint="eastAsia" w:ascii="仿宋" w:hAnsi="仿宋" w:eastAsia="仿宋" w:cs="仿宋"/>
          <w:sz w:val="32"/>
          <w:szCs w:val="32"/>
        </w:rPr>
        <w:t>余人次，解决综合治理问题</w:t>
      </w:r>
      <w:r>
        <w:rPr>
          <w:rFonts w:ascii="仿宋" w:hAnsi="仿宋" w:eastAsia="仿宋" w:cs="仿宋"/>
          <w:sz w:val="32"/>
          <w:szCs w:val="32"/>
        </w:rPr>
        <w:t>2000</w:t>
      </w:r>
      <w:r>
        <w:rPr>
          <w:rFonts w:hint="eastAsia" w:ascii="仿宋" w:hAnsi="仿宋" w:eastAsia="仿宋" w:cs="仿宋"/>
          <w:sz w:val="32"/>
          <w:szCs w:val="32"/>
        </w:rPr>
        <w:t>余宗，刑事、治安等“八类”警情逐年递减，涉黄赌警情同比下降</w:t>
      </w:r>
      <w:r>
        <w:rPr>
          <w:rFonts w:ascii="仿宋" w:hAnsi="仿宋" w:eastAsia="仿宋" w:cs="仿宋"/>
          <w:sz w:val="32"/>
          <w:szCs w:val="32"/>
        </w:rPr>
        <w:t>38%</w:t>
      </w:r>
      <w:r>
        <w:rPr>
          <w:rFonts w:hint="eastAsia" w:ascii="仿宋" w:hAnsi="仿宋" w:eastAsia="仿宋" w:cs="仿宋"/>
          <w:sz w:val="32"/>
          <w:szCs w:val="32"/>
        </w:rPr>
        <w:t>。组织安全宣传“五进”活动近</w:t>
      </w:r>
      <w:r>
        <w:rPr>
          <w:rFonts w:ascii="仿宋" w:hAnsi="仿宋" w:eastAsia="仿宋" w:cs="仿宋"/>
          <w:sz w:val="32"/>
          <w:szCs w:val="32"/>
        </w:rPr>
        <w:t>80</w:t>
      </w:r>
      <w:r>
        <w:rPr>
          <w:rFonts w:hint="eastAsia" w:ascii="仿宋" w:hAnsi="仿宋" w:eastAsia="仿宋" w:cs="仿宋"/>
          <w:sz w:val="32"/>
          <w:szCs w:val="32"/>
        </w:rPr>
        <w:t>场，“敲门行动”入户宣传</w:t>
      </w:r>
      <w:r>
        <w:rPr>
          <w:rFonts w:ascii="仿宋" w:hAnsi="仿宋" w:eastAsia="仿宋" w:cs="仿宋"/>
          <w:sz w:val="32"/>
          <w:szCs w:val="32"/>
        </w:rPr>
        <w:t>9</w:t>
      </w:r>
      <w:r>
        <w:rPr>
          <w:rFonts w:hint="eastAsia" w:ascii="仿宋" w:hAnsi="仿宋" w:eastAsia="仿宋" w:cs="仿宋"/>
          <w:sz w:val="32"/>
          <w:szCs w:val="32"/>
        </w:rPr>
        <w:t>万余户，化解各类社会矛盾纠纷</w:t>
      </w:r>
      <w:r>
        <w:rPr>
          <w:rFonts w:ascii="仿宋" w:hAnsi="仿宋" w:eastAsia="仿宋" w:cs="仿宋"/>
          <w:sz w:val="32"/>
          <w:szCs w:val="32"/>
        </w:rPr>
        <w:t>710</w:t>
      </w:r>
      <w:r>
        <w:rPr>
          <w:rFonts w:hint="eastAsia" w:ascii="仿宋" w:hAnsi="仿宋" w:eastAsia="仿宋" w:cs="仿宋"/>
          <w:sz w:val="32"/>
          <w:szCs w:val="32"/>
        </w:rPr>
        <w:t>余起。</w:t>
      </w:r>
    </w:p>
    <w:p>
      <w:pPr>
        <w:numPr>
          <w:ilvl w:val="0"/>
          <w:numId w:val="5"/>
        </w:numPr>
        <w:spacing w:line="360" w:lineRule="auto"/>
        <w:ind w:firstLine="640" w:firstLineChars="200"/>
        <w:outlineLvl w:val="1"/>
        <w:rPr>
          <w:rFonts w:ascii="仿宋" w:hAnsi="仿宋" w:eastAsia="仿宋" w:cs="Times New Roman"/>
          <w:sz w:val="32"/>
          <w:szCs w:val="32"/>
        </w:rPr>
      </w:pPr>
      <w:r>
        <w:rPr>
          <w:rFonts w:hint="eastAsia" w:ascii="仿宋" w:hAnsi="仿宋" w:eastAsia="仿宋" w:cs="仿宋"/>
          <w:sz w:val="32"/>
          <w:szCs w:val="32"/>
        </w:rPr>
        <w:t>履职效益评价</w:t>
      </w:r>
    </w:p>
    <w:p>
      <w:pPr>
        <w:spacing w:line="579" w:lineRule="exact"/>
        <w:ind w:firstLine="64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坚持保民生增福祉。在人居环境、社会保险、文化服务等方面精准发力、提质增效。顺利启动“百街千巷”环境综合整治提升工程建设，对</w:t>
      </w:r>
      <w:r>
        <w:rPr>
          <w:rFonts w:ascii="仿宋" w:hAnsi="仿宋" w:eastAsia="仿宋" w:cs="仿宋"/>
          <w:sz w:val="32"/>
          <w:szCs w:val="32"/>
        </w:rPr>
        <w:t>12</w:t>
      </w:r>
      <w:r>
        <w:rPr>
          <w:rFonts w:hint="eastAsia" w:ascii="仿宋" w:hAnsi="仿宋" w:eastAsia="仿宋" w:cs="仿宋"/>
          <w:sz w:val="32"/>
          <w:szCs w:val="32"/>
        </w:rPr>
        <w:t>个老旧小区进行提质改造，成功解决一批住宅小区重大安全隐患问题。投入</w:t>
      </w:r>
      <w:r>
        <w:rPr>
          <w:rFonts w:ascii="仿宋" w:hAnsi="仿宋" w:eastAsia="仿宋" w:cs="仿宋"/>
          <w:sz w:val="32"/>
          <w:szCs w:val="32"/>
        </w:rPr>
        <w:t>257</w:t>
      </w:r>
      <w:r>
        <w:rPr>
          <w:rFonts w:hint="eastAsia" w:ascii="仿宋" w:hAnsi="仿宋" w:eastAsia="仿宋" w:cs="仿宋"/>
          <w:sz w:val="32"/>
          <w:szCs w:val="32"/>
        </w:rPr>
        <w:t>万元建设</w:t>
      </w:r>
      <w:r>
        <w:rPr>
          <w:rFonts w:ascii="仿宋" w:hAnsi="仿宋" w:eastAsia="仿宋" w:cs="仿宋"/>
          <w:sz w:val="32"/>
          <w:szCs w:val="32"/>
        </w:rPr>
        <w:t>4</w:t>
      </w:r>
      <w:r>
        <w:rPr>
          <w:rFonts w:hint="eastAsia" w:ascii="仿宋" w:hAnsi="仿宋" w:eastAsia="仿宋" w:cs="仿宋"/>
          <w:sz w:val="32"/>
          <w:szCs w:val="32"/>
        </w:rPr>
        <w:t>个精准惠民微建设项目，完成</w:t>
      </w:r>
      <w:r>
        <w:rPr>
          <w:rFonts w:ascii="仿宋" w:hAnsi="仿宋" w:eastAsia="仿宋" w:cs="仿宋"/>
          <w:sz w:val="32"/>
          <w:szCs w:val="32"/>
        </w:rPr>
        <w:t>1337</w:t>
      </w:r>
      <w:r>
        <w:rPr>
          <w:rFonts w:hint="eastAsia" w:ascii="仿宋" w:hAnsi="仿宋" w:eastAsia="仿宋" w:cs="仿宋"/>
          <w:sz w:val="32"/>
          <w:szCs w:val="32"/>
        </w:rPr>
        <w:t>㎡人行道整修、</w:t>
      </w:r>
      <w:r>
        <w:rPr>
          <w:rFonts w:ascii="仿宋" w:hAnsi="仿宋" w:eastAsia="仿宋" w:cs="仿宋"/>
          <w:sz w:val="32"/>
          <w:szCs w:val="32"/>
        </w:rPr>
        <w:t>8200</w:t>
      </w:r>
      <w:r>
        <w:rPr>
          <w:rFonts w:hint="eastAsia" w:ascii="仿宋" w:hAnsi="仿宋" w:eastAsia="仿宋" w:cs="仿宋"/>
          <w:sz w:val="32"/>
          <w:szCs w:val="32"/>
        </w:rPr>
        <w:t>㎡绿化修整，有效改善小区周边配套设施。各类社会保险应保尽保、应收尽收，统一慰问各类对象</w:t>
      </w:r>
      <w:r>
        <w:rPr>
          <w:rFonts w:ascii="仿宋" w:hAnsi="仿宋" w:eastAsia="仿宋" w:cs="仿宋"/>
          <w:sz w:val="32"/>
          <w:szCs w:val="32"/>
        </w:rPr>
        <w:t>582</w:t>
      </w:r>
      <w:r>
        <w:rPr>
          <w:rFonts w:hint="eastAsia" w:ascii="仿宋" w:hAnsi="仿宋" w:eastAsia="仿宋" w:cs="仿宋"/>
          <w:sz w:val="32"/>
          <w:szCs w:val="32"/>
        </w:rPr>
        <w:t>户，帮扶城市特殊困难对象</w:t>
      </w:r>
      <w:r>
        <w:rPr>
          <w:rFonts w:ascii="仿宋" w:hAnsi="仿宋" w:eastAsia="仿宋" w:cs="仿宋"/>
          <w:sz w:val="32"/>
          <w:szCs w:val="32"/>
        </w:rPr>
        <w:t>206</w:t>
      </w:r>
      <w:r>
        <w:rPr>
          <w:rFonts w:hint="eastAsia" w:ascii="仿宋" w:hAnsi="仿宋" w:eastAsia="仿宋" w:cs="仿宋"/>
          <w:sz w:val="32"/>
          <w:szCs w:val="32"/>
        </w:rPr>
        <w:t>户，临时救助困难群众</w:t>
      </w:r>
      <w:r>
        <w:rPr>
          <w:rFonts w:ascii="仿宋" w:hAnsi="仿宋" w:eastAsia="仿宋" w:cs="仿宋"/>
          <w:sz w:val="32"/>
          <w:szCs w:val="32"/>
        </w:rPr>
        <w:t>55</w:t>
      </w:r>
      <w:r>
        <w:rPr>
          <w:rFonts w:hint="eastAsia" w:ascii="仿宋" w:hAnsi="仿宋" w:eastAsia="仿宋" w:cs="仿宋"/>
          <w:sz w:val="32"/>
          <w:szCs w:val="32"/>
        </w:rPr>
        <w:t>人。利用社区书屋，开展全民读书活动，组织送戏下乡</w:t>
      </w:r>
      <w:r>
        <w:rPr>
          <w:rFonts w:ascii="仿宋" w:hAnsi="仿宋" w:eastAsia="仿宋" w:cs="仿宋"/>
          <w:sz w:val="32"/>
          <w:szCs w:val="32"/>
        </w:rPr>
        <w:t>4</w:t>
      </w:r>
      <w:r>
        <w:rPr>
          <w:rFonts w:hint="eastAsia" w:ascii="仿宋" w:hAnsi="仿宋" w:eastAsia="仿宋" w:cs="仿宋"/>
          <w:sz w:val="32"/>
          <w:szCs w:val="32"/>
        </w:rPr>
        <w:t>次，开展各类文体活动</w:t>
      </w:r>
      <w:r>
        <w:rPr>
          <w:rFonts w:ascii="仿宋" w:hAnsi="仿宋" w:eastAsia="仿宋" w:cs="仿宋"/>
          <w:sz w:val="32"/>
          <w:szCs w:val="32"/>
        </w:rPr>
        <w:t>159</w:t>
      </w:r>
      <w:r>
        <w:rPr>
          <w:rFonts w:hint="eastAsia" w:ascii="仿宋" w:hAnsi="仿宋" w:eastAsia="仿宋" w:cs="仿宋"/>
          <w:sz w:val="32"/>
          <w:szCs w:val="32"/>
        </w:rPr>
        <w:t>场，展开公共文化服务</w:t>
      </w:r>
      <w:r>
        <w:rPr>
          <w:rFonts w:ascii="仿宋" w:hAnsi="仿宋" w:eastAsia="仿宋" w:cs="仿宋"/>
          <w:sz w:val="32"/>
          <w:szCs w:val="32"/>
        </w:rPr>
        <w:t>23.1</w:t>
      </w:r>
      <w:r>
        <w:rPr>
          <w:rFonts w:hint="eastAsia" w:ascii="仿宋" w:hAnsi="仿宋" w:eastAsia="仿宋" w:cs="仿宋"/>
          <w:sz w:val="32"/>
          <w:szCs w:val="32"/>
        </w:rPr>
        <w:t>万余人次，公共文化设施建设、管理水平逐步提高。</w:t>
      </w:r>
      <w:r>
        <w:rPr>
          <w:rFonts w:hint="eastAsia" w:ascii="仿宋" w:hAnsi="仿宋" w:eastAsia="仿宋" w:cs="仿宋"/>
          <w:snapToGrid w:val="0"/>
          <w:kern w:val="0"/>
          <w:sz w:val="32"/>
          <w:szCs w:val="32"/>
        </w:rPr>
        <w:t>金茂路社区荣获</w:t>
      </w:r>
      <w:r>
        <w:rPr>
          <w:rFonts w:ascii="仿宋" w:hAnsi="仿宋" w:eastAsia="仿宋" w:cs="仿宋"/>
          <w:snapToGrid w:val="0"/>
          <w:kern w:val="0"/>
          <w:sz w:val="32"/>
          <w:szCs w:val="32"/>
        </w:rPr>
        <w:t>2022</w:t>
      </w:r>
      <w:r>
        <w:rPr>
          <w:rFonts w:hint="eastAsia" w:ascii="仿宋" w:hAnsi="仿宋" w:eastAsia="仿宋" w:cs="仿宋"/>
          <w:snapToGrid w:val="0"/>
          <w:kern w:val="0"/>
          <w:sz w:val="32"/>
          <w:szCs w:val="32"/>
        </w:rPr>
        <w:t>年“全国示范性老年友好型社区”。</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持续推进便民服务数字化改革和网格化建设，让政务服务深入基层、走进群众、贴近生活。打造“</w:t>
      </w:r>
      <w:r>
        <w:rPr>
          <w:rFonts w:ascii="仿宋" w:hAnsi="仿宋" w:eastAsia="仿宋" w:cs="仿宋"/>
          <w:sz w:val="32"/>
          <w:szCs w:val="32"/>
        </w:rPr>
        <w:t>1+23+N</w:t>
      </w:r>
      <w:r>
        <w:rPr>
          <w:rFonts w:hint="eastAsia" w:ascii="仿宋" w:hAnsi="仿宋" w:eastAsia="仿宋" w:cs="仿宋"/>
          <w:sz w:val="32"/>
          <w:szCs w:val="32"/>
        </w:rPr>
        <w:t>一体运行”政务服务体系，实现</w:t>
      </w:r>
      <w:r>
        <w:rPr>
          <w:rFonts w:ascii="仿宋" w:hAnsi="仿宋" w:eastAsia="仿宋" w:cs="仿宋"/>
          <w:sz w:val="32"/>
          <w:szCs w:val="32"/>
        </w:rPr>
        <w:t>297</w:t>
      </w:r>
      <w:r>
        <w:rPr>
          <w:rFonts w:hint="eastAsia" w:ascii="仿宋" w:hAnsi="仿宋" w:eastAsia="仿宋" w:cs="仿宋"/>
          <w:sz w:val="32"/>
          <w:szCs w:val="32"/>
        </w:rPr>
        <w:t>个服务事项可在线查、就近可办，“一件事一次办”。建设“</w:t>
      </w:r>
      <w:r>
        <w:rPr>
          <w:rFonts w:ascii="仿宋" w:hAnsi="仿宋" w:eastAsia="仿宋" w:cs="仿宋"/>
          <w:sz w:val="32"/>
          <w:szCs w:val="32"/>
        </w:rPr>
        <w:t>1245</w:t>
      </w:r>
      <w:r>
        <w:rPr>
          <w:rFonts w:hint="eastAsia" w:ascii="仿宋" w:hAnsi="仿宋" w:eastAsia="仿宋" w:cs="仿宋"/>
          <w:sz w:val="32"/>
          <w:szCs w:val="32"/>
        </w:rPr>
        <w:t>”标准化社区便民服务站，规范社区便民服务工作。推行“</w:t>
      </w:r>
      <w:r>
        <w:rPr>
          <w:rFonts w:ascii="仿宋" w:hAnsi="仿宋" w:eastAsia="仿宋" w:cs="仿宋"/>
          <w:sz w:val="32"/>
          <w:szCs w:val="32"/>
        </w:rPr>
        <w:t>1+2+N</w:t>
      </w:r>
      <w:r>
        <w:rPr>
          <w:rFonts w:hint="eastAsia" w:ascii="仿宋" w:hAnsi="仿宋" w:eastAsia="仿宋" w:cs="仿宋"/>
          <w:sz w:val="32"/>
          <w:szCs w:val="32"/>
        </w:rPr>
        <w:t>”的社区工作模式，构建五级网格力量，采集基础数据</w:t>
      </w:r>
      <w:r>
        <w:rPr>
          <w:rFonts w:ascii="仿宋" w:hAnsi="仿宋" w:eastAsia="仿宋" w:cs="仿宋"/>
          <w:sz w:val="32"/>
          <w:szCs w:val="32"/>
        </w:rPr>
        <w:t>7.86</w:t>
      </w:r>
      <w:r>
        <w:rPr>
          <w:rFonts w:hint="eastAsia" w:ascii="仿宋" w:hAnsi="仿宋" w:eastAsia="仿宋" w:cs="仿宋"/>
          <w:sz w:val="32"/>
          <w:szCs w:val="32"/>
        </w:rPr>
        <w:t>万条，处置城管数字化案件</w:t>
      </w:r>
      <w:r>
        <w:rPr>
          <w:rFonts w:ascii="仿宋" w:hAnsi="仿宋" w:eastAsia="仿宋" w:cs="仿宋"/>
          <w:sz w:val="32"/>
          <w:szCs w:val="32"/>
        </w:rPr>
        <w:t>1.79</w:t>
      </w:r>
      <w:r>
        <w:rPr>
          <w:rFonts w:hint="eastAsia" w:ascii="仿宋" w:hAnsi="仿宋" w:eastAsia="仿宋" w:cs="仿宋"/>
          <w:sz w:val="32"/>
          <w:szCs w:val="32"/>
        </w:rPr>
        <w:t>万条，走访近</w:t>
      </w:r>
      <w:r>
        <w:rPr>
          <w:rFonts w:ascii="仿宋" w:hAnsi="仿宋" w:eastAsia="仿宋" w:cs="仿宋"/>
          <w:sz w:val="32"/>
          <w:szCs w:val="32"/>
        </w:rPr>
        <w:t>3</w:t>
      </w:r>
      <w:r>
        <w:rPr>
          <w:rFonts w:hint="eastAsia" w:ascii="仿宋" w:hAnsi="仿宋" w:eastAsia="仿宋" w:cs="仿宋"/>
          <w:sz w:val="32"/>
          <w:szCs w:val="32"/>
        </w:rPr>
        <w:t>万户，实现“微事不出网格、小事不出社区、大事不出街道、矛盾不上交”。</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坚持法治、自治、德治相结合，开展“你为我守一夜，我为你护一年”活动，成立</w:t>
      </w:r>
      <w:r>
        <w:rPr>
          <w:rFonts w:ascii="仿宋" w:hAnsi="仿宋" w:eastAsia="仿宋" w:cs="仿宋"/>
          <w:sz w:val="32"/>
          <w:szCs w:val="32"/>
        </w:rPr>
        <w:t>10</w:t>
      </w:r>
      <w:r>
        <w:rPr>
          <w:rFonts w:hint="eastAsia" w:ascii="仿宋" w:hAnsi="仿宋" w:eastAsia="仿宋" w:cs="仿宋"/>
          <w:sz w:val="32"/>
          <w:szCs w:val="32"/>
        </w:rPr>
        <w:t>支社区夜巡队伍，坚持每天夜间巡查，细致开展综合整治和矛盾化解工作，</w:t>
      </w:r>
      <w:r>
        <w:rPr>
          <w:rFonts w:ascii="仿宋" w:hAnsi="仿宋" w:eastAsia="仿宋" w:cs="仿宋"/>
          <w:sz w:val="32"/>
          <w:szCs w:val="32"/>
        </w:rPr>
        <w:t>8</w:t>
      </w:r>
      <w:r>
        <w:rPr>
          <w:rFonts w:hint="eastAsia" w:ascii="仿宋" w:hAnsi="仿宋" w:eastAsia="仿宋" w:cs="仿宋"/>
          <w:sz w:val="32"/>
          <w:szCs w:val="32"/>
        </w:rPr>
        <w:t>户家庭被评为长沙市“五好家庭”或“最美家庭”，居全市镇街第一。</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全面整治物业小区私搭乱建、环境卫生、设施设备、治安管理、停车乱象、生命通道等热点和难点问题。“宜居星沙、活力星沙”建设成效明显，杨梅冲社区入选湖南省</w:t>
      </w:r>
      <w:r>
        <w:rPr>
          <w:rFonts w:ascii="仿宋" w:hAnsi="仿宋" w:eastAsia="仿宋" w:cs="仿宋"/>
          <w:sz w:val="32"/>
          <w:szCs w:val="32"/>
        </w:rPr>
        <w:t>2022</w:t>
      </w:r>
      <w:r>
        <w:rPr>
          <w:rFonts w:hint="eastAsia" w:ascii="仿宋" w:hAnsi="仿宋" w:eastAsia="仿宋" w:cs="仿宋"/>
          <w:sz w:val="32"/>
          <w:szCs w:val="32"/>
        </w:rPr>
        <w:t>年绿色低碳典型案例（社区）推荐名单。</w:t>
      </w:r>
    </w:p>
    <w:p>
      <w:pPr>
        <w:spacing w:line="360" w:lineRule="auto"/>
        <w:ind w:firstLine="640" w:firstLineChars="200"/>
        <w:rPr>
          <w:rFonts w:ascii="仿宋" w:hAnsi="仿宋" w:eastAsia="仿宋_GB2312" w:cs="Times New Roman"/>
          <w:sz w:val="32"/>
          <w:szCs w:val="32"/>
          <w:highlight w:val="yellow"/>
        </w:rPr>
      </w:pPr>
      <w:r>
        <w:rPr>
          <w:rFonts w:ascii="仿宋" w:hAnsi="仿宋" w:eastAsia="仿宋" w:cs="仿宋"/>
          <w:sz w:val="32"/>
          <w:szCs w:val="32"/>
        </w:rPr>
        <w:t>5.</w:t>
      </w:r>
      <w:r>
        <w:rPr>
          <w:rFonts w:hint="eastAsia" w:ascii="仿宋" w:hAnsi="仿宋" w:eastAsia="仿宋" w:cs="仿宋"/>
          <w:sz w:val="32"/>
          <w:szCs w:val="32"/>
        </w:rPr>
        <w:t>星沙街道成为“</w:t>
      </w:r>
      <w:r>
        <w:rPr>
          <w:rFonts w:ascii="仿宋" w:hAnsi="仿宋" w:eastAsia="仿宋" w:cs="仿宋"/>
          <w:sz w:val="32"/>
          <w:szCs w:val="32"/>
        </w:rPr>
        <w:t>2022</w:t>
      </w:r>
      <w:r>
        <w:rPr>
          <w:rFonts w:hint="eastAsia" w:ascii="仿宋" w:hAnsi="仿宋" w:eastAsia="仿宋" w:cs="仿宋"/>
          <w:sz w:val="32"/>
          <w:szCs w:val="32"/>
        </w:rPr>
        <w:t>年度全省生活垃圾分类示范片区”；星沙街道灰埠社区成为“创建长沙市</w:t>
      </w:r>
      <w:r>
        <w:rPr>
          <w:rFonts w:ascii="仿宋" w:hAnsi="仿宋" w:eastAsia="仿宋" w:cs="仿宋"/>
          <w:sz w:val="32"/>
          <w:szCs w:val="32"/>
        </w:rPr>
        <w:t>2022</w:t>
      </w:r>
      <w:r>
        <w:rPr>
          <w:rFonts w:hint="eastAsia" w:ascii="仿宋" w:hAnsi="仿宋" w:eastAsia="仿宋" w:cs="仿宋"/>
          <w:sz w:val="32"/>
          <w:szCs w:val="32"/>
        </w:rPr>
        <w:t>年劳动力调查示范点”；星沙街道灰埠社区在长沙市“为民服务展作为</w:t>
      </w:r>
      <w:r>
        <w:rPr>
          <w:rFonts w:ascii="仿宋" w:hAnsi="仿宋" w:eastAsia="仿宋" w:cs="仿宋"/>
          <w:sz w:val="32"/>
          <w:szCs w:val="32"/>
        </w:rPr>
        <w:t xml:space="preserve"> </w:t>
      </w:r>
      <w:r>
        <w:rPr>
          <w:rFonts w:hint="eastAsia" w:ascii="仿宋" w:hAnsi="仿宋" w:eastAsia="仿宋" w:cs="仿宋"/>
          <w:sz w:val="32"/>
          <w:szCs w:val="32"/>
        </w:rPr>
        <w:t>勇担使命强本领”劳动力调查业务技能竞赛中获社区二等奖；星沙街道金甲坪社区、马达岭社区、灰埠社区、封刀岭社区被认定为“湖南省省级充分就业社区”；星沙街道仙塘岭社区被评为“市妇女儿童之家”；长沙县星沙街道金茂路社区被评为“全国示范性老年友好型社区”；星沙街道牛角冲社区荣获“</w:t>
      </w:r>
      <w:r>
        <w:rPr>
          <w:rFonts w:ascii="仿宋" w:hAnsi="仿宋" w:eastAsia="仿宋" w:cs="仿宋"/>
          <w:sz w:val="32"/>
          <w:szCs w:val="32"/>
        </w:rPr>
        <w:t>2021</w:t>
      </w:r>
      <w:r>
        <w:rPr>
          <w:rFonts w:hint="eastAsia" w:ascii="仿宋" w:hAnsi="仿宋" w:eastAsia="仿宋" w:cs="仿宋"/>
          <w:sz w:val="32"/>
          <w:szCs w:val="32"/>
        </w:rPr>
        <w:t>年长沙县委台办对台宣传工作先进单位”称号等。</w:t>
      </w:r>
    </w:p>
    <w:p>
      <w:pPr>
        <w:pStyle w:val="2"/>
        <w:rPr>
          <w:rFonts w:hint="eastAsia" w:ascii="仿宋" w:hAnsi="仿宋" w:eastAsia="仿宋" w:cs="仿宋"/>
          <w:sz w:val="32"/>
          <w:szCs w:val="32"/>
          <w:lang w:val="en-US" w:eastAsia="zh-CN"/>
        </w:rPr>
      </w:pPr>
    </w:p>
    <w:p>
      <w:pPr>
        <w:keepNext w:val="0"/>
        <w:keepLines w:val="0"/>
        <w:pageBreakBefore w:val="0"/>
        <w:widowControl w:val="0"/>
        <w:numPr>
          <w:ilvl w:val="0"/>
          <w:numId w:val="4"/>
        </w:numPr>
        <w:kinsoku/>
        <w:wordWrap/>
        <w:overflowPunct/>
        <w:topLinePunct w:val="0"/>
        <w:autoSpaceDN/>
        <w:bidi w:val="0"/>
        <w:adjustRightInd/>
        <w:snapToGrid/>
        <w:spacing w:line="600" w:lineRule="exact"/>
        <w:ind w:left="0" w:leftChars="0" w:firstLine="320" w:firstLineChars="1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单位项目资金绩效分析</w:t>
      </w:r>
    </w:p>
    <w:p>
      <w:pPr>
        <w:keepNext w:val="0"/>
        <w:keepLines w:val="0"/>
        <w:pageBreakBefore w:val="0"/>
        <w:widowControl w:val="0"/>
        <w:numPr>
          <w:ilvl w:val="0"/>
          <w:numId w:val="0"/>
        </w:numPr>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2021年度本单位共支出项目资金</w:t>
      </w:r>
      <w:r>
        <w:rPr>
          <w:rFonts w:hint="eastAsia" w:ascii="Times New Roman" w:hAnsi="Times New Roman" w:eastAsia="仿宋_GB2312" w:cs="Times New Roman"/>
          <w:color w:val="000000"/>
          <w:sz w:val="32"/>
          <w:szCs w:val="32"/>
          <w:highlight w:val="none"/>
          <w:lang w:val="en-US" w:eastAsia="zh-CN"/>
        </w:rPr>
        <w:t>7749.48</w:t>
      </w:r>
      <w:r>
        <w:rPr>
          <w:rFonts w:hint="default" w:ascii="Times New Roman" w:hAnsi="Times New Roman" w:eastAsia="仿宋_GB2312" w:cs="Times New Roman"/>
          <w:color w:val="000000"/>
          <w:sz w:val="32"/>
          <w:szCs w:val="32"/>
          <w:highlight w:val="none"/>
          <w:lang w:eastAsia="zh-CN"/>
        </w:rPr>
        <w:t>万元．现对水利项目做基本情况简介，包括项目基本性质、用途和主要内容、涉及范围等。</w:t>
      </w:r>
    </w:p>
    <w:p>
      <w:pPr>
        <w:keepNext w:val="0"/>
        <w:keepLines w:val="0"/>
        <w:pageBreakBefore w:val="0"/>
        <w:widowControl w:val="0"/>
        <w:numPr>
          <w:ilvl w:val="0"/>
          <w:numId w:val="0"/>
        </w:numPr>
        <w:kinsoku/>
        <w:wordWrap/>
        <w:overflowPunct/>
        <w:topLinePunct w:val="0"/>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1.水林项目基本情况简介</w:t>
      </w:r>
    </w:p>
    <w:p>
      <w:pPr>
        <w:keepNext w:val="0"/>
        <w:keepLines w:val="0"/>
        <w:pageBreakBefore w:val="0"/>
        <w:widowControl w:val="0"/>
        <w:numPr>
          <w:ilvl w:val="0"/>
          <w:numId w:val="0"/>
        </w:numPr>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highlight w:val="yellow"/>
        </w:rPr>
      </w:pPr>
      <w:r>
        <w:rPr>
          <w:rFonts w:hint="default" w:ascii="Times New Roman" w:hAnsi="Times New Roman" w:eastAsia="仿宋_GB2312" w:cs="Times New Roman"/>
          <w:color w:val="000000"/>
          <w:sz w:val="32"/>
          <w:szCs w:val="32"/>
          <w:highlight w:val="none"/>
          <w:lang w:eastAsia="zh-CN"/>
        </w:rPr>
        <w:t>我街道位于浏阳市</w:t>
      </w:r>
      <w:r>
        <w:rPr>
          <w:rFonts w:hint="eastAsia" w:ascii="Times New Roman" w:hAnsi="Times New Roman" w:eastAsia="仿宋_GB2312" w:cs="Times New Roman"/>
          <w:color w:val="000000"/>
          <w:sz w:val="32"/>
          <w:szCs w:val="32"/>
          <w:highlight w:val="none"/>
          <w:lang w:eastAsia="zh-CN"/>
        </w:rPr>
        <w:t>城南</w:t>
      </w:r>
      <w:r>
        <w:rPr>
          <w:rFonts w:hint="default" w:ascii="Times New Roman" w:hAnsi="Times New Roman" w:eastAsia="仿宋_GB2312" w:cs="Times New Roman"/>
          <w:color w:val="000000"/>
          <w:sz w:val="32"/>
          <w:szCs w:val="32"/>
          <w:highlight w:val="none"/>
          <w:lang w:eastAsia="zh-CN"/>
        </w:rPr>
        <w:t>，辖区内河流较多，水利项目主要</w:t>
      </w:r>
      <w:r>
        <w:rPr>
          <w:rFonts w:hint="eastAsia" w:ascii="Times New Roman" w:hAnsi="Times New Roman" w:eastAsia="仿宋_GB2312" w:cs="Times New Roman"/>
          <w:color w:val="000000"/>
          <w:sz w:val="32"/>
          <w:szCs w:val="32"/>
          <w:highlight w:val="none"/>
          <w:lang w:eastAsia="zh-CN"/>
        </w:rPr>
        <w:t>目的</w:t>
      </w:r>
      <w:r>
        <w:rPr>
          <w:rFonts w:hint="default" w:ascii="Times New Roman" w:hAnsi="Times New Roman" w:eastAsia="仿宋_GB2312" w:cs="Times New Roman"/>
          <w:color w:val="000000"/>
          <w:sz w:val="32"/>
          <w:szCs w:val="32"/>
          <w:highlight w:val="none"/>
          <w:lang w:eastAsia="zh-CN"/>
        </w:rPr>
        <w:t>是提高河道管理水平，健全河道泄洪能力，改善人居环境。</w:t>
      </w:r>
    </w:p>
    <w:p>
      <w:pPr>
        <w:keepNext w:val="0"/>
        <w:keepLines w:val="0"/>
        <w:pageBreakBefore w:val="0"/>
        <w:widowControl w:val="0"/>
        <w:numPr>
          <w:ilvl w:val="0"/>
          <w:numId w:val="6"/>
        </w:numPr>
        <w:kinsoku/>
        <w:wordWrap/>
        <w:overflowPunct/>
        <w:topLinePunct w:val="0"/>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水利项目资金使用及管理情况</w:t>
      </w:r>
    </w:p>
    <w:p>
      <w:pPr>
        <w:keepNext w:val="0"/>
        <w:keepLines w:val="0"/>
        <w:pageBreakBefore w:val="0"/>
        <w:widowControl w:val="0"/>
        <w:numPr>
          <w:ilvl w:val="0"/>
          <w:numId w:val="0"/>
        </w:numPr>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水利项目：年初预算</w:t>
      </w:r>
      <w:r>
        <w:rPr>
          <w:rFonts w:hint="default" w:ascii="Times New Roman" w:hAnsi="Times New Roman" w:eastAsia="仿宋_GB2312" w:cs="Times New Roman"/>
          <w:color w:val="000000"/>
          <w:sz w:val="32"/>
          <w:szCs w:val="32"/>
          <w:highlight w:val="none"/>
          <w:lang w:val="en-US" w:eastAsia="zh-CN"/>
        </w:rPr>
        <w:t>46万元，2021年项目总支出213</w:t>
      </w: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val="en-US" w:eastAsia="zh-CN"/>
        </w:rPr>
        <w:t>万元，完成年初预算的463.</w:t>
      </w:r>
      <w:r>
        <w:rPr>
          <w:rFonts w:hint="eastAsia" w:ascii="Times New Roman" w:hAnsi="Times New Roman" w:eastAsia="仿宋_GB2312" w:cs="Times New Roman"/>
          <w:color w:val="000000"/>
          <w:sz w:val="32"/>
          <w:szCs w:val="32"/>
          <w:highlight w:val="none"/>
          <w:lang w:val="en-US" w:eastAsia="zh-CN"/>
        </w:rPr>
        <w:t>26</w:t>
      </w:r>
      <w:r>
        <w:rPr>
          <w:rFonts w:hint="default" w:ascii="Times New Roman" w:hAnsi="Times New Roman" w:eastAsia="仿宋_GB2312" w:cs="Times New Roman"/>
          <w:color w:val="000000"/>
          <w:sz w:val="32"/>
          <w:szCs w:val="32"/>
          <w:highlight w:val="none"/>
          <w:lang w:val="en-US" w:eastAsia="zh-CN"/>
        </w:rPr>
        <w:t>%，主要用于改善水质环境，提高河道泄洪能力。在实际管理中，对项目的实施及结算实行严格的资金监管。</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b/>
          <w:bCs/>
          <w:color w:val="000000"/>
          <w:kern w:val="0"/>
          <w:sz w:val="32"/>
          <w:szCs w:val="32"/>
          <w:lang w:val="en-US" w:eastAsia="zh-CN" w:bidi="ar-SA"/>
        </w:rPr>
        <w:t>3．项目组织实施情况。</w:t>
      </w:r>
      <w:r>
        <w:rPr>
          <w:rFonts w:hint="default" w:ascii="Times New Roman" w:hAnsi="Times New Roman" w:eastAsia="仿宋_GB2312" w:cs="Times New Roman"/>
          <w:color w:val="000000"/>
          <w:kern w:val="0"/>
          <w:sz w:val="32"/>
          <w:szCs w:val="32"/>
          <w:highlight w:val="none"/>
        </w:rPr>
        <w:t>街道制定了项目管理制度、项目招投标制度、</w:t>
      </w:r>
      <w:r>
        <w:rPr>
          <w:rFonts w:hint="default" w:ascii="Times New Roman" w:hAnsi="Times New Roman" w:eastAsia="仿宋_GB2312" w:cs="Times New Roman"/>
          <w:color w:val="000000"/>
          <w:sz w:val="32"/>
          <w:szCs w:val="32"/>
          <w:highlight w:val="none"/>
        </w:rPr>
        <w:t>财政资金监管工作方案、财经管理制度、收入管理制度、交叉检查制度等。在项目实施过程中，街道办事处工作人员能严格执行各项制度的相关规定，立项、招投标、调整、竣工验收都按制度办事，以制度管人、管事，取得了良好的效果。</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4．项目绩效情况</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color w:val="000000"/>
          <w:kern w:val="0"/>
          <w:sz w:val="32"/>
          <w:szCs w:val="32"/>
          <w:highlight w:val="none"/>
          <w:lang w:eastAsia="zh-CN"/>
        </w:rPr>
        <w:t>水利工作项目</w:t>
      </w:r>
      <w:r>
        <w:rPr>
          <w:rFonts w:hint="default" w:ascii="Times New Roman" w:hAnsi="Times New Roman" w:eastAsia="仿宋_GB2312" w:cs="Times New Roman"/>
          <w:color w:val="000000"/>
          <w:kern w:val="0"/>
          <w:sz w:val="32"/>
          <w:szCs w:val="32"/>
          <w:highlight w:val="none"/>
        </w:rPr>
        <w:t>从项目的经济性、效率性、有效性和可持续性等方面进行量化，具体分析。</w:t>
      </w:r>
      <w:r>
        <w:rPr>
          <w:rFonts w:hint="default" w:ascii="Times New Roman" w:hAnsi="Times New Roman" w:eastAsia="仿宋_GB2312" w:cs="Times New Roman"/>
          <w:color w:val="000000"/>
          <w:kern w:val="0"/>
          <w:sz w:val="32"/>
          <w:szCs w:val="32"/>
          <w:highlight w:val="none"/>
          <w:lang w:eastAsia="zh-CN"/>
        </w:rPr>
        <w:t>水利工程项目良好的利用了财政资金，资金使用效率较高。在农村环境保护、河道泄洪方面发挥了巨大的作用。</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5．综合评价情况及评价结论</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lang w:eastAsia="zh-CN"/>
        </w:rPr>
        <w:t>浏阳市荷花街道办事处</w:t>
      </w:r>
      <w:r>
        <w:rPr>
          <w:rFonts w:hint="default" w:ascii="Times New Roman" w:hAnsi="Times New Roman" w:eastAsia="仿宋_GB2312" w:cs="Times New Roman"/>
          <w:color w:val="000000"/>
          <w:kern w:val="0"/>
          <w:sz w:val="32"/>
          <w:szCs w:val="32"/>
          <w:highlight w:val="none"/>
          <w:lang w:val="en-US" w:eastAsia="zh-CN"/>
        </w:rPr>
        <w:t>2021年度项目资金绩效自评综合得分为95分</w:t>
      </w:r>
      <w:r>
        <w:rPr>
          <w:rFonts w:hint="default" w:ascii="Times New Roman" w:hAnsi="Times New Roman" w:eastAsia="仿宋_GB2312" w:cs="Times New Roman"/>
          <w:color w:val="000000"/>
          <w:kern w:val="0"/>
          <w:sz w:val="32"/>
          <w:szCs w:val="32"/>
          <w:highlight w:val="none"/>
        </w:rPr>
        <w:t>（附相关评分表）。</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6.绩效评价结果应用建议</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highlight w:val="none"/>
          <w:lang w:eastAsia="zh-CN"/>
        </w:rPr>
        <w:t>绩效自评成果可以作为以后该类项目上级财政资金下拨的参考资料，对以后年度预算安排有着积极的影响。</w:t>
      </w:r>
    </w:p>
    <w:p>
      <w:pPr>
        <w:keepNext w:val="0"/>
        <w:keepLines w:val="0"/>
        <w:pageBreakBefore w:val="0"/>
        <w:widowControl w:val="0"/>
        <w:kinsoku/>
        <w:wordWrap/>
        <w:overflowPunct/>
        <w:topLinePunct w:val="0"/>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7.主要经验及做法</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color w:val="000000"/>
          <w:kern w:val="0"/>
          <w:sz w:val="32"/>
          <w:szCs w:val="32"/>
          <w:highlight w:val="none"/>
          <w:lang w:eastAsia="zh-CN"/>
        </w:rPr>
        <w:t>我街道严格按照相关规章制度，全过程全方位对项目资金实施监管，确保财政资金能够用到位，提高财政资金使用效率，提高群众满意度。</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highlight w:val="none"/>
        </w:rPr>
      </w:pPr>
      <w:r>
        <w:rPr>
          <w:rFonts w:hint="default" w:ascii="Times New Roman" w:hAnsi="Times New Roman" w:eastAsia="黑体" w:cs="Times New Roman"/>
          <w:bCs/>
          <w:color w:val="000000"/>
          <w:sz w:val="32"/>
          <w:szCs w:val="32"/>
          <w:highlight w:val="none"/>
        </w:rPr>
        <w:t xml:space="preserve">六、存在的主要问题 </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 xml:space="preserve">在预算编制的过程中,预算编制不够准确,导致年初预算不能满足实际工作需要,应在下年加以重视。 </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 xml:space="preserve">七、改进措施和有关建议 </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本单位存在的主要问题一是预算管理有待加强，二是政府采 购执行率有待提升。在下阶段工作中要进一步注重预算控制率和 政府采购执行率，提升预算管理水平，提高资金使用效率。</w:t>
      </w:r>
    </w:p>
    <w:p>
      <w:pPr>
        <w:keepNext w:val="0"/>
        <w:keepLines w:val="0"/>
        <w:pageBreakBefore w:val="0"/>
        <w:widowControl w:val="0"/>
        <w:numPr>
          <w:ilvl w:val="0"/>
          <w:numId w:val="7"/>
        </w:numPr>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单位在资金管理、项目管理等方面的先进经验及做法</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街道认真贯彻落实中央“八项”规定要求，实行厉行节约常态化管理，严控“三公”经费开支。定期将经费收支等与去年同期进行对比并与上月进行环比。</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九、部门整体支出绩效评价等级</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附相关评分表。</w:t>
      </w: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rPr>
      </w:pPr>
    </w:p>
    <w:p>
      <w:pPr>
        <w:spacing w:line="576" w:lineRule="exac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2</w:t>
      </w:r>
    </w:p>
    <w:p>
      <w:pPr>
        <w:spacing w:line="576" w:lineRule="exact"/>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部门整体支出绩效自评基础数据表</w:t>
      </w:r>
    </w:p>
    <w:p>
      <w:pPr>
        <w:tabs>
          <w:tab w:val="left" w:pos="3611"/>
          <w:tab w:val="left" w:pos="4791"/>
          <w:tab w:val="left" w:pos="5951"/>
          <w:tab w:val="left" w:pos="7071"/>
          <w:tab w:val="left" w:pos="8191"/>
          <w:tab w:val="left" w:pos="9311"/>
        </w:tabs>
        <w:spacing w:line="360" w:lineRule="exact"/>
        <w:rPr>
          <w:rFonts w:hint="default" w:ascii="Times New Roman" w:hAnsi="Times New Roman" w:eastAsia="仿宋_GB2312" w:cs="Times New Roman"/>
          <w:color w:val="000000"/>
          <w:kern w:val="0"/>
          <w:sz w:val="24"/>
        </w:rPr>
      </w:pPr>
    </w:p>
    <w:p>
      <w:pPr>
        <w:tabs>
          <w:tab w:val="left" w:pos="3611"/>
          <w:tab w:val="left" w:pos="4791"/>
          <w:tab w:val="left" w:pos="5951"/>
          <w:tab w:val="left" w:pos="7071"/>
          <w:tab w:val="left" w:pos="8191"/>
          <w:tab w:val="left" w:pos="9311"/>
        </w:tabs>
        <w:spacing w:line="576"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填报单位：</w:t>
      </w:r>
      <w:r>
        <w:rPr>
          <w:rFonts w:hint="default" w:ascii="Times New Roman" w:hAnsi="Times New Roman" w:eastAsia="仿宋_GB2312" w:cs="Times New Roman"/>
          <w:color w:val="000000"/>
          <w:kern w:val="0"/>
          <w:sz w:val="24"/>
          <w:lang w:eastAsia="zh-CN"/>
        </w:rPr>
        <w:t>浏阳市荷花街道办事处</w:t>
      </w:r>
      <w:r>
        <w:rPr>
          <w:rFonts w:hint="default" w:ascii="Times New Roman" w:hAnsi="Times New Roman" w:eastAsia="仿宋_GB2312" w:cs="Times New Roman"/>
          <w:color w:val="000000"/>
          <w:kern w:val="0"/>
          <w:sz w:val="24"/>
        </w:rPr>
        <w:tab/>
      </w:r>
      <w:r>
        <w:rPr>
          <w:rFonts w:hint="default" w:ascii="Times New Roman" w:hAnsi="Times New Roman" w:eastAsia="仿宋_GB2312" w:cs="Times New Roman"/>
          <w:color w:val="000000"/>
          <w:kern w:val="0"/>
          <w:sz w:val="24"/>
        </w:rPr>
        <w:tab/>
      </w:r>
      <w:r>
        <w:rPr>
          <w:rFonts w:hint="default" w:ascii="Times New Roman" w:hAnsi="Times New Roman" w:eastAsia="仿宋_GB2312" w:cs="Times New Roman"/>
          <w:color w:val="000000"/>
          <w:kern w:val="0"/>
          <w:sz w:val="24"/>
        </w:rPr>
        <w:tab/>
      </w:r>
      <w:r>
        <w:rPr>
          <w:rFonts w:hint="default" w:ascii="Times New Roman" w:hAnsi="Times New Roman" w:eastAsia="仿宋_GB2312" w:cs="Times New Roman"/>
          <w:color w:val="000000"/>
          <w:kern w:val="0"/>
          <w:sz w:val="24"/>
        </w:rPr>
        <w:tab/>
      </w:r>
      <w:r>
        <w:rPr>
          <w:rFonts w:hint="default" w:ascii="Times New Roman" w:hAnsi="Times New Roman" w:eastAsia="仿宋_GB2312" w:cs="Times New Roman"/>
          <w:color w:val="000000"/>
          <w:kern w:val="0"/>
          <w:sz w:val="24"/>
          <w:lang w:eastAsia="zh-CN"/>
        </w:rPr>
        <w:t>单位：万元</w:t>
      </w:r>
      <w:r>
        <w:rPr>
          <w:rFonts w:hint="default" w:ascii="Times New Roman" w:hAnsi="Times New Roman" w:eastAsia="仿宋_GB2312" w:cs="Times New Roman"/>
          <w:color w:val="000000"/>
          <w:kern w:val="0"/>
          <w:sz w:val="24"/>
        </w:rPr>
        <w:tab/>
      </w:r>
    </w:p>
    <w:tbl>
      <w:tblPr>
        <w:tblStyle w:val="13"/>
        <w:tblW w:w="0" w:type="auto"/>
        <w:jc w:val="center"/>
        <w:tblLayout w:type="fixed"/>
        <w:tblCellMar>
          <w:top w:w="0" w:type="dxa"/>
          <w:left w:w="108" w:type="dxa"/>
          <w:bottom w:w="0" w:type="dxa"/>
          <w:right w:w="108" w:type="dxa"/>
        </w:tblCellMar>
      </w:tblPr>
      <w:tblGrid>
        <w:gridCol w:w="3497"/>
        <w:gridCol w:w="1727"/>
        <w:gridCol w:w="2061"/>
        <w:gridCol w:w="1748"/>
      </w:tblGrid>
      <w:tr>
        <w:tblPrEx>
          <w:tblCellMar>
            <w:top w:w="0" w:type="dxa"/>
            <w:left w:w="108" w:type="dxa"/>
            <w:bottom w:w="0" w:type="dxa"/>
            <w:right w:w="108" w:type="dxa"/>
          </w:tblCellMar>
        </w:tblPrEx>
        <w:trPr>
          <w:trHeight w:val="388" w:hRule="atLeast"/>
          <w:jc w:val="center"/>
        </w:trPr>
        <w:tc>
          <w:tcPr>
            <w:tcW w:w="34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财政供养人员情况</w:t>
            </w:r>
          </w:p>
        </w:tc>
        <w:tc>
          <w:tcPr>
            <w:tcW w:w="1727" w:type="dxa"/>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cs="Times New Roman"/>
                <w:bCs/>
                <w:color w:val="000000"/>
                <w:kern w:val="0"/>
                <w:sz w:val="24"/>
              </w:rPr>
            </w:pPr>
            <w:r>
              <w:rPr>
                <w:rFonts w:hint="default" w:ascii="Times New Roman" w:hAnsi="Times New Roman" w:eastAsia="仿宋_GB2312" w:cs="Times New Roman"/>
                <w:bCs/>
                <w:color w:val="000000"/>
                <w:kern w:val="0"/>
                <w:sz w:val="24"/>
              </w:rPr>
              <w:t>编制数</w:t>
            </w:r>
          </w:p>
        </w:tc>
        <w:tc>
          <w:tcPr>
            <w:tcW w:w="206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bCs/>
                <w:color w:val="000000"/>
                <w:kern w:val="0"/>
                <w:sz w:val="24"/>
              </w:rPr>
            </w:pPr>
            <w:r>
              <w:rPr>
                <w:rFonts w:hint="default" w:ascii="Times New Roman" w:hAnsi="Times New Roman" w:eastAsia="仿宋_GB2312" w:cs="Times New Roman"/>
                <w:bCs/>
                <w:color w:val="000000"/>
                <w:kern w:val="0"/>
                <w:sz w:val="24"/>
              </w:rPr>
              <w:t>2021年实际</w:t>
            </w:r>
          </w:p>
          <w:p>
            <w:pPr>
              <w:spacing w:line="320" w:lineRule="exact"/>
              <w:jc w:val="center"/>
              <w:rPr>
                <w:rFonts w:hint="default" w:ascii="Times New Roman" w:hAnsi="Times New Roman" w:eastAsia="仿宋_GB2312" w:cs="Times New Roman"/>
                <w:bCs/>
                <w:color w:val="000000"/>
                <w:kern w:val="0"/>
                <w:sz w:val="24"/>
              </w:rPr>
            </w:pPr>
            <w:r>
              <w:rPr>
                <w:rFonts w:hint="default" w:ascii="Times New Roman" w:hAnsi="Times New Roman" w:eastAsia="仿宋_GB2312" w:cs="Times New Roman"/>
                <w:bCs/>
                <w:color w:val="000000"/>
                <w:kern w:val="0"/>
                <w:sz w:val="24"/>
              </w:rPr>
              <w:t>在职人数</w:t>
            </w:r>
          </w:p>
        </w:tc>
        <w:tc>
          <w:tcPr>
            <w:tcW w:w="174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bCs/>
                <w:color w:val="000000"/>
                <w:kern w:val="0"/>
                <w:sz w:val="24"/>
              </w:rPr>
            </w:pPr>
            <w:r>
              <w:rPr>
                <w:rFonts w:hint="default" w:ascii="Times New Roman" w:hAnsi="Times New Roman" w:eastAsia="仿宋_GB2312" w:cs="Times New Roman"/>
                <w:bCs/>
                <w:color w:val="000000"/>
                <w:kern w:val="0"/>
                <w:sz w:val="24"/>
              </w:rPr>
              <w:t>控制率</w:t>
            </w:r>
          </w:p>
        </w:tc>
      </w:tr>
      <w:tr>
        <w:tblPrEx>
          <w:tblCellMar>
            <w:top w:w="0" w:type="dxa"/>
            <w:left w:w="108" w:type="dxa"/>
            <w:bottom w:w="0" w:type="dxa"/>
            <w:right w:w="108" w:type="dxa"/>
          </w:tblCellMar>
        </w:tblPrEx>
        <w:trPr>
          <w:trHeight w:val="388"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kern w:val="0"/>
                <w:sz w:val="24"/>
              </w:rPr>
            </w:pPr>
          </w:p>
        </w:tc>
        <w:tc>
          <w:tcPr>
            <w:tcW w:w="1727" w:type="dxa"/>
            <w:tcBorders>
              <w:top w:val="single" w:color="auto" w:sz="4" w:space="0"/>
              <w:left w:val="nil"/>
              <w:right w:val="single" w:color="auto" w:sz="4" w:space="0"/>
            </w:tcBorders>
            <w:noWrap w:val="0"/>
            <w:vAlign w:val="center"/>
          </w:tcPr>
          <w:p>
            <w:pPr>
              <w:spacing w:line="320" w:lineRule="exact"/>
              <w:rPr>
                <w:rFonts w:hint="default" w:ascii="Times New Roman" w:hAnsi="Times New Roman" w:eastAsia="仿宋_GB2312" w:cs="Times New Roman"/>
                <w:bCs/>
                <w:color w:val="000000"/>
                <w:kern w:val="0"/>
                <w:sz w:val="24"/>
                <w:lang w:val="en-US" w:eastAsia="zh-CN"/>
              </w:rPr>
            </w:pPr>
            <w:r>
              <w:rPr>
                <w:rFonts w:hint="default" w:ascii="Times New Roman" w:hAnsi="Times New Roman" w:eastAsia="仿宋_GB2312" w:cs="Times New Roman"/>
                <w:bCs/>
                <w:color w:val="000000"/>
                <w:kern w:val="0"/>
                <w:sz w:val="24"/>
                <w:lang w:val="en-US" w:eastAsia="zh-CN"/>
              </w:rPr>
              <w:t>135</w:t>
            </w:r>
          </w:p>
        </w:tc>
        <w:tc>
          <w:tcPr>
            <w:tcW w:w="2061" w:type="dxa"/>
            <w:vMerge w:val="restart"/>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cs="Times New Roman"/>
                <w:bCs/>
                <w:color w:val="000000"/>
                <w:kern w:val="0"/>
                <w:sz w:val="24"/>
                <w:lang w:val="en-US" w:eastAsia="zh-CN"/>
              </w:rPr>
            </w:pPr>
            <w:r>
              <w:rPr>
                <w:rFonts w:hint="default" w:ascii="Times New Roman" w:hAnsi="Times New Roman" w:eastAsia="仿宋_GB2312" w:cs="Times New Roman"/>
                <w:bCs/>
                <w:color w:val="000000"/>
                <w:kern w:val="0"/>
                <w:sz w:val="24"/>
                <w:lang w:val="en-US" w:eastAsia="zh-CN"/>
              </w:rPr>
              <w:t>133</w:t>
            </w:r>
          </w:p>
        </w:tc>
        <w:tc>
          <w:tcPr>
            <w:tcW w:w="1748" w:type="dxa"/>
            <w:vMerge w:val="restart"/>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cs="Times New Roman"/>
                <w:bCs/>
                <w:color w:val="000000"/>
                <w:kern w:val="0"/>
                <w:sz w:val="24"/>
                <w:lang w:val="en-US" w:eastAsia="zh-CN"/>
              </w:rPr>
            </w:pPr>
            <w:r>
              <w:rPr>
                <w:rFonts w:hint="default" w:ascii="Times New Roman" w:hAnsi="Times New Roman" w:eastAsia="仿宋_GB2312" w:cs="Times New Roman"/>
                <w:bCs/>
                <w:color w:val="000000"/>
                <w:kern w:val="0"/>
                <w:sz w:val="24"/>
                <w:lang w:val="en-US" w:eastAsia="zh-CN"/>
              </w:rPr>
              <w:t>98.52%</w:t>
            </w:r>
          </w:p>
        </w:tc>
      </w:tr>
      <w:tr>
        <w:tblPrEx>
          <w:tblCellMar>
            <w:top w:w="0" w:type="dxa"/>
            <w:left w:w="108" w:type="dxa"/>
            <w:bottom w:w="0" w:type="dxa"/>
            <w:right w:w="108" w:type="dxa"/>
          </w:tblCellMar>
        </w:tblPrEx>
        <w:trPr>
          <w:trHeight w:val="70"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kern w:val="0"/>
                <w:sz w:val="24"/>
              </w:rPr>
            </w:pPr>
          </w:p>
        </w:tc>
        <w:tc>
          <w:tcPr>
            <w:tcW w:w="1727" w:type="dxa"/>
            <w:tcBorders>
              <w:left w:val="nil"/>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p>
        </w:tc>
        <w:tc>
          <w:tcPr>
            <w:tcW w:w="2061" w:type="dxa"/>
            <w:vMerge w:val="continue"/>
            <w:tcBorders>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kern w:val="0"/>
                <w:sz w:val="24"/>
              </w:rPr>
            </w:pPr>
          </w:p>
        </w:tc>
        <w:tc>
          <w:tcPr>
            <w:tcW w:w="1748" w:type="dxa"/>
            <w:vMerge w:val="continue"/>
            <w:tcBorders>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经费控制情况</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s="Times New Roman"/>
                <w:bCs/>
                <w:color w:val="000000"/>
                <w:kern w:val="0"/>
                <w:sz w:val="24"/>
              </w:rPr>
            </w:pPr>
            <w:r>
              <w:rPr>
                <w:rFonts w:hint="default" w:ascii="Times New Roman" w:hAnsi="Times New Roman" w:eastAsia="仿宋_GB2312" w:cs="Times New Roman"/>
                <w:bCs/>
                <w:color w:val="000000"/>
                <w:kern w:val="0"/>
                <w:sz w:val="24"/>
              </w:rPr>
              <w:t>2020年决算数</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s="Times New Roman"/>
                <w:bCs/>
                <w:color w:val="000000"/>
                <w:kern w:val="0"/>
                <w:sz w:val="24"/>
              </w:rPr>
            </w:pPr>
            <w:r>
              <w:rPr>
                <w:rFonts w:hint="default" w:ascii="Times New Roman" w:hAnsi="Times New Roman" w:eastAsia="仿宋_GB2312" w:cs="Times New Roman"/>
                <w:bCs/>
                <w:color w:val="000000"/>
                <w:kern w:val="0"/>
                <w:sz w:val="24"/>
              </w:rPr>
              <w:t>2021年预算数</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s="Times New Roman"/>
                <w:bCs/>
                <w:color w:val="000000"/>
                <w:kern w:val="0"/>
                <w:sz w:val="24"/>
              </w:rPr>
            </w:pPr>
            <w:r>
              <w:rPr>
                <w:rFonts w:hint="default" w:ascii="Times New Roman" w:hAnsi="Times New Roman" w:eastAsia="仿宋_GB2312" w:cs="Times New Roman"/>
                <w:bCs/>
                <w:color w:val="000000"/>
                <w:kern w:val="0"/>
                <w:sz w:val="24"/>
              </w:rPr>
              <w:t>2021年决算数</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三公经费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2.97</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34.71</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2.66</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1、公务用车购置和维护经费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2.97</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10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其中：公车购置</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0</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00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公车运行维护</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2.97</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10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2.66</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2、出国经费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0</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3、公务接待</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0</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24.71</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项目支出：</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1、业务工作专项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8273.0</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4309.95</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8341.52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2、运行维护专项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公用经费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165.46</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274</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215.54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其中：办公经费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59.61</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58.99</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17.73</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水费、电费、差旅费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22.4</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13.7</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22.7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会议费、培训费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4.75</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2</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0.03</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政府采购金额</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color w:val="000000"/>
                <w:kern w:val="0"/>
                <w:sz w:val="24"/>
                <w:lang w:val="en-US" w:eastAsia="zh-CN"/>
              </w:rPr>
              <w:t>230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2437.46</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部门整体支出预算调整 </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kern w:val="0"/>
                <w:sz w:val="24"/>
              </w:rPr>
              <w:t>——</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kern w:val="0"/>
                <w:sz w:val="24"/>
              </w:rPr>
              <w:t>——</w:t>
            </w:r>
          </w:p>
        </w:tc>
      </w:tr>
      <w:tr>
        <w:tblPrEx>
          <w:tblCellMar>
            <w:top w:w="0" w:type="dxa"/>
            <w:left w:w="108" w:type="dxa"/>
            <w:bottom w:w="0" w:type="dxa"/>
            <w:right w:w="108" w:type="dxa"/>
          </w:tblCellMar>
        </w:tblPrEx>
        <w:trPr>
          <w:trHeight w:val="1615"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厉行节约保障措施</w:t>
            </w:r>
          </w:p>
        </w:tc>
        <w:tc>
          <w:tcPr>
            <w:tcW w:w="5536" w:type="dxa"/>
            <w:gridSpan w:val="3"/>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　</w:t>
            </w:r>
            <w:r>
              <w:rPr>
                <w:rFonts w:hint="default" w:ascii="Times New Roman" w:hAnsi="Times New Roman" w:eastAsia="仿宋_GB2312" w:cs="Times New Roman"/>
                <w:kern w:val="0"/>
                <w:sz w:val="24"/>
              </w:rPr>
              <w:t>严格执行《公务接待及公务活动用餐管理办法》，严肃接待纪律。</w:t>
            </w:r>
          </w:p>
        </w:tc>
      </w:tr>
    </w:tbl>
    <w:p>
      <w:pPr>
        <w:spacing w:line="360" w:lineRule="exact"/>
        <w:ind w:left="420" w:hanging="420" w:hangingChars="200"/>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说明：“项目支出”需要填报除公共专项资金和基本支出以外的所有项目情况，包括业务工作项目、运行维护项目等；“公用经费”填报基本支出中的一般商品和服务支出。</w:t>
      </w:r>
    </w:p>
    <w:p>
      <w:pPr>
        <w:adjustRightInd w:val="0"/>
        <w:snapToGrid w:val="0"/>
        <w:spacing w:line="6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w:t>
      </w:r>
    </w:p>
    <w:p>
      <w:pPr>
        <w:adjustRightInd w:val="0"/>
        <w:snapToGrid w:val="0"/>
        <w:spacing w:line="600" w:lineRule="exact"/>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202</w:t>
      </w:r>
      <w:r>
        <w:rPr>
          <w:rFonts w:hint="default" w:ascii="Times New Roman" w:hAnsi="Times New Roman" w:eastAsia="方正小标宋简体" w:cs="Times New Roman"/>
          <w:color w:val="000000"/>
          <w:kern w:val="0"/>
          <w:sz w:val="44"/>
          <w:szCs w:val="44"/>
          <w:lang w:val="en-US" w:eastAsia="zh-CN"/>
        </w:rPr>
        <w:t>1</w:t>
      </w:r>
      <w:r>
        <w:rPr>
          <w:rFonts w:hint="default" w:ascii="Times New Roman" w:hAnsi="Times New Roman" w:eastAsia="方正小标宋简体" w:cs="Times New Roman"/>
          <w:color w:val="000000"/>
          <w:kern w:val="0"/>
          <w:sz w:val="44"/>
          <w:szCs w:val="44"/>
        </w:rPr>
        <w:t>年部门整体支出绩效自评表</w:t>
      </w:r>
    </w:p>
    <w:tbl>
      <w:tblPr>
        <w:tblStyle w:val="13"/>
        <w:tblW w:w="95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97"/>
        <w:gridCol w:w="592"/>
        <w:gridCol w:w="2160"/>
        <w:gridCol w:w="2115"/>
        <w:gridCol w:w="1020"/>
        <w:gridCol w:w="179"/>
        <w:gridCol w:w="1156"/>
        <w:gridCol w:w="270"/>
        <w:gridCol w:w="9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部门（单位）名称</w:t>
            </w:r>
          </w:p>
        </w:tc>
        <w:tc>
          <w:tcPr>
            <w:tcW w:w="7899" w:type="dxa"/>
            <w:gridSpan w:val="7"/>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lang w:eastAsia="zh-CN"/>
              </w:rPr>
              <w:t>浏阳市荷花街道办事处</w:t>
            </w:r>
            <w:r>
              <w:rPr>
                <w:rFonts w:hint="default" w:ascii="Times New Roman" w:hAnsi="Times New Roman" w:eastAsia="仿宋_GB2312" w:cs="Times New Roman"/>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整体支出规模</w:t>
            </w: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　</w:t>
            </w:r>
          </w:p>
        </w:tc>
        <w:tc>
          <w:tcPr>
            <w:tcW w:w="3135"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全年预算数</w:t>
            </w:r>
          </w:p>
        </w:tc>
        <w:tc>
          <w:tcPr>
            <w:tcW w:w="1605" w:type="dxa"/>
            <w:gridSpan w:val="3"/>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全年执行数</w:t>
            </w:r>
          </w:p>
        </w:tc>
        <w:tc>
          <w:tcPr>
            <w:tcW w:w="999" w:type="dxa"/>
            <w:noWrap w:val="0"/>
            <w:tcMar>
              <w:top w:w="15" w:type="dxa"/>
              <w:left w:w="15" w:type="dxa"/>
              <w:bottom w:w="0" w:type="dxa"/>
              <w:right w:w="15" w:type="dxa"/>
            </w:tcMar>
            <w:vAlign w:val="center"/>
          </w:tcPr>
          <w:p>
            <w:pPr>
              <w:spacing w:line="250" w:lineRule="exact"/>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65" w:hRule="atLeast"/>
          <w:jc w:val="center"/>
        </w:trPr>
        <w:tc>
          <w:tcPr>
            <w:tcW w:w="1689" w:type="dxa"/>
            <w:gridSpan w:val="2"/>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资金来源：（1）财政拨款</w:t>
            </w:r>
          </w:p>
        </w:tc>
        <w:tc>
          <w:tcPr>
            <w:tcW w:w="3135"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　</w:t>
            </w:r>
            <w:r>
              <w:rPr>
                <w:rFonts w:hint="default" w:ascii="Times New Roman" w:hAnsi="Times New Roman" w:eastAsia="仿宋_GB2312" w:cs="Times New Roman"/>
                <w:color w:val="000000"/>
                <w:sz w:val="18"/>
                <w:szCs w:val="18"/>
                <w:lang w:val="en-US" w:eastAsia="zh-CN"/>
              </w:rPr>
              <w:t>6666.78</w:t>
            </w:r>
          </w:p>
        </w:tc>
        <w:tc>
          <w:tcPr>
            <w:tcW w:w="1605" w:type="dxa"/>
            <w:gridSpan w:val="3"/>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lang w:val="en-US" w:eastAsia="zh-CN"/>
              </w:rPr>
              <w:t>10305.22</w:t>
            </w:r>
            <w:r>
              <w:rPr>
                <w:rFonts w:hint="default" w:ascii="Times New Roman" w:hAnsi="Times New Roman" w:eastAsia="仿宋_GB2312" w:cs="Times New Roman"/>
                <w:color w:val="000000"/>
                <w:sz w:val="18"/>
                <w:szCs w:val="18"/>
              </w:rPr>
              <w:t>　</w:t>
            </w:r>
          </w:p>
        </w:tc>
        <w:tc>
          <w:tcPr>
            <w:tcW w:w="999" w:type="dxa"/>
            <w:noWrap w:val="0"/>
            <w:tcMar>
              <w:top w:w="15" w:type="dxa"/>
              <w:left w:w="15" w:type="dxa"/>
              <w:bottom w:w="0" w:type="dxa"/>
              <w:right w:w="15" w:type="dxa"/>
            </w:tcMar>
            <w:vAlign w:val="center"/>
          </w:tcPr>
          <w:p>
            <w:pPr>
              <w:spacing w:line="250" w:lineRule="exact"/>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　</w:t>
            </w:r>
            <w:r>
              <w:rPr>
                <w:rFonts w:hint="default" w:ascii="Times New Roman" w:hAnsi="Times New Roman" w:eastAsia="仿宋_GB2312" w:cs="Times New Roman"/>
                <w:color w:val="000000"/>
                <w:sz w:val="18"/>
                <w:szCs w:val="18"/>
                <w:lang w:val="en-US" w:eastAsia="zh-CN"/>
              </w:rPr>
              <w:t>154.58%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 xml:space="preserve">         （2）其他资金</w:t>
            </w:r>
          </w:p>
        </w:tc>
        <w:tc>
          <w:tcPr>
            <w:tcW w:w="3135"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　</w:t>
            </w:r>
          </w:p>
        </w:tc>
        <w:tc>
          <w:tcPr>
            <w:tcW w:w="1605" w:type="dxa"/>
            <w:gridSpan w:val="3"/>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lang w:val="en-US" w:eastAsia="zh-CN"/>
              </w:rPr>
              <w:t>940.2</w:t>
            </w:r>
            <w:r>
              <w:rPr>
                <w:rFonts w:hint="default" w:ascii="Times New Roman" w:hAnsi="Times New Roman" w:eastAsia="仿宋_GB2312" w:cs="Times New Roman"/>
                <w:color w:val="000000"/>
                <w:sz w:val="18"/>
                <w:szCs w:val="18"/>
              </w:rPr>
              <w:t>　</w:t>
            </w:r>
          </w:p>
        </w:tc>
        <w:tc>
          <w:tcPr>
            <w:tcW w:w="999" w:type="dxa"/>
            <w:noWrap w:val="0"/>
            <w:tcMar>
              <w:top w:w="15" w:type="dxa"/>
              <w:left w:w="15" w:type="dxa"/>
              <w:bottom w:w="0" w:type="dxa"/>
              <w:right w:w="15" w:type="dxa"/>
            </w:tcMar>
            <w:vAlign w:val="center"/>
          </w:tcPr>
          <w:p>
            <w:pPr>
              <w:spacing w:line="250" w:lineRule="exact"/>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资金结构：（1）基本支出</w:t>
            </w:r>
          </w:p>
        </w:tc>
        <w:tc>
          <w:tcPr>
            <w:tcW w:w="3135"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　</w:t>
            </w:r>
            <w:r>
              <w:rPr>
                <w:rFonts w:hint="default" w:ascii="Times New Roman" w:hAnsi="Times New Roman" w:eastAsia="仿宋_GB2312" w:cs="Times New Roman"/>
                <w:color w:val="000000"/>
                <w:sz w:val="18"/>
                <w:szCs w:val="18"/>
                <w:lang w:val="en-US" w:eastAsia="zh-CN"/>
              </w:rPr>
              <w:t>2356.83</w:t>
            </w:r>
          </w:p>
        </w:tc>
        <w:tc>
          <w:tcPr>
            <w:tcW w:w="1605" w:type="dxa"/>
            <w:gridSpan w:val="3"/>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　</w:t>
            </w:r>
            <w:r>
              <w:rPr>
                <w:rFonts w:hint="default" w:ascii="Times New Roman" w:hAnsi="Times New Roman" w:eastAsia="仿宋_GB2312" w:cs="Times New Roman"/>
                <w:color w:val="000000"/>
                <w:sz w:val="18"/>
                <w:szCs w:val="18"/>
                <w:lang w:val="en-US" w:eastAsia="zh-CN"/>
              </w:rPr>
              <w:t>2903.9</w:t>
            </w:r>
          </w:p>
        </w:tc>
        <w:tc>
          <w:tcPr>
            <w:tcW w:w="999" w:type="dxa"/>
            <w:noWrap w:val="0"/>
            <w:tcMar>
              <w:top w:w="15" w:type="dxa"/>
              <w:left w:w="15" w:type="dxa"/>
              <w:bottom w:w="0" w:type="dxa"/>
              <w:right w:w="15" w:type="dxa"/>
            </w:tcMar>
            <w:vAlign w:val="center"/>
          </w:tcPr>
          <w:p>
            <w:pPr>
              <w:spacing w:line="250" w:lineRule="exact"/>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　</w:t>
            </w:r>
            <w:r>
              <w:rPr>
                <w:rFonts w:hint="default" w:ascii="Times New Roman" w:hAnsi="Times New Roman" w:eastAsia="仿宋_GB2312" w:cs="Times New Roman"/>
                <w:color w:val="000000"/>
                <w:sz w:val="18"/>
                <w:szCs w:val="18"/>
                <w:lang w:val="en-US" w:eastAsia="zh-CN"/>
              </w:rPr>
              <w:t>123.21%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 xml:space="preserve">         （2）项目支出</w:t>
            </w:r>
          </w:p>
        </w:tc>
        <w:tc>
          <w:tcPr>
            <w:tcW w:w="3135"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lang w:val="en-US" w:eastAsia="zh-CN"/>
              </w:rPr>
              <w:t>4309.95</w:t>
            </w:r>
            <w:r>
              <w:rPr>
                <w:rFonts w:hint="default" w:ascii="Times New Roman" w:hAnsi="Times New Roman" w:eastAsia="仿宋_GB2312" w:cs="Times New Roman"/>
                <w:color w:val="000000"/>
                <w:sz w:val="18"/>
                <w:szCs w:val="18"/>
              </w:rPr>
              <w:t>　</w:t>
            </w:r>
          </w:p>
        </w:tc>
        <w:tc>
          <w:tcPr>
            <w:tcW w:w="1605" w:type="dxa"/>
            <w:gridSpan w:val="3"/>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　</w:t>
            </w:r>
            <w:r>
              <w:rPr>
                <w:rFonts w:hint="default" w:ascii="Times New Roman" w:hAnsi="Times New Roman" w:eastAsia="仿宋_GB2312" w:cs="Times New Roman"/>
                <w:color w:val="000000"/>
                <w:sz w:val="18"/>
                <w:szCs w:val="18"/>
                <w:lang w:val="en-US" w:eastAsia="zh-CN"/>
              </w:rPr>
              <w:t>8341.52</w:t>
            </w:r>
          </w:p>
        </w:tc>
        <w:tc>
          <w:tcPr>
            <w:tcW w:w="999" w:type="dxa"/>
            <w:noWrap w:val="0"/>
            <w:tcMar>
              <w:top w:w="15" w:type="dxa"/>
              <w:left w:w="15" w:type="dxa"/>
              <w:bottom w:w="0" w:type="dxa"/>
              <w:right w:w="15" w:type="dxa"/>
            </w:tcMar>
            <w:vAlign w:val="center"/>
          </w:tcPr>
          <w:p>
            <w:pPr>
              <w:spacing w:line="250" w:lineRule="exact"/>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rPr>
              <w:t>　</w:t>
            </w:r>
            <w:r>
              <w:rPr>
                <w:rFonts w:hint="default" w:ascii="Times New Roman" w:hAnsi="Times New Roman" w:eastAsia="仿宋_GB2312" w:cs="Times New Roman"/>
                <w:color w:val="000000"/>
                <w:sz w:val="18"/>
                <w:szCs w:val="18"/>
                <w:lang w:val="en-US" w:eastAsia="zh-CN"/>
              </w:rPr>
              <w:t>193.54%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年度总</w:t>
            </w:r>
          </w:p>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体目标</w:t>
            </w:r>
          </w:p>
        </w:tc>
        <w:tc>
          <w:tcPr>
            <w:tcW w:w="4867" w:type="dxa"/>
            <w:gridSpan w:val="3"/>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年初设定目标</w:t>
            </w:r>
          </w:p>
        </w:tc>
        <w:tc>
          <w:tcPr>
            <w:tcW w:w="3624" w:type="dxa"/>
            <w:gridSpan w:val="5"/>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4867" w:type="dxa"/>
            <w:gridSpan w:val="3"/>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rPr>
              <w:t>　</w:t>
            </w:r>
            <w:r>
              <w:rPr>
                <w:rFonts w:hint="default" w:ascii="Times New Roman" w:hAnsi="Times New Roman" w:eastAsia="仿宋_GB2312" w:cs="Times New Roman"/>
                <w:color w:val="000000"/>
                <w:sz w:val="18"/>
                <w:szCs w:val="18"/>
                <w:lang w:val="en-US" w:eastAsia="zh-CN"/>
              </w:rPr>
              <w:t>完成年初项目目标，使街道更好更快发展</w:t>
            </w:r>
          </w:p>
        </w:tc>
        <w:tc>
          <w:tcPr>
            <w:tcW w:w="3624" w:type="dxa"/>
            <w:gridSpan w:val="5"/>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完成</w:t>
            </w:r>
            <w:r>
              <w:rPr>
                <w:rFonts w:hint="default" w:ascii="Times New Roman" w:hAnsi="Times New Roman" w:eastAsia="仿宋_GB2312" w:cs="Times New Roman"/>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9588" w:type="dxa"/>
            <w:gridSpan w:val="9"/>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一级指标</w:t>
            </w:r>
          </w:p>
        </w:tc>
        <w:tc>
          <w:tcPr>
            <w:tcW w:w="592"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权重</w:t>
            </w:r>
          </w:p>
        </w:tc>
        <w:tc>
          <w:tcPr>
            <w:tcW w:w="2160"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二级指标</w:t>
            </w:r>
          </w:p>
        </w:tc>
        <w:tc>
          <w:tcPr>
            <w:tcW w:w="2115"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三级指标</w:t>
            </w:r>
          </w:p>
        </w:tc>
        <w:tc>
          <w:tcPr>
            <w:tcW w:w="1199" w:type="dxa"/>
            <w:gridSpan w:val="2"/>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年度指标值</w:t>
            </w:r>
          </w:p>
        </w:tc>
        <w:tc>
          <w:tcPr>
            <w:tcW w:w="1156" w:type="dxa"/>
            <w:vMerge w:val="restart"/>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全  年</w:t>
            </w:r>
          </w:p>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完成值</w:t>
            </w:r>
          </w:p>
        </w:tc>
        <w:tc>
          <w:tcPr>
            <w:tcW w:w="270" w:type="dxa"/>
            <w:vMerge w:val="restart"/>
            <w:noWrap w:val="0"/>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自评</w:t>
            </w:r>
          </w:p>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得分</w:t>
            </w:r>
          </w:p>
        </w:tc>
        <w:tc>
          <w:tcPr>
            <w:tcW w:w="999"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偏差及</w:t>
            </w:r>
          </w:p>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15"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1199" w:type="dxa"/>
            <w:gridSpan w:val="2"/>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1156"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70"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999"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097"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投入管理</w:t>
            </w:r>
          </w:p>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指  标</w:t>
            </w:r>
          </w:p>
        </w:tc>
        <w:tc>
          <w:tcPr>
            <w:tcW w:w="592"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30</w:t>
            </w: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预算编审管理（3）</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准确性</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103.64%</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2</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人员增加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05"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预算执行管理（4）</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管理制度健全性</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4</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部门结转结余资金管理（4）</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rPr>
              <w:t>结转结余</w:t>
            </w:r>
            <w:r>
              <w:rPr>
                <w:rFonts w:hint="default" w:ascii="Times New Roman" w:hAnsi="Times New Roman" w:eastAsia="仿宋_GB2312" w:cs="Times New Roman"/>
                <w:color w:val="000000"/>
                <w:sz w:val="18"/>
                <w:szCs w:val="18"/>
                <w:lang w:val="en-US" w:eastAsia="zh-CN"/>
              </w:rPr>
              <w:t>合规性</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4</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预算绩效管理（5）</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绩效项目申报表准确性</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5</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预决算信息公开管理（4）</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rPr>
              <w:t>预决算信息公开</w:t>
            </w:r>
            <w:r>
              <w:rPr>
                <w:rFonts w:hint="default" w:ascii="Times New Roman" w:hAnsi="Times New Roman" w:eastAsia="仿宋_GB2312" w:cs="Times New Roman"/>
                <w:color w:val="000000"/>
                <w:sz w:val="18"/>
                <w:szCs w:val="18"/>
                <w:lang w:val="en-US" w:eastAsia="zh-CN"/>
              </w:rPr>
              <w:t>及时性</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kern w:val="2"/>
                <w:sz w:val="18"/>
                <w:szCs w:val="18"/>
                <w:lang w:val="en-US" w:eastAsia="zh-CN" w:bidi="ar-SA"/>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4</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财政监督管理（3）</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无差错性</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3</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政府采购管理（3）</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制度健全性</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3</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95"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资产管理（4）</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资产管理安全性</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4</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0" w:hRule="atLeast"/>
          <w:jc w:val="center"/>
        </w:trPr>
        <w:tc>
          <w:tcPr>
            <w:tcW w:w="1097"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产出指标</w:t>
            </w:r>
          </w:p>
        </w:tc>
        <w:tc>
          <w:tcPr>
            <w:tcW w:w="592"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25</w:t>
            </w:r>
          </w:p>
        </w:tc>
        <w:tc>
          <w:tcPr>
            <w:tcW w:w="2160"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数量指标（6）</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年度实施计划完成率</w:t>
            </w:r>
          </w:p>
        </w:tc>
        <w:tc>
          <w:tcPr>
            <w:tcW w:w="1199" w:type="dxa"/>
            <w:gridSpan w:val="2"/>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2</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rPr>
              <w:t>预算</w:t>
            </w:r>
            <w:r>
              <w:rPr>
                <w:rFonts w:hint="default" w:ascii="Times New Roman" w:hAnsi="Times New Roman" w:eastAsia="仿宋_GB2312" w:cs="Times New Roman"/>
                <w:color w:val="000000"/>
                <w:sz w:val="18"/>
                <w:szCs w:val="18"/>
                <w:lang w:val="en-US" w:eastAsia="zh-CN"/>
              </w:rPr>
              <w:t>完成</w:t>
            </w:r>
            <w:r>
              <w:rPr>
                <w:rFonts w:hint="default" w:ascii="Times New Roman" w:hAnsi="Times New Roman" w:eastAsia="仿宋_GB2312" w:cs="Times New Roman"/>
                <w:color w:val="000000"/>
                <w:sz w:val="18"/>
                <w:szCs w:val="18"/>
              </w:rPr>
              <w:t>率</w:t>
            </w:r>
          </w:p>
        </w:tc>
        <w:tc>
          <w:tcPr>
            <w:tcW w:w="1199" w:type="dxa"/>
            <w:gridSpan w:val="2"/>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154.58%</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rPr>
              <w:t>政府采购执行率</w:t>
            </w:r>
          </w:p>
        </w:tc>
        <w:tc>
          <w:tcPr>
            <w:tcW w:w="1199" w:type="dxa"/>
            <w:gridSpan w:val="2"/>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1059.77%</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0</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质量指标（8）</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rPr>
              <w:t>固定资产利用率</w:t>
            </w:r>
          </w:p>
        </w:tc>
        <w:tc>
          <w:tcPr>
            <w:tcW w:w="1199" w:type="dxa"/>
            <w:gridSpan w:val="2"/>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4</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rPr>
              <w:t>资金使用合规率</w:t>
            </w:r>
          </w:p>
        </w:tc>
        <w:tc>
          <w:tcPr>
            <w:tcW w:w="1199" w:type="dxa"/>
            <w:gridSpan w:val="2"/>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4</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时效指标（5）</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rPr>
              <w:t>支付</w:t>
            </w:r>
            <w:r>
              <w:rPr>
                <w:rFonts w:hint="default" w:ascii="Times New Roman" w:hAnsi="Times New Roman" w:eastAsia="仿宋_GB2312" w:cs="Times New Roman"/>
                <w:color w:val="000000"/>
                <w:sz w:val="18"/>
                <w:szCs w:val="18"/>
                <w:lang w:val="en-US" w:eastAsia="zh-CN"/>
              </w:rPr>
              <w:t>准时性</w:t>
            </w:r>
          </w:p>
        </w:tc>
        <w:tc>
          <w:tcPr>
            <w:tcW w:w="1199" w:type="dxa"/>
            <w:gridSpan w:val="2"/>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3</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80"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验收准时性</w:t>
            </w:r>
          </w:p>
        </w:tc>
        <w:tc>
          <w:tcPr>
            <w:tcW w:w="1199" w:type="dxa"/>
            <w:gridSpan w:val="2"/>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2</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zh-CN"/>
              </w:rPr>
            </w:pPr>
            <w:r>
              <w:rPr>
                <w:rFonts w:hint="default" w:ascii="Times New Roman" w:hAnsi="Times New Roman" w:eastAsia="仿宋_GB2312" w:cs="Times New Roman"/>
                <w:color w:val="000000"/>
                <w:sz w:val="18"/>
                <w:szCs w:val="18"/>
                <w:lang w:val="zh-CN"/>
              </w:rPr>
              <w:t>成本指标（6）</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zh-CN"/>
              </w:rPr>
              <w:t>公用经费控制率</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78.66%</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w:t>
            </w:r>
          </w:p>
        </w:tc>
        <w:tc>
          <w:tcPr>
            <w:tcW w:w="999" w:type="dxa"/>
            <w:noWrap w:val="0"/>
            <w:tcMar>
              <w:top w:w="15" w:type="dxa"/>
              <w:left w:w="15" w:type="dxa"/>
              <w:bottom w:w="0" w:type="dxa"/>
              <w:right w:w="15" w:type="dxa"/>
            </w:tcMar>
            <w:vAlign w:val="center"/>
          </w:tcPr>
          <w:p>
            <w:pPr>
              <w:jc w:val="center"/>
              <w:rPr>
                <w:rFonts w:hint="default" w:ascii="Times New Roman" w:hAnsi="Times New Roman" w:eastAsia="仿宋_GB2312" w:cs="Times New Roman"/>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vMerge w:val="continue"/>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zh-CN"/>
              </w:rPr>
            </w:pP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zh-CN"/>
              </w:rPr>
              <w:t>三公经费控制率</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7.66%</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2</w:t>
            </w:r>
          </w:p>
        </w:tc>
        <w:tc>
          <w:tcPr>
            <w:tcW w:w="999" w:type="dxa"/>
            <w:noWrap w:val="0"/>
            <w:tcMar>
              <w:top w:w="15" w:type="dxa"/>
              <w:left w:w="15" w:type="dxa"/>
              <w:bottom w:w="0" w:type="dxa"/>
              <w:right w:w="15" w:type="dxa"/>
            </w:tcMar>
            <w:vAlign w:val="center"/>
          </w:tcPr>
          <w:p>
            <w:pPr>
              <w:jc w:val="center"/>
              <w:rPr>
                <w:rFonts w:hint="default" w:ascii="Times New Roman" w:hAnsi="Times New Roman" w:eastAsia="仿宋_GB2312" w:cs="Times New Roman"/>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vMerge w:val="continue"/>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zh-CN"/>
              </w:rPr>
            </w:pP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zh-CN"/>
              </w:rPr>
            </w:pPr>
            <w:r>
              <w:rPr>
                <w:rFonts w:hint="default" w:ascii="Times New Roman" w:hAnsi="Times New Roman" w:eastAsia="仿宋_GB2312" w:cs="Times New Roman"/>
                <w:color w:val="000000"/>
                <w:sz w:val="18"/>
                <w:szCs w:val="18"/>
                <w:lang w:val="zh-CN"/>
              </w:rPr>
              <w:t>人员控制率</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2</w:t>
            </w:r>
          </w:p>
        </w:tc>
        <w:tc>
          <w:tcPr>
            <w:tcW w:w="999" w:type="dxa"/>
            <w:noWrap w:val="0"/>
            <w:tcMar>
              <w:top w:w="15" w:type="dxa"/>
              <w:left w:w="15" w:type="dxa"/>
              <w:bottom w:w="0" w:type="dxa"/>
              <w:right w:w="15" w:type="dxa"/>
            </w:tcMar>
            <w:vAlign w:val="center"/>
          </w:tcPr>
          <w:p>
            <w:pPr>
              <w:jc w:val="center"/>
              <w:rPr>
                <w:rFonts w:hint="default" w:ascii="Times New Roman" w:hAnsi="Times New Roman" w:eastAsia="仿宋_GB2312" w:cs="Times New Roman"/>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效益指标</w:t>
            </w:r>
          </w:p>
          <w:p>
            <w:pPr>
              <w:spacing w:line="250" w:lineRule="exact"/>
              <w:jc w:val="center"/>
              <w:rPr>
                <w:rFonts w:hint="default" w:ascii="Times New Roman" w:hAnsi="Times New Roman" w:eastAsia="仿宋_GB2312" w:cs="Times New Roman"/>
                <w:color w:val="000000"/>
                <w:sz w:val="18"/>
                <w:szCs w:val="18"/>
              </w:rPr>
            </w:pPr>
          </w:p>
        </w:tc>
        <w:tc>
          <w:tcPr>
            <w:tcW w:w="592"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45</w:t>
            </w:r>
          </w:p>
        </w:tc>
        <w:tc>
          <w:tcPr>
            <w:tcW w:w="2160"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zh-CN"/>
              </w:rPr>
            </w:pPr>
            <w:r>
              <w:rPr>
                <w:rFonts w:hint="default" w:ascii="Times New Roman" w:hAnsi="Times New Roman" w:eastAsia="仿宋_GB2312" w:cs="Times New Roman"/>
                <w:color w:val="000000"/>
                <w:sz w:val="18"/>
                <w:szCs w:val="18"/>
                <w:lang w:val="zh-CN"/>
              </w:rPr>
              <w:t>经济效益指标（10）</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涉农补贴发放人次</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zh-CN"/>
              </w:rPr>
              <w:t>　</w:t>
            </w:r>
            <w:r>
              <w:rPr>
                <w:rFonts w:hint="default" w:ascii="Times New Roman" w:hAnsi="Times New Roman" w:eastAsia="仿宋_GB2312" w:cs="Times New Roman"/>
                <w:color w:val="000000"/>
                <w:sz w:val="18"/>
                <w:szCs w:val="18"/>
                <w:lang w:val="en-US" w:eastAsia="zh-CN"/>
              </w:rPr>
              <w:t>≥5万人次</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7.26万人次</w:t>
            </w:r>
            <w:r>
              <w:rPr>
                <w:rFonts w:hint="default" w:ascii="Times New Roman" w:hAnsi="Times New Roman" w:eastAsia="仿宋_GB2312" w:cs="Times New Roman"/>
                <w:color w:val="000000"/>
                <w:sz w:val="18"/>
                <w:szCs w:val="18"/>
                <w:lang w:val="zh-CN"/>
              </w:rPr>
              <w:t>　</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5</w:t>
            </w:r>
          </w:p>
        </w:tc>
        <w:tc>
          <w:tcPr>
            <w:tcW w:w="999" w:type="dxa"/>
            <w:noWrap w:val="0"/>
            <w:tcMar>
              <w:top w:w="15" w:type="dxa"/>
              <w:left w:w="15" w:type="dxa"/>
              <w:bottom w:w="0" w:type="dxa"/>
              <w:right w:w="15" w:type="dxa"/>
            </w:tcMar>
            <w:vAlign w:val="center"/>
          </w:tcPr>
          <w:p>
            <w:pPr>
              <w:jc w:val="center"/>
              <w:rPr>
                <w:rFonts w:hint="default" w:ascii="Times New Roman" w:hAnsi="Times New Roman" w:eastAsia="仿宋_GB2312" w:cs="Times New Roman"/>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2160"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lang w:val="zh-CN"/>
              </w:rPr>
            </w:pP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涉农补贴发放金额</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zh-CN"/>
              </w:rPr>
            </w:pPr>
            <w:r>
              <w:rPr>
                <w:rFonts w:hint="default" w:ascii="Times New Roman" w:hAnsi="Times New Roman" w:eastAsia="仿宋_GB2312" w:cs="Times New Roman"/>
                <w:color w:val="000000"/>
                <w:sz w:val="18"/>
                <w:szCs w:val="18"/>
                <w:lang w:val="en-US" w:eastAsia="zh-CN"/>
              </w:rPr>
              <w:t>≥2000万</w:t>
            </w:r>
            <w:r>
              <w:rPr>
                <w:rFonts w:hint="default" w:ascii="Times New Roman" w:hAnsi="Times New Roman" w:eastAsia="仿宋_GB2312" w:cs="Times New Roman"/>
                <w:color w:val="000000"/>
                <w:sz w:val="18"/>
                <w:szCs w:val="18"/>
                <w:lang w:val="zh-CN"/>
              </w:rPr>
              <w:t>　</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zh-CN"/>
              </w:rPr>
            </w:pPr>
            <w:r>
              <w:rPr>
                <w:rFonts w:hint="default" w:ascii="Times New Roman" w:hAnsi="Times New Roman" w:eastAsia="仿宋_GB2312" w:cs="Times New Roman"/>
                <w:color w:val="000000"/>
                <w:sz w:val="18"/>
                <w:szCs w:val="18"/>
                <w:lang w:val="en-US" w:eastAsia="zh-CN"/>
              </w:rPr>
              <w:t>2341.33万</w:t>
            </w:r>
            <w:r>
              <w:rPr>
                <w:rFonts w:hint="default" w:ascii="Times New Roman" w:hAnsi="Times New Roman" w:eastAsia="仿宋_GB2312" w:cs="Times New Roman"/>
                <w:color w:val="000000"/>
                <w:sz w:val="18"/>
                <w:szCs w:val="18"/>
                <w:lang w:val="zh-CN"/>
              </w:rPr>
              <w:t>　</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5</w:t>
            </w:r>
          </w:p>
        </w:tc>
        <w:tc>
          <w:tcPr>
            <w:tcW w:w="999" w:type="dxa"/>
            <w:noWrap w:val="0"/>
            <w:tcMar>
              <w:top w:w="15" w:type="dxa"/>
              <w:left w:w="15" w:type="dxa"/>
              <w:bottom w:w="0" w:type="dxa"/>
              <w:right w:w="15" w:type="dxa"/>
            </w:tcMar>
            <w:vAlign w:val="center"/>
          </w:tcPr>
          <w:p>
            <w:pPr>
              <w:jc w:val="center"/>
              <w:rPr>
                <w:rFonts w:hint="default" w:ascii="Times New Roman" w:hAnsi="Times New Roman" w:eastAsia="仿宋_GB2312" w:cs="Times New Roman"/>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2160"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zh-CN"/>
              </w:rPr>
            </w:pPr>
            <w:r>
              <w:rPr>
                <w:rFonts w:hint="default" w:ascii="Times New Roman" w:hAnsi="Times New Roman" w:eastAsia="仿宋_GB2312" w:cs="Times New Roman"/>
                <w:color w:val="000000"/>
                <w:sz w:val="18"/>
                <w:szCs w:val="18"/>
                <w:lang w:val="zh-CN"/>
              </w:rPr>
              <w:t>社会效益指标（10）</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zh-CN"/>
              </w:rPr>
            </w:pPr>
            <w:r>
              <w:rPr>
                <w:rFonts w:hint="default" w:ascii="Times New Roman" w:hAnsi="Times New Roman" w:eastAsia="仿宋_GB2312" w:cs="Times New Roman"/>
                <w:color w:val="000000"/>
                <w:sz w:val="18"/>
                <w:szCs w:val="18"/>
                <w:lang w:val="zh-CN"/>
              </w:rPr>
              <w:t>一户多宅整治面积</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≥3万平方米</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3.02万平方米</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5</w:t>
            </w:r>
          </w:p>
        </w:tc>
        <w:tc>
          <w:tcPr>
            <w:tcW w:w="999" w:type="dxa"/>
            <w:noWrap w:val="0"/>
            <w:tcMar>
              <w:top w:w="15" w:type="dxa"/>
              <w:left w:w="15" w:type="dxa"/>
              <w:bottom w:w="0" w:type="dxa"/>
              <w:right w:w="15" w:type="dxa"/>
            </w:tcMar>
            <w:vAlign w:val="center"/>
          </w:tcPr>
          <w:p>
            <w:pPr>
              <w:jc w:val="center"/>
              <w:rPr>
                <w:rFonts w:hint="default" w:ascii="Times New Roman" w:hAnsi="Times New Roman" w:eastAsia="仿宋_GB2312" w:cs="Times New Roman"/>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0" w:hRule="atLeast"/>
          <w:jc w:val="center"/>
        </w:trPr>
        <w:tc>
          <w:tcPr>
            <w:tcW w:w="1097"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2160"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lang w:val="zh-CN"/>
              </w:rPr>
            </w:pP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违法建筑拆除面积</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rPr>
            </w:pPr>
            <w:r>
              <w:rPr>
                <w:rFonts w:hint="default" w:ascii="Times New Roman" w:hAnsi="Times New Roman" w:eastAsia="仿宋_GB2312" w:cs="Times New Roman"/>
                <w:color w:val="000000"/>
                <w:sz w:val="18"/>
                <w:szCs w:val="18"/>
                <w:lang w:val="en-US" w:eastAsia="zh-CN"/>
              </w:rPr>
              <w:t>≥3万平方米</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3.4万平方米</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5</w:t>
            </w:r>
          </w:p>
        </w:tc>
        <w:tc>
          <w:tcPr>
            <w:tcW w:w="999" w:type="dxa"/>
            <w:noWrap w:val="0"/>
            <w:tcMar>
              <w:top w:w="15" w:type="dxa"/>
              <w:left w:w="15" w:type="dxa"/>
              <w:bottom w:w="0" w:type="dxa"/>
              <w:right w:w="15" w:type="dxa"/>
            </w:tcMar>
            <w:vAlign w:val="center"/>
          </w:tcPr>
          <w:p>
            <w:pPr>
              <w:jc w:val="center"/>
              <w:rPr>
                <w:rFonts w:hint="default" w:ascii="Times New Roman" w:hAnsi="Times New Roman" w:eastAsia="仿宋_GB2312" w:cs="Times New Roman"/>
                <w:sz w:val="18"/>
                <w:szCs w:val="18"/>
                <w:lang w:val="zh-CN"/>
              </w:rPr>
            </w:pPr>
            <w:r>
              <w:rPr>
                <w:rFonts w:hint="default" w:ascii="Times New Roman" w:hAnsi="Times New Roman" w:eastAsia="仿宋_GB2312" w:cs="Times New Roman"/>
                <w:sz w:val="18"/>
                <w:szCs w:val="18"/>
                <w:lang w:val="zh-CN"/>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zh-CN"/>
              </w:rPr>
            </w:pPr>
            <w:r>
              <w:rPr>
                <w:rFonts w:hint="default" w:ascii="Times New Roman" w:hAnsi="Times New Roman" w:eastAsia="仿宋_GB2312" w:cs="Times New Roman"/>
                <w:color w:val="000000"/>
                <w:sz w:val="18"/>
                <w:szCs w:val="18"/>
                <w:lang w:val="zh-CN"/>
              </w:rPr>
              <w:t>生态效益指标（7）</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推动河流整治</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rPr>
            </w:pPr>
            <w:r>
              <w:rPr>
                <w:rFonts w:hint="default" w:ascii="Times New Roman" w:hAnsi="Times New Roman" w:eastAsia="仿宋_GB2312" w:cs="Times New Roman"/>
                <w:color w:val="000000"/>
                <w:sz w:val="18"/>
                <w:szCs w:val="18"/>
                <w:lang w:val="en-US" w:eastAsia="zh-CN"/>
              </w:rPr>
              <w:t>≥2条</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3条</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7</w:t>
            </w:r>
          </w:p>
        </w:tc>
        <w:tc>
          <w:tcPr>
            <w:tcW w:w="999" w:type="dxa"/>
            <w:noWrap w:val="0"/>
            <w:tcMar>
              <w:top w:w="15" w:type="dxa"/>
              <w:left w:w="15" w:type="dxa"/>
              <w:bottom w:w="0" w:type="dxa"/>
              <w:right w:w="15" w:type="dxa"/>
            </w:tcMar>
            <w:vAlign w:val="center"/>
          </w:tcPr>
          <w:p>
            <w:pPr>
              <w:jc w:val="center"/>
              <w:rPr>
                <w:rFonts w:hint="default" w:ascii="Times New Roman" w:hAnsi="Times New Roman" w:eastAsia="仿宋_GB2312" w:cs="Times New Roman"/>
                <w:sz w:val="18"/>
                <w:szCs w:val="18"/>
                <w:lang w:val="zh-CN"/>
              </w:rPr>
            </w:pPr>
            <w:r>
              <w:rPr>
                <w:rFonts w:hint="default" w:ascii="Times New Roman" w:hAnsi="Times New Roman" w:eastAsia="仿宋_GB2312" w:cs="Times New Roman"/>
                <w:sz w:val="18"/>
                <w:szCs w:val="18"/>
                <w:lang w:val="zh-CN"/>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jc w:val="center"/>
              <w:rPr>
                <w:rFonts w:hint="default" w:ascii="Times New Roman" w:hAnsi="Times New Roman" w:eastAsia="仿宋_GB2312" w:cs="Times New Roman"/>
                <w:color w:val="000000"/>
                <w:sz w:val="18"/>
                <w:szCs w:val="18"/>
              </w:rPr>
            </w:pPr>
          </w:p>
        </w:tc>
        <w:tc>
          <w:tcPr>
            <w:tcW w:w="2160" w:type="dxa"/>
            <w:noWrap w:val="0"/>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可持续影响指标（8）</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助推街道经济社会稳步发展</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≥60%</w:t>
            </w:r>
          </w:p>
        </w:tc>
        <w:tc>
          <w:tcPr>
            <w:tcW w:w="1156"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76.35%</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8</w:t>
            </w:r>
          </w:p>
        </w:tc>
        <w:tc>
          <w:tcPr>
            <w:tcW w:w="999" w:type="dxa"/>
            <w:noWrap w:val="0"/>
            <w:vAlign w:val="center"/>
          </w:tcPr>
          <w:p>
            <w:pPr>
              <w:spacing w:line="250" w:lineRule="exact"/>
              <w:jc w:val="center"/>
              <w:rPr>
                <w:rFonts w:hint="default" w:ascii="Times New Roman" w:hAnsi="Times New Roman" w:eastAsia="仿宋_GB2312"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p>
        </w:tc>
        <w:tc>
          <w:tcPr>
            <w:tcW w:w="592" w:type="dxa"/>
            <w:vMerge w:val="continue"/>
            <w:noWrap/>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p>
        </w:tc>
        <w:tc>
          <w:tcPr>
            <w:tcW w:w="2160" w:type="dxa"/>
            <w:vMerge w:val="restart"/>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满意度指标（10）</w:t>
            </w: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rPr>
              <w:t>项目申报单位满意度</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rPr>
              <w:t>≥95%</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5</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097"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592"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60" w:type="dxa"/>
            <w:vMerge w:val="continue"/>
            <w:noWrap w:val="0"/>
            <w:vAlign w:val="center"/>
          </w:tcPr>
          <w:p>
            <w:pPr>
              <w:spacing w:line="250" w:lineRule="exact"/>
              <w:rPr>
                <w:rFonts w:hint="default" w:ascii="Times New Roman" w:hAnsi="Times New Roman" w:eastAsia="仿宋_GB2312" w:cs="Times New Roman"/>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rPr>
              <w:t>社会公众对</w:t>
            </w:r>
            <w:r>
              <w:rPr>
                <w:rFonts w:hint="default" w:ascii="Times New Roman" w:hAnsi="Times New Roman" w:eastAsia="仿宋_GB2312" w:cs="Times New Roman"/>
                <w:color w:val="000000"/>
                <w:sz w:val="18"/>
                <w:szCs w:val="18"/>
                <w:lang w:eastAsia="zh-CN"/>
              </w:rPr>
              <w:t>实施</w:t>
            </w:r>
            <w:r>
              <w:rPr>
                <w:rFonts w:hint="default" w:ascii="Times New Roman" w:hAnsi="Times New Roman" w:eastAsia="仿宋_GB2312" w:cs="Times New Roman"/>
                <w:color w:val="000000"/>
                <w:sz w:val="18"/>
                <w:szCs w:val="18"/>
                <w:lang w:val="en-US" w:eastAsia="zh-CN"/>
              </w:rPr>
              <w:t>项目</w:t>
            </w:r>
            <w:r>
              <w:rPr>
                <w:rFonts w:hint="default" w:ascii="Times New Roman" w:hAnsi="Times New Roman" w:eastAsia="仿宋_GB2312" w:cs="Times New Roman"/>
                <w:color w:val="000000"/>
                <w:sz w:val="18"/>
                <w:szCs w:val="18"/>
              </w:rPr>
              <w:t>实施效果满意度</w:t>
            </w:r>
            <w:r>
              <w:rPr>
                <w:rFonts w:hint="default" w:ascii="Times New Roman" w:hAnsi="Times New Roman" w:eastAsia="仿宋_GB2312" w:cs="Times New Roman"/>
                <w:color w:val="000000"/>
                <w:sz w:val="18"/>
                <w:szCs w:val="18"/>
                <w:lang w:val="en-US" w:eastAsia="zh-CN"/>
              </w:rPr>
              <w:t>率</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rPr>
              <w:t>≥95%</w:t>
            </w:r>
          </w:p>
        </w:tc>
        <w:tc>
          <w:tcPr>
            <w:tcW w:w="1156"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lang w:val="en-US" w:eastAsia="zh-CN"/>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5</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3849" w:type="dxa"/>
            <w:gridSpan w:val="3"/>
            <w:noWrap w:val="0"/>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总  分</w:t>
            </w:r>
          </w:p>
        </w:tc>
        <w:tc>
          <w:tcPr>
            <w:tcW w:w="4470" w:type="dxa"/>
            <w:gridSpan w:val="4"/>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100</w:t>
            </w:r>
          </w:p>
        </w:tc>
        <w:tc>
          <w:tcPr>
            <w:tcW w:w="270" w:type="dxa"/>
            <w:noWrap w:val="0"/>
            <w:vAlign w:val="center"/>
          </w:tcPr>
          <w:p>
            <w:pPr>
              <w:spacing w:line="250" w:lineRule="exact"/>
              <w:jc w:val="center"/>
              <w:rPr>
                <w:rFonts w:hint="default" w:ascii="Times New Roman" w:hAnsi="Times New Roman" w:eastAsia="仿宋_GB2312" w:cs="Times New Roman"/>
                <w:color w:val="000000"/>
                <w:sz w:val="18"/>
                <w:szCs w:val="18"/>
                <w:lang w:val="en-US" w:eastAsia="zh-CN"/>
              </w:rPr>
            </w:pPr>
            <w:r>
              <w:rPr>
                <w:rFonts w:hint="default" w:ascii="Times New Roman" w:hAnsi="Times New Roman" w:eastAsia="仿宋_GB2312" w:cs="Times New Roman"/>
                <w:color w:val="000000"/>
                <w:sz w:val="18"/>
                <w:szCs w:val="18"/>
                <w:lang w:val="en-US" w:eastAsia="zh-CN"/>
              </w:rPr>
              <w:t>95</w:t>
            </w:r>
          </w:p>
        </w:tc>
        <w:tc>
          <w:tcPr>
            <w:tcW w:w="999" w:type="dxa"/>
            <w:noWrap w:val="0"/>
            <w:tcMar>
              <w:top w:w="15" w:type="dxa"/>
              <w:left w:w="15" w:type="dxa"/>
              <w:bottom w:w="0" w:type="dxa"/>
              <w:right w:w="15" w:type="dxa"/>
            </w:tcMar>
            <w:vAlign w:val="center"/>
          </w:tcPr>
          <w:p>
            <w:pPr>
              <w:spacing w:line="250" w:lineRule="exact"/>
              <w:jc w:val="center"/>
              <w:rPr>
                <w:rFonts w:hint="default" w:ascii="Times New Roman" w:hAnsi="Times New Roman" w:eastAsia="仿宋_GB2312" w:cs="Times New Roman"/>
                <w:color w:val="000000"/>
                <w:sz w:val="18"/>
                <w:szCs w:val="18"/>
              </w:rPr>
            </w:pPr>
          </w:p>
        </w:tc>
      </w:tr>
    </w:tbl>
    <w:p>
      <w:pPr>
        <w:spacing w:line="400" w:lineRule="exact"/>
        <w:ind w:left="1485" w:leftChars="1" w:hanging="1483" w:hangingChars="824"/>
        <w:rPr>
          <w:rFonts w:hint="default" w:ascii="Times New Roman" w:hAnsi="Times New Roman" w:eastAsia="楷体_GB2312" w:cs="Times New Roman"/>
          <w:kern w:val="0"/>
          <w:sz w:val="18"/>
          <w:szCs w:val="18"/>
        </w:rPr>
      </w:pPr>
      <w:r>
        <w:rPr>
          <w:rFonts w:hint="default" w:ascii="Times New Roman" w:hAnsi="Times New Roman" w:eastAsia="楷体_GB2312" w:cs="Times New Roman"/>
          <w:kern w:val="0"/>
          <w:sz w:val="18"/>
          <w:szCs w:val="18"/>
        </w:rPr>
        <w:t>注：</w:t>
      </w:r>
      <w:r>
        <w:rPr>
          <w:rFonts w:hint="default" w:ascii="Times New Roman" w:hAnsi="Times New Roman" w:eastAsia="楷体_GB2312" w:cs="Times New Roman"/>
          <w:spacing w:val="-4"/>
          <w:kern w:val="0"/>
          <w:sz w:val="18"/>
          <w:szCs w:val="18"/>
        </w:rPr>
        <w:t>上述产出指标和效益指标既可以按照重点任务完成情况分别填列，也可以依据所有重点任务归纳提炼综合指标。</w:t>
      </w:r>
    </w:p>
    <w:p>
      <w:pPr>
        <w:widowControl/>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kern w:val="0"/>
          <w:sz w:val="32"/>
          <w:szCs w:val="32"/>
        </w:rPr>
        <w:br w:type="page"/>
      </w: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adjustRightInd w:val="0"/>
        <w:snapToGrid w:val="0"/>
        <w:spacing w:line="600" w:lineRule="exact"/>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2021年项目支出绩效自评表</w:t>
      </w:r>
    </w:p>
    <w:tbl>
      <w:tblPr>
        <w:tblStyle w:val="13"/>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154"/>
        <w:gridCol w:w="1204"/>
        <w:gridCol w:w="1149"/>
        <w:gridCol w:w="1209"/>
        <w:gridCol w:w="777"/>
        <w:gridCol w:w="357"/>
        <w:gridCol w:w="531"/>
        <w:gridCol w:w="297"/>
        <w:gridCol w:w="453"/>
        <w:gridCol w:w="420"/>
        <w:gridCol w:w="272"/>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2" w:type="dxa"/>
            <w:noWrap w:val="0"/>
            <w:vAlign w:val="center"/>
          </w:tcPr>
          <w:p>
            <w:pPr>
              <w:widowControl/>
              <w:spacing w:line="26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项目支</w:t>
            </w:r>
          </w:p>
          <w:p>
            <w:pPr>
              <w:widowControl/>
              <w:spacing w:line="26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出名称</w:t>
            </w:r>
          </w:p>
        </w:tc>
        <w:tc>
          <w:tcPr>
            <w:tcW w:w="8969" w:type="dxa"/>
            <w:gridSpan w:val="12"/>
            <w:noWrap w:val="0"/>
            <w:vAlign w:val="center"/>
          </w:tcPr>
          <w:p>
            <w:pPr>
              <w:widowControl/>
              <w:jc w:val="center"/>
              <w:rPr>
                <w:rFonts w:hint="default" w:ascii="Times New Roman" w:hAnsi="Times New Roman" w:eastAsia="仿宋_GB2312" w:cs="Times New Roman"/>
                <w:color w:val="000000"/>
                <w:kern w:val="0"/>
                <w:lang w:eastAsia="zh-CN"/>
              </w:rPr>
            </w:pPr>
            <w:r>
              <w:rPr>
                <w:rFonts w:hint="default" w:ascii="Times New Roman" w:hAnsi="Times New Roman" w:eastAsia="仿宋_GB2312" w:cs="Times New Roman"/>
                <w:color w:val="000000"/>
                <w:kern w:val="0"/>
                <w:lang w:eastAsia="zh-CN"/>
              </w:rPr>
              <w:t>水利工作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82" w:type="dxa"/>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主管部门</w:t>
            </w:r>
          </w:p>
        </w:tc>
        <w:tc>
          <w:tcPr>
            <w:tcW w:w="4716" w:type="dxa"/>
            <w:gridSpan w:val="4"/>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浏阳市</w:t>
            </w:r>
            <w:r>
              <w:rPr>
                <w:rFonts w:hint="default" w:ascii="Times New Roman" w:hAnsi="Times New Roman" w:eastAsia="仿宋_GB2312" w:cs="Times New Roman"/>
                <w:color w:val="000000"/>
                <w:kern w:val="0"/>
                <w:lang w:eastAsia="zh-CN"/>
              </w:rPr>
              <w:t>荷花</w:t>
            </w:r>
            <w:r>
              <w:rPr>
                <w:rFonts w:hint="default" w:ascii="Times New Roman" w:hAnsi="Times New Roman" w:eastAsia="仿宋_GB2312" w:cs="Times New Roman"/>
                <w:color w:val="000000"/>
                <w:kern w:val="0"/>
              </w:rPr>
              <w:t>街道办事处</w:t>
            </w:r>
          </w:p>
        </w:tc>
        <w:tc>
          <w:tcPr>
            <w:tcW w:w="1134" w:type="dxa"/>
            <w:gridSpan w:val="2"/>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实施单位</w:t>
            </w:r>
          </w:p>
        </w:tc>
        <w:tc>
          <w:tcPr>
            <w:tcW w:w="3119" w:type="dxa"/>
            <w:gridSpan w:val="6"/>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浏阳市</w:t>
            </w:r>
            <w:r>
              <w:rPr>
                <w:rFonts w:hint="eastAsia" w:ascii="Times New Roman" w:hAnsi="Times New Roman" w:eastAsia="仿宋_GB2312" w:cs="Times New Roman"/>
                <w:color w:val="000000"/>
                <w:kern w:val="0"/>
                <w:lang w:eastAsia="zh-CN"/>
              </w:rPr>
              <w:t>荷花</w:t>
            </w:r>
            <w:r>
              <w:rPr>
                <w:rFonts w:hint="default" w:ascii="Times New Roman" w:hAnsi="Times New Roman" w:eastAsia="仿宋_GB2312" w:cs="Times New Roman"/>
                <w:color w:val="000000"/>
                <w:kern w:val="0"/>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restart"/>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项目资金</w:t>
            </w:r>
            <w:r>
              <w:rPr>
                <w:rFonts w:hint="default" w:ascii="Times New Roman" w:hAnsi="Times New Roman" w:eastAsia="仿宋_GB2312" w:cs="Times New Roman"/>
                <w:color w:val="000000"/>
                <w:kern w:val="0"/>
              </w:rPr>
              <w:br w:type="textWrapping"/>
            </w:r>
            <w:r>
              <w:rPr>
                <w:rFonts w:hint="default" w:ascii="Times New Roman" w:hAnsi="Times New Roman" w:eastAsia="仿宋_GB2312" w:cs="Times New Roman"/>
                <w:color w:val="000000"/>
                <w:kern w:val="0"/>
              </w:rPr>
              <w:t>（万元）</w:t>
            </w:r>
          </w:p>
        </w:tc>
        <w:tc>
          <w:tcPr>
            <w:tcW w:w="2358" w:type="dxa"/>
            <w:gridSpan w:val="2"/>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149" w:type="dxa"/>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年初</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预算数</w:t>
            </w:r>
          </w:p>
        </w:tc>
        <w:tc>
          <w:tcPr>
            <w:tcW w:w="1209" w:type="dxa"/>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全年</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预算数</w:t>
            </w:r>
          </w:p>
        </w:tc>
        <w:tc>
          <w:tcPr>
            <w:tcW w:w="1134" w:type="dxa"/>
            <w:gridSpan w:val="2"/>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全年</w:t>
            </w:r>
          </w:p>
          <w:p>
            <w:pPr>
              <w:jc w:val="center"/>
              <w:rPr>
                <w:rFonts w:hint="default" w:ascii="Times New Roman" w:hAnsi="Times New Roman" w:eastAsia="仿宋_GB2312" w:cs="Times New Roman"/>
              </w:rPr>
            </w:pPr>
            <w:r>
              <w:rPr>
                <w:rFonts w:hint="default" w:ascii="Times New Roman" w:hAnsi="Times New Roman" w:eastAsia="仿宋_GB2312" w:cs="Times New Roman"/>
              </w:rPr>
              <w:t>执行数</w:t>
            </w:r>
          </w:p>
        </w:tc>
        <w:tc>
          <w:tcPr>
            <w:tcW w:w="828" w:type="dxa"/>
            <w:gridSpan w:val="2"/>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分值</w:t>
            </w:r>
          </w:p>
        </w:tc>
        <w:tc>
          <w:tcPr>
            <w:tcW w:w="873" w:type="dxa"/>
            <w:gridSpan w:val="2"/>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执行率</w:t>
            </w:r>
          </w:p>
        </w:tc>
        <w:tc>
          <w:tcPr>
            <w:tcW w:w="1418" w:type="dxa"/>
            <w:gridSpan w:val="2"/>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noWrap w:val="0"/>
            <w:vAlign w:val="center"/>
          </w:tcPr>
          <w:p>
            <w:pPr>
              <w:widowControl/>
              <w:jc w:val="left"/>
              <w:rPr>
                <w:rFonts w:hint="default" w:ascii="Times New Roman" w:hAnsi="Times New Roman" w:eastAsia="仿宋_GB2312" w:cs="Times New Roman"/>
                <w:color w:val="000000"/>
                <w:kern w:val="0"/>
              </w:rPr>
            </w:pPr>
          </w:p>
        </w:tc>
        <w:tc>
          <w:tcPr>
            <w:tcW w:w="2358" w:type="dxa"/>
            <w:gridSpan w:val="2"/>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年度资金总额　</w:t>
            </w:r>
          </w:p>
        </w:tc>
        <w:tc>
          <w:tcPr>
            <w:tcW w:w="1149" w:type="dxa"/>
            <w:noWrap w:val="0"/>
            <w:vAlign w:val="center"/>
          </w:tcPr>
          <w:p>
            <w:pPr>
              <w:widowControl/>
              <w:jc w:val="left"/>
              <w:rPr>
                <w:rFonts w:hint="default" w:ascii="Times New Roman" w:hAnsi="Times New Roman" w:eastAsia="仿宋_GB2312" w:cs="Times New Roman"/>
                <w:color w:val="000000"/>
                <w:kern w:val="0"/>
                <w:lang w:val="en-US" w:eastAsia="zh-CN"/>
              </w:rPr>
            </w:pPr>
            <w:r>
              <w:rPr>
                <w:rFonts w:hint="default" w:ascii="Times New Roman" w:hAnsi="Times New Roman" w:eastAsia="仿宋_GB2312" w:cs="Times New Roman"/>
                <w:color w:val="000000"/>
                <w:kern w:val="0"/>
              </w:rPr>
              <w:t>　</w:t>
            </w:r>
            <w:r>
              <w:rPr>
                <w:rFonts w:hint="default" w:ascii="Times New Roman" w:hAnsi="Times New Roman" w:eastAsia="仿宋_GB2312" w:cs="Times New Roman"/>
                <w:color w:val="000000"/>
                <w:kern w:val="0"/>
                <w:lang w:val="en-US" w:eastAsia="zh-CN"/>
              </w:rPr>
              <w:t>4</w:t>
            </w:r>
            <w:r>
              <w:rPr>
                <w:rFonts w:hint="eastAsia" w:ascii="Times New Roman" w:hAnsi="Times New Roman" w:eastAsia="仿宋_GB2312" w:cs="Times New Roman"/>
                <w:color w:val="000000"/>
                <w:kern w:val="0"/>
                <w:lang w:val="en-US" w:eastAsia="zh-CN"/>
              </w:rPr>
              <w:t>6</w:t>
            </w:r>
          </w:p>
        </w:tc>
        <w:tc>
          <w:tcPr>
            <w:tcW w:w="1209" w:type="dxa"/>
            <w:noWrap w:val="0"/>
            <w:vAlign w:val="center"/>
          </w:tcPr>
          <w:p>
            <w:pPr>
              <w:widowControl/>
              <w:jc w:val="left"/>
              <w:rPr>
                <w:rFonts w:hint="default" w:ascii="Times New Roman" w:hAnsi="Times New Roman" w:eastAsia="仿宋_GB2312" w:cs="Times New Roman"/>
                <w:color w:val="000000"/>
                <w:kern w:val="0"/>
                <w:lang w:val="en-US" w:eastAsia="zh-CN"/>
              </w:rPr>
            </w:pPr>
            <w:r>
              <w:rPr>
                <w:rFonts w:hint="default" w:ascii="Times New Roman" w:hAnsi="Times New Roman" w:eastAsia="仿宋_GB2312" w:cs="Times New Roman"/>
                <w:color w:val="000000"/>
                <w:kern w:val="0"/>
              </w:rPr>
              <w:t>　</w:t>
            </w:r>
            <w:r>
              <w:rPr>
                <w:rFonts w:hint="default" w:ascii="Times New Roman" w:hAnsi="Times New Roman" w:eastAsia="仿宋_GB2312" w:cs="Times New Roman"/>
                <w:color w:val="000000"/>
                <w:kern w:val="0"/>
                <w:lang w:val="en-US" w:eastAsia="zh-CN"/>
              </w:rPr>
              <w:t>213</w:t>
            </w:r>
            <w:r>
              <w:rPr>
                <w:rFonts w:hint="eastAsia" w:ascii="Times New Roman" w:hAnsi="Times New Roman" w:eastAsia="仿宋_GB2312" w:cs="Times New Roman"/>
                <w:color w:val="000000"/>
                <w:kern w:val="0"/>
                <w:lang w:val="en-US" w:eastAsia="zh-CN"/>
              </w:rPr>
              <w:t>.1</w:t>
            </w:r>
          </w:p>
        </w:tc>
        <w:tc>
          <w:tcPr>
            <w:tcW w:w="1134" w:type="dxa"/>
            <w:gridSpan w:val="2"/>
            <w:noWrap w:val="0"/>
            <w:vAlign w:val="center"/>
          </w:tcPr>
          <w:p>
            <w:pPr>
              <w:widowControl/>
              <w:jc w:val="center"/>
              <w:rPr>
                <w:rFonts w:hint="default" w:ascii="Times New Roman" w:hAnsi="Times New Roman" w:eastAsia="仿宋_GB2312" w:cs="Times New Roman"/>
                <w:color w:val="000000"/>
                <w:kern w:val="0"/>
                <w:lang w:val="en-US" w:eastAsia="zh-CN"/>
              </w:rPr>
            </w:pPr>
            <w:r>
              <w:rPr>
                <w:rFonts w:hint="default" w:ascii="Times New Roman" w:hAnsi="Times New Roman" w:eastAsia="仿宋_GB2312" w:cs="Times New Roman"/>
                <w:color w:val="000000"/>
                <w:kern w:val="0"/>
                <w:lang w:val="en-US" w:eastAsia="zh-CN"/>
              </w:rPr>
              <w:t>213</w:t>
            </w:r>
            <w:r>
              <w:rPr>
                <w:rFonts w:hint="eastAsia" w:ascii="Times New Roman" w:hAnsi="Times New Roman" w:eastAsia="仿宋_GB2312" w:cs="Times New Roman"/>
                <w:color w:val="000000"/>
                <w:kern w:val="0"/>
                <w:lang w:val="en-US" w:eastAsia="zh-CN"/>
              </w:rPr>
              <w:t>.1</w:t>
            </w:r>
          </w:p>
        </w:tc>
        <w:tc>
          <w:tcPr>
            <w:tcW w:w="828" w:type="dxa"/>
            <w:gridSpan w:val="2"/>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10</w:t>
            </w:r>
          </w:p>
        </w:tc>
        <w:tc>
          <w:tcPr>
            <w:tcW w:w="873" w:type="dxa"/>
            <w:gridSpan w:val="2"/>
            <w:noWrap w:val="0"/>
            <w:vAlign w:val="top"/>
          </w:tcPr>
          <w:p>
            <w:pPr>
              <w:widowControl/>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100%</w:t>
            </w:r>
          </w:p>
        </w:tc>
        <w:tc>
          <w:tcPr>
            <w:tcW w:w="1418" w:type="dxa"/>
            <w:gridSpan w:val="2"/>
            <w:noWrap w:val="0"/>
            <w:vAlign w:val="top"/>
          </w:tcPr>
          <w:p>
            <w:pPr>
              <w:widowControl/>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noWrap w:val="0"/>
            <w:vAlign w:val="center"/>
          </w:tcPr>
          <w:p>
            <w:pPr>
              <w:widowControl/>
              <w:jc w:val="left"/>
              <w:rPr>
                <w:rFonts w:hint="default" w:ascii="Times New Roman" w:hAnsi="Times New Roman" w:eastAsia="仿宋_GB2312" w:cs="Times New Roman"/>
                <w:color w:val="000000"/>
                <w:kern w:val="0"/>
              </w:rPr>
            </w:pPr>
          </w:p>
        </w:tc>
        <w:tc>
          <w:tcPr>
            <w:tcW w:w="2358" w:type="dxa"/>
            <w:gridSpan w:val="2"/>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其中：当年财政拨款　</w:t>
            </w:r>
          </w:p>
        </w:tc>
        <w:tc>
          <w:tcPr>
            <w:tcW w:w="1149" w:type="dxa"/>
            <w:noWrap w:val="0"/>
            <w:vAlign w:val="center"/>
          </w:tcPr>
          <w:p>
            <w:pPr>
              <w:widowControl/>
              <w:jc w:val="left"/>
              <w:rPr>
                <w:rFonts w:hint="default" w:ascii="Times New Roman" w:hAnsi="Times New Roman" w:eastAsia="仿宋_GB2312" w:cs="Times New Roman"/>
                <w:color w:val="000000"/>
                <w:kern w:val="0"/>
                <w:lang w:val="en-US" w:eastAsia="zh-CN"/>
              </w:rPr>
            </w:pPr>
            <w:r>
              <w:rPr>
                <w:rFonts w:hint="default" w:ascii="Times New Roman" w:hAnsi="Times New Roman" w:eastAsia="仿宋_GB2312" w:cs="Times New Roman"/>
                <w:color w:val="000000"/>
                <w:kern w:val="0"/>
              </w:rPr>
              <w:t>　</w:t>
            </w:r>
            <w:r>
              <w:rPr>
                <w:rFonts w:hint="default" w:ascii="Times New Roman" w:hAnsi="Times New Roman" w:eastAsia="仿宋_GB2312" w:cs="Times New Roman"/>
                <w:color w:val="000000"/>
                <w:kern w:val="0"/>
                <w:lang w:val="en-US" w:eastAsia="zh-CN"/>
              </w:rPr>
              <w:t>4</w:t>
            </w:r>
            <w:r>
              <w:rPr>
                <w:rFonts w:hint="eastAsia" w:ascii="Times New Roman" w:hAnsi="Times New Roman" w:eastAsia="仿宋_GB2312" w:cs="Times New Roman"/>
                <w:color w:val="000000"/>
                <w:kern w:val="0"/>
                <w:lang w:val="en-US" w:eastAsia="zh-CN"/>
              </w:rPr>
              <w:t>6</w:t>
            </w:r>
          </w:p>
        </w:tc>
        <w:tc>
          <w:tcPr>
            <w:tcW w:w="1209" w:type="dxa"/>
            <w:noWrap w:val="0"/>
            <w:vAlign w:val="center"/>
          </w:tcPr>
          <w:p>
            <w:pPr>
              <w:widowControl/>
              <w:jc w:val="left"/>
              <w:rPr>
                <w:rFonts w:hint="default" w:ascii="Times New Roman" w:hAnsi="Times New Roman" w:eastAsia="仿宋_GB2312" w:cs="Times New Roman"/>
                <w:color w:val="000000"/>
                <w:kern w:val="0"/>
                <w:lang w:val="en-US" w:eastAsia="zh-CN"/>
              </w:rPr>
            </w:pPr>
            <w:r>
              <w:rPr>
                <w:rFonts w:hint="default" w:ascii="Times New Roman" w:hAnsi="Times New Roman" w:eastAsia="仿宋_GB2312" w:cs="Times New Roman"/>
                <w:color w:val="000000"/>
                <w:kern w:val="0"/>
              </w:rPr>
              <w:t>　</w:t>
            </w:r>
            <w:r>
              <w:rPr>
                <w:rFonts w:hint="default" w:ascii="Times New Roman" w:hAnsi="Times New Roman" w:eastAsia="仿宋_GB2312" w:cs="Times New Roman"/>
                <w:color w:val="000000"/>
                <w:kern w:val="0"/>
                <w:lang w:val="en-US" w:eastAsia="zh-CN"/>
              </w:rPr>
              <w:t>213</w:t>
            </w:r>
            <w:r>
              <w:rPr>
                <w:rFonts w:hint="eastAsia" w:ascii="Times New Roman" w:hAnsi="Times New Roman" w:eastAsia="仿宋_GB2312" w:cs="Times New Roman"/>
                <w:color w:val="000000"/>
                <w:kern w:val="0"/>
                <w:lang w:val="en-US" w:eastAsia="zh-CN"/>
              </w:rPr>
              <w:t>.1</w:t>
            </w:r>
          </w:p>
        </w:tc>
        <w:tc>
          <w:tcPr>
            <w:tcW w:w="1134" w:type="dxa"/>
            <w:gridSpan w:val="2"/>
            <w:noWrap w:val="0"/>
            <w:vAlign w:val="center"/>
          </w:tcPr>
          <w:p>
            <w:pPr>
              <w:widowControl/>
              <w:jc w:val="center"/>
              <w:rPr>
                <w:rFonts w:hint="default" w:ascii="Times New Roman" w:hAnsi="Times New Roman" w:eastAsia="仿宋_GB2312" w:cs="Times New Roman"/>
                <w:color w:val="000000"/>
                <w:kern w:val="0"/>
                <w:lang w:val="en-US" w:eastAsia="zh-CN"/>
              </w:rPr>
            </w:pPr>
            <w:r>
              <w:rPr>
                <w:rFonts w:hint="default" w:ascii="Times New Roman" w:hAnsi="Times New Roman" w:eastAsia="仿宋_GB2312" w:cs="Times New Roman"/>
                <w:color w:val="000000"/>
                <w:kern w:val="0"/>
                <w:lang w:val="en-US" w:eastAsia="zh-CN"/>
              </w:rPr>
              <w:t>213</w:t>
            </w:r>
            <w:r>
              <w:rPr>
                <w:rFonts w:hint="eastAsia" w:ascii="Times New Roman" w:hAnsi="Times New Roman" w:eastAsia="仿宋_GB2312" w:cs="Times New Roman"/>
                <w:color w:val="000000"/>
                <w:kern w:val="0"/>
                <w:lang w:val="en-US" w:eastAsia="zh-CN"/>
              </w:rPr>
              <w:t>.1</w:t>
            </w:r>
          </w:p>
        </w:tc>
        <w:tc>
          <w:tcPr>
            <w:tcW w:w="828" w:type="dxa"/>
            <w:gridSpan w:val="2"/>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10</w:t>
            </w:r>
          </w:p>
        </w:tc>
        <w:tc>
          <w:tcPr>
            <w:tcW w:w="873" w:type="dxa"/>
            <w:gridSpan w:val="2"/>
            <w:noWrap w:val="0"/>
            <w:vAlign w:val="top"/>
          </w:tcPr>
          <w:p>
            <w:pPr>
              <w:widowControl/>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100%</w:t>
            </w:r>
          </w:p>
        </w:tc>
        <w:tc>
          <w:tcPr>
            <w:tcW w:w="1418" w:type="dxa"/>
            <w:gridSpan w:val="2"/>
            <w:noWrap w:val="0"/>
            <w:vAlign w:val="top"/>
          </w:tcPr>
          <w:p>
            <w:pPr>
              <w:widowControl/>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noWrap w:val="0"/>
            <w:vAlign w:val="center"/>
          </w:tcPr>
          <w:p>
            <w:pPr>
              <w:widowControl/>
              <w:jc w:val="left"/>
              <w:rPr>
                <w:rFonts w:hint="default" w:ascii="Times New Roman" w:hAnsi="Times New Roman" w:eastAsia="仿宋_GB2312" w:cs="Times New Roman"/>
                <w:color w:val="000000"/>
                <w:kern w:val="0"/>
              </w:rPr>
            </w:pPr>
          </w:p>
        </w:tc>
        <w:tc>
          <w:tcPr>
            <w:tcW w:w="2358" w:type="dxa"/>
            <w:gridSpan w:val="2"/>
            <w:noWrap w:val="0"/>
            <w:vAlign w:val="center"/>
          </w:tcPr>
          <w:p>
            <w:pPr>
              <w:widowControl/>
              <w:ind w:firstLine="630" w:firstLineChars="300"/>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上年结转资金　</w:t>
            </w:r>
          </w:p>
        </w:tc>
        <w:tc>
          <w:tcPr>
            <w:tcW w:w="1149" w:type="dxa"/>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209" w:type="dxa"/>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134" w:type="dxa"/>
            <w:gridSpan w:val="2"/>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28" w:type="dxa"/>
            <w:gridSpan w:val="2"/>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73" w:type="dxa"/>
            <w:gridSpan w:val="2"/>
            <w:noWrap w:val="0"/>
            <w:vAlign w:val="top"/>
          </w:tcPr>
          <w:p>
            <w:pPr>
              <w:widowControl/>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418" w:type="dxa"/>
            <w:gridSpan w:val="2"/>
            <w:noWrap w:val="0"/>
            <w:vAlign w:val="top"/>
          </w:tcPr>
          <w:p>
            <w:pPr>
              <w:widowControl/>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noWrap w:val="0"/>
            <w:vAlign w:val="center"/>
          </w:tcPr>
          <w:p>
            <w:pPr>
              <w:widowControl/>
              <w:jc w:val="left"/>
              <w:rPr>
                <w:rFonts w:hint="default" w:ascii="Times New Roman" w:hAnsi="Times New Roman" w:eastAsia="仿宋_GB2312" w:cs="Times New Roman"/>
                <w:color w:val="000000"/>
                <w:kern w:val="0"/>
              </w:rPr>
            </w:pPr>
          </w:p>
        </w:tc>
        <w:tc>
          <w:tcPr>
            <w:tcW w:w="2358" w:type="dxa"/>
            <w:gridSpan w:val="2"/>
            <w:noWrap w:val="0"/>
            <w:vAlign w:val="center"/>
          </w:tcPr>
          <w:p>
            <w:pPr>
              <w:widowControl/>
              <w:ind w:firstLine="630" w:firstLineChars="300"/>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其他资金</w:t>
            </w:r>
          </w:p>
        </w:tc>
        <w:tc>
          <w:tcPr>
            <w:tcW w:w="1149" w:type="dxa"/>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209" w:type="dxa"/>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134" w:type="dxa"/>
            <w:gridSpan w:val="2"/>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28" w:type="dxa"/>
            <w:gridSpan w:val="2"/>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73" w:type="dxa"/>
            <w:gridSpan w:val="2"/>
            <w:noWrap w:val="0"/>
            <w:vAlign w:val="top"/>
          </w:tcPr>
          <w:p>
            <w:pPr>
              <w:widowControl/>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418" w:type="dxa"/>
            <w:gridSpan w:val="2"/>
            <w:noWrap w:val="0"/>
            <w:vAlign w:val="top"/>
          </w:tcPr>
          <w:p>
            <w:pPr>
              <w:widowControl/>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restart"/>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年度总体目标</w:t>
            </w:r>
          </w:p>
        </w:tc>
        <w:tc>
          <w:tcPr>
            <w:tcW w:w="4716" w:type="dxa"/>
            <w:gridSpan w:val="4"/>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预期目标</w:t>
            </w:r>
          </w:p>
        </w:tc>
        <w:tc>
          <w:tcPr>
            <w:tcW w:w="4253" w:type="dxa"/>
            <w:gridSpan w:val="8"/>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82" w:type="dxa"/>
            <w:vMerge w:val="continue"/>
            <w:noWrap w:val="0"/>
            <w:vAlign w:val="center"/>
          </w:tcPr>
          <w:p>
            <w:pPr>
              <w:widowControl/>
              <w:jc w:val="left"/>
              <w:rPr>
                <w:rFonts w:hint="default" w:ascii="Times New Roman" w:hAnsi="Times New Roman" w:eastAsia="仿宋_GB2312" w:cs="Times New Roman"/>
                <w:color w:val="000000"/>
                <w:kern w:val="0"/>
              </w:rPr>
            </w:pPr>
          </w:p>
        </w:tc>
        <w:tc>
          <w:tcPr>
            <w:tcW w:w="4716" w:type="dxa"/>
            <w:gridSpan w:val="4"/>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lang w:eastAsia="zh-CN"/>
              </w:rPr>
              <w:t>加强河道治理、推动小型水库的维修养护</w:t>
            </w:r>
            <w:r>
              <w:rPr>
                <w:rFonts w:hint="default" w:ascii="Times New Roman" w:hAnsi="Times New Roman" w:eastAsia="仿宋_GB2312" w:cs="Times New Roman"/>
                <w:color w:val="000000"/>
                <w:kern w:val="0"/>
              </w:rPr>
              <w:t>　</w:t>
            </w:r>
          </w:p>
        </w:tc>
        <w:tc>
          <w:tcPr>
            <w:tcW w:w="4253" w:type="dxa"/>
            <w:gridSpan w:val="8"/>
            <w:noWrap w:val="0"/>
            <w:vAlign w:val="center"/>
          </w:tcPr>
          <w:p>
            <w:pPr>
              <w:widowControl/>
              <w:jc w:val="left"/>
              <w:rPr>
                <w:rFonts w:hint="default" w:ascii="Times New Roman" w:hAnsi="Times New Roman" w:eastAsia="仿宋_GB2312" w:cs="Times New Roman"/>
                <w:color w:val="000000"/>
                <w:kern w:val="0"/>
                <w:sz w:val="18"/>
                <w:szCs w:val="18"/>
                <w:lang w:eastAsia="zh-CN"/>
              </w:rPr>
            </w:pPr>
            <w:r>
              <w:rPr>
                <w:rFonts w:hint="default" w:ascii="Times New Roman" w:hAnsi="Times New Roman" w:eastAsia="仿宋_GB2312" w:cs="Times New Roman"/>
                <w:color w:val="000000"/>
                <w:kern w:val="0"/>
              </w:rPr>
              <w:t>　</w:t>
            </w:r>
            <w:r>
              <w:rPr>
                <w:rFonts w:hint="default" w:ascii="Times New Roman" w:hAnsi="Times New Roman" w:eastAsia="仿宋_GB2312" w:cs="Times New Roman"/>
                <w:color w:val="000000"/>
                <w:kern w:val="0"/>
                <w:lang w:eastAsia="zh-CN"/>
              </w:rPr>
              <w:t>报账河道行洪畅通、水库大坝安全运行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2" w:type="dxa"/>
            <w:vMerge w:val="restart"/>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绩</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标</w:t>
            </w:r>
          </w:p>
        </w:tc>
        <w:tc>
          <w:tcPr>
            <w:tcW w:w="1154" w:type="dxa"/>
            <w:noWrap w:val="0"/>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一级指标</w:t>
            </w:r>
          </w:p>
        </w:tc>
        <w:tc>
          <w:tcPr>
            <w:tcW w:w="1204" w:type="dxa"/>
            <w:noWrap w:val="0"/>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二级指标</w:t>
            </w:r>
          </w:p>
        </w:tc>
        <w:tc>
          <w:tcPr>
            <w:tcW w:w="1149" w:type="dxa"/>
            <w:noWrap w:val="0"/>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三级指标</w:t>
            </w:r>
          </w:p>
        </w:tc>
        <w:tc>
          <w:tcPr>
            <w:tcW w:w="1986" w:type="dxa"/>
            <w:gridSpan w:val="2"/>
            <w:noWrap w:val="0"/>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年度指标值</w:t>
            </w:r>
          </w:p>
        </w:tc>
        <w:tc>
          <w:tcPr>
            <w:tcW w:w="888" w:type="dxa"/>
            <w:gridSpan w:val="2"/>
            <w:noWrap w:val="0"/>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实际</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完成值</w:t>
            </w:r>
          </w:p>
        </w:tc>
        <w:tc>
          <w:tcPr>
            <w:tcW w:w="750" w:type="dxa"/>
            <w:gridSpan w:val="2"/>
            <w:noWrap w:val="0"/>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分值</w:t>
            </w:r>
          </w:p>
        </w:tc>
        <w:tc>
          <w:tcPr>
            <w:tcW w:w="692" w:type="dxa"/>
            <w:gridSpan w:val="2"/>
            <w:noWrap w:val="0"/>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得分</w:t>
            </w:r>
          </w:p>
        </w:tc>
        <w:tc>
          <w:tcPr>
            <w:tcW w:w="1146" w:type="dxa"/>
            <w:noWrap w:val="0"/>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偏差原因</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分析及</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noWrap w:val="0"/>
            <w:vAlign w:val="center"/>
          </w:tcPr>
          <w:p>
            <w:pPr>
              <w:jc w:val="left"/>
              <w:rPr>
                <w:rFonts w:hint="default" w:ascii="Times New Roman" w:hAnsi="Times New Roman" w:eastAsia="仿宋_GB2312" w:cs="Times New Roman"/>
                <w:color w:val="000000"/>
                <w:kern w:val="0"/>
              </w:rPr>
            </w:pPr>
          </w:p>
        </w:tc>
        <w:tc>
          <w:tcPr>
            <w:tcW w:w="1154" w:type="dxa"/>
            <w:vMerge w:val="restart"/>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产出指标</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(50分)</w:t>
            </w:r>
          </w:p>
        </w:tc>
        <w:tc>
          <w:tcPr>
            <w:tcW w:w="1204" w:type="dxa"/>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数量指标（15）</w:t>
            </w:r>
          </w:p>
        </w:tc>
        <w:tc>
          <w:tcPr>
            <w:tcW w:w="1149" w:type="dxa"/>
            <w:noWrap w:val="0"/>
            <w:vAlign w:val="center"/>
          </w:tcPr>
          <w:p>
            <w:pP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工作经费下拨率</w:t>
            </w:r>
          </w:p>
        </w:tc>
        <w:tc>
          <w:tcPr>
            <w:tcW w:w="1986" w:type="dxa"/>
            <w:gridSpan w:val="2"/>
            <w:noWrap w:val="0"/>
            <w:vAlign w:val="center"/>
          </w:tcPr>
          <w:p>
            <w:pP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实际专项资金下拨金额/预算安排投入金额*100%　</w:t>
            </w:r>
          </w:p>
        </w:tc>
        <w:tc>
          <w:tcPr>
            <w:tcW w:w="888"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100%</w:t>
            </w:r>
          </w:p>
        </w:tc>
        <w:tc>
          <w:tcPr>
            <w:tcW w:w="750"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15</w:t>
            </w:r>
          </w:p>
        </w:tc>
        <w:tc>
          <w:tcPr>
            <w:tcW w:w="692"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15</w:t>
            </w:r>
          </w:p>
        </w:tc>
        <w:tc>
          <w:tcPr>
            <w:tcW w:w="1146" w:type="dxa"/>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noWrap w:val="0"/>
            <w:vAlign w:val="center"/>
          </w:tcPr>
          <w:p>
            <w:pPr>
              <w:jc w:val="left"/>
              <w:rPr>
                <w:rFonts w:hint="default" w:ascii="Times New Roman" w:hAnsi="Times New Roman" w:eastAsia="仿宋_GB2312" w:cs="Times New Roman"/>
                <w:color w:val="000000"/>
                <w:kern w:val="0"/>
              </w:rPr>
            </w:pPr>
          </w:p>
        </w:tc>
        <w:tc>
          <w:tcPr>
            <w:tcW w:w="1154" w:type="dxa"/>
            <w:vMerge w:val="continue"/>
            <w:noWrap w:val="0"/>
            <w:vAlign w:val="center"/>
          </w:tcPr>
          <w:p>
            <w:pPr>
              <w:jc w:val="left"/>
              <w:rPr>
                <w:rFonts w:hint="default" w:ascii="Times New Roman" w:hAnsi="Times New Roman" w:eastAsia="仿宋_GB2312" w:cs="Times New Roman"/>
                <w:color w:val="000000"/>
                <w:kern w:val="0"/>
              </w:rPr>
            </w:pPr>
          </w:p>
        </w:tc>
        <w:tc>
          <w:tcPr>
            <w:tcW w:w="1204" w:type="dxa"/>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质量指标（20）</w:t>
            </w:r>
          </w:p>
        </w:tc>
        <w:tc>
          <w:tcPr>
            <w:tcW w:w="1149" w:type="dxa"/>
            <w:noWrap w:val="0"/>
            <w:vAlign w:val="center"/>
          </w:tcPr>
          <w:p>
            <w:pPr>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验收合格率</w:t>
            </w:r>
          </w:p>
        </w:tc>
        <w:tc>
          <w:tcPr>
            <w:tcW w:w="1986" w:type="dxa"/>
            <w:gridSpan w:val="2"/>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sz w:val="18"/>
                <w:szCs w:val="18"/>
              </w:rPr>
              <w:t>实际项目验收合格数量/预算安排投入项目数量*100%　</w:t>
            </w:r>
          </w:p>
        </w:tc>
        <w:tc>
          <w:tcPr>
            <w:tcW w:w="888"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100%</w:t>
            </w:r>
          </w:p>
        </w:tc>
        <w:tc>
          <w:tcPr>
            <w:tcW w:w="750"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20</w:t>
            </w:r>
          </w:p>
        </w:tc>
        <w:tc>
          <w:tcPr>
            <w:tcW w:w="692"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20</w:t>
            </w:r>
          </w:p>
        </w:tc>
        <w:tc>
          <w:tcPr>
            <w:tcW w:w="1146" w:type="dxa"/>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noWrap w:val="0"/>
            <w:vAlign w:val="center"/>
          </w:tcPr>
          <w:p>
            <w:pPr>
              <w:jc w:val="left"/>
              <w:rPr>
                <w:rFonts w:hint="default" w:ascii="Times New Roman" w:hAnsi="Times New Roman" w:eastAsia="仿宋_GB2312" w:cs="Times New Roman"/>
                <w:color w:val="000000"/>
                <w:kern w:val="0"/>
              </w:rPr>
            </w:pPr>
          </w:p>
        </w:tc>
        <w:tc>
          <w:tcPr>
            <w:tcW w:w="1154" w:type="dxa"/>
            <w:vMerge w:val="continue"/>
            <w:noWrap w:val="0"/>
            <w:vAlign w:val="center"/>
          </w:tcPr>
          <w:p>
            <w:pPr>
              <w:jc w:val="left"/>
              <w:rPr>
                <w:rFonts w:hint="default" w:ascii="Times New Roman" w:hAnsi="Times New Roman" w:eastAsia="仿宋_GB2312" w:cs="Times New Roman"/>
                <w:color w:val="000000"/>
                <w:kern w:val="0"/>
              </w:rPr>
            </w:pPr>
          </w:p>
        </w:tc>
        <w:tc>
          <w:tcPr>
            <w:tcW w:w="1204" w:type="dxa"/>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时效指标（5）</w:t>
            </w:r>
          </w:p>
        </w:tc>
        <w:tc>
          <w:tcPr>
            <w:tcW w:w="1149" w:type="dxa"/>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资金到位率</w:t>
            </w:r>
          </w:p>
        </w:tc>
        <w:tc>
          <w:tcPr>
            <w:tcW w:w="1986" w:type="dxa"/>
            <w:gridSpan w:val="2"/>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到位资金/预算资金</w:t>
            </w:r>
            <w:r>
              <w:rPr>
                <w:rFonts w:hint="default" w:ascii="Times New Roman" w:hAnsi="Times New Roman" w:eastAsia="仿宋_GB2312" w:cs="Times New Roman"/>
                <w:color w:val="000000"/>
                <w:sz w:val="18"/>
                <w:szCs w:val="18"/>
              </w:rPr>
              <w:t>*100%</w:t>
            </w:r>
          </w:p>
        </w:tc>
        <w:tc>
          <w:tcPr>
            <w:tcW w:w="888"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100%</w:t>
            </w:r>
          </w:p>
        </w:tc>
        <w:tc>
          <w:tcPr>
            <w:tcW w:w="750" w:type="dxa"/>
            <w:gridSpan w:val="2"/>
            <w:noWrap w:val="0"/>
            <w:vAlign w:val="center"/>
          </w:tcPr>
          <w:p>
            <w:pPr>
              <w:widowControl/>
              <w:jc w:val="center"/>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lang w:val="en-US" w:eastAsia="zh-CN"/>
              </w:rPr>
              <w:t>5</w:t>
            </w:r>
          </w:p>
        </w:tc>
        <w:tc>
          <w:tcPr>
            <w:tcW w:w="692"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5</w:t>
            </w:r>
          </w:p>
        </w:tc>
        <w:tc>
          <w:tcPr>
            <w:tcW w:w="1146" w:type="dxa"/>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noWrap w:val="0"/>
            <w:vAlign w:val="center"/>
          </w:tcPr>
          <w:p>
            <w:pPr>
              <w:jc w:val="left"/>
              <w:rPr>
                <w:rFonts w:hint="default" w:ascii="Times New Roman" w:hAnsi="Times New Roman" w:eastAsia="仿宋_GB2312" w:cs="Times New Roman"/>
                <w:color w:val="000000"/>
                <w:kern w:val="0"/>
              </w:rPr>
            </w:pPr>
          </w:p>
        </w:tc>
        <w:tc>
          <w:tcPr>
            <w:tcW w:w="1154" w:type="dxa"/>
            <w:vMerge w:val="continue"/>
            <w:noWrap w:val="0"/>
            <w:vAlign w:val="center"/>
          </w:tcPr>
          <w:p>
            <w:pPr>
              <w:jc w:val="left"/>
              <w:rPr>
                <w:rFonts w:hint="default" w:ascii="Times New Roman" w:hAnsi="Times New Roman" w:eastAsia="仿宋_GB2312" w:cs="Times New Roman"/>
                <w:color w:val="000000"/>
                <w:kern w:val="0"/>
              </w:rPr>
            </w:pPr>
          </w:p>
        </w:tc>
        <w:tc>
          <w:tcPr>
            <w:tcW w:w="1204" w:type="dxa"/>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成本指标（10）</w:t>
            </w:r>
          </w:p>
        </w:tc>
        <w:tc>
          <w:tcPr>
            <w:tcW w:w="1149" w:type="dxa"/>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项目预算控制率</w:t>
            </w:r>
          </w:p>
        </w:tc>
        <w:tc>
          <w:tcPr>
            <w:tcW w:w="1986" w:type="dxa"/>
            <w:gridSpan w:val="2"/>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全年预算数/全年执行数</w:t>
            </w:r>
            <w:r>
              <w:rPr>
                <w:rFonts w:hint="default" w:ascii="Times New Roman" w:hAnsi="Times New Roman" w:eastAsia="仿宋_GB2312" w:cs="Times New Roman"/>
                <w:color w:val="000000"/>
                <w:sz w:val="18"/>
                <w:szCs w:val="18"/>
              </w:rPr>
              <w:t>*100%</w:t>
            </w:r>
          </w:p>
        </w:tc>
        <w:tc>
          <w:tcPr>
            <w:tcW w:w="888"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100%</w:t>
            </w:r>
          </w:p>
        </w:tc>
        <w:tc>
          <w:tcPr>
            <w:tcW w:w="750"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w:t>
            </w:r>
          </w:p>
        </w:tc>
        <w:tc>
          <w:tcPr>
            <w:tcW w:w="692"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w:t>
            </w:r>
          </w:p>
        </w:tc>
        <w:tc>
          <w:tcPr>
            <w:tcW w:w="1146" w:type="dxa"/>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noWrap w:val="0"/>
            <w:vAlign w:val="center"/>
          </w:tcPr>
          <w:p>
            <w:pPr>
              <w:jc w:val="left"/>
              <w:rPr>
                <w:rFonts w:hint="default" w:ascii="Times New Roman" w:hAnsi="Times New Roman" w:eastAsia="仿宋_GB2312" w:cs="Times New Roman"/>
                <w:color w:val="000000"/>
                <w:kern w:val="0"/>
              </w:rPr>
            </w:pPr>
          </w:p>
        </w:tc>
        <w:tc>
          <w:tcPr>
            <w:tcW w:w="1154" w:type="dxa"/>
            <w:vMerge w:val="restart"/>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效益指标</w:t>
            </w:r>
          </w:p>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r>
              <w:rPr>
                <w:rFonts w:hint="default" w:ascii="Times New Roman" w:hAnsi="Times New Roman" w:eastAsia="仿宋_GB2312" w:cs="Times New Roman"/>
                <w:color w:val="000000"/>
                <w:kern w:val="0"/>
                <w:lang w:val="en-US" w:eastAsia="zh-CN"/>
              </w:rPr>
              <w:t>40</w:t>
            </w:r>
            <w:r>
              <w:rPr>
                <w:rFonts w:hint="default" w:ascii="Times New Roman" w:hAnsi="Times New Roman" w:eastAsia="仿宋_GB2312" w:cs="Times New Roman"/>
                <w:color w:val="000000"/>
                <w:kern w:val="0"/>
              </w:rPr>
              <w:t>分）</w:t>
            </w:r>
          </w:p>
        </w:tc>
        <w:tc>
          <w:tcPr>
            <w:tcW w:w="1204" w:type="dxa"/>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经济效益指标（10）</w:t>
            </w:r>
          </w:p>
        </w:tc>
        <w:tc>
          <w:tcPr>
            <w:tcW w:w="1149" w:type="dxa"/>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促进</w:t>
            </w:r>
            <w:r>
              <w:rPr>
                <w:rFonts w:hint="default" w:ascii="Times New Roman" w:hAnsi="Times New Roman" w:eastAsia="仿宋_GB2312" w:cs="Times New Roman"/>
                <w:color w:val="000000"/>
                <w:kern w:val="0"/>
                <w:sz w:val="18"/>
                <w:szCs w:val="18"/>
                <w:lang w:eastAsia="zh-CN"/>
              </w:rPr>
              <w:t>高标准农田</w:t>
            </w:r>
            <w:r>
              <w:rPr>
                <w:rFonts w:hint="default" w:ascii="Times New Roman" w:hAnsi="Times New Roman" w:eastAsia="仿宋_GB2312" w:cs="Times New Roman"/>
                <w:color w:val="000000"/>
                <w:kern w:val="0"/>
                <w:sz w:val="18"/>
                <w:szCs w:val="18"/>
              </w:rPr>
              <w:t>发展</w:t>
            </w:r>
          </w:p>
        </w:tc>
        <w:tc>
          <w:tcPr>
            <w:tcW w:w="1986" w:type="dxa"/>
            <w:gridSpan w:val="2"/>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辖区经济持续发展</w:t>
            </w:r>
          </w:p>
        </w:tc>
        <w:tc>
          <w:tcPr>
            <w:tcW w:w="888"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100%</w:t>
            </w:r>
          </w:p>
        </w:tc>
        <w:tc>
          <w:tcPr>
            <w:tcW w:w="750"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w:t>
            </w:r>
          </w:p>
        </w:tc>
        <w:tc>
          <w:tcPr>
            <w:tcW w:w="692"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w:t>
            </w:r>
          </w:p>
        </w:tc>
        <w:tc>
          <w:tcPr>
            <w:tcW w:w="1146" w:type="dxa"/>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noWrap w:val="0"/>
            <w:vAlign w:val="center"/>
          </w:tcPr>
          <w:p>
            <w:pPr>
              <w:jc w:val="left"/>
              <w:rPr>
                <w:rFonts w:hint="default" w:ascii="Times New Roman" w:hAnsi="Times New Roman" w:eastAsia="仿宋_GB2312" w:cs="Times New Roman"/>
                <w:color w:val="000000"/>
                <w:kern w:val="0"/>
              </w:rPr>
            </w:pPr>
          </w:p>
        </w:tc>
        <w:tc>
          <w:tcPr>
            <w:tcW w:w="1154" w:type="dxa"/>
            <w:vMerge w:val="continue"/>
            <w:noWrap w:val="0"/>
            <w:vAlign w:val="center"/>
          </w:tcPr>
          <w:p>
            <w:pPr>
              <w:jc w:val="left"/>
              <w:rPr>
                <w:rFonts w:hint="default" w:ascii="Times New Roman" w:hAnsi="Times New Roman" w:eastAsia="仿宋_GB2312" w:cs="Times New Roman"/>
                <w:color w:val="000000"/>
                <w:kern w:val="0"/>
              </w:rPr>
            </w:pPr>
          </w:p>
        </w:tc>
        <w:tc>
          <w:tcPr>
            <w:tcW w:w="1204" w:type="dxa"/>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社会效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益指标（10）</w:t>
            </w:r>
          </w:p>
        </w:tc>
        <w:tc>
          <w:tcPr>
            <w:tcW w:w="1149" w:type="dxa"/>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不断提升城市管理效能</w:t>
            </w:r>
          </w:p>
        </w:tc>
        <w:tc>
          <w:tcPr>
            <w:tcW w:w="1986" w:type="dxa"/>
            <w:gridSpan w:val="2"/>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辖区环境、社会风气改善，人民群众安居乐业</w:t>
            </w:r>
          </w:p>
        </w:tc>
        <w:tc>
          <w:tcPr>
            <w:tcW w:w="888"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100%</w:t>
            </w:r>
          </w:p>
        </w:tc>
        <w:tc>
          <w:tcPr>
            <w:tcW w:w="750"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w:t>
            </w:r>
          </w:p>
        </w:tc>
        <w:tc>
          <w:tcPr>
            <w:tcW w:w="692" w:type="dxa"/>
            <w:gridSpan w:val="2"/>
            <w:noWrap w:val="0"/>
            <w:vAlign w:val="center"/>
          </w:tcPr>
          <w:p>
            <w:pPr>
              <w:widowControl/>
              <w:jc w:val="center"/>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lang w:val="en-US" w:eastAsia="zh-CN"/>
              </w:rPr>
              <w:t>8</w:t>
            </w:r>
          </w:p>
        </w:tc>
        <w:tc>
          <w:tcPr>
            <w:tcW w:w="1146" w:type="dxa"/>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noWrap w:val="0"/>
            <w:vAlign w:val="center"/>
          </w:tcPr>
          <w:p>
            <w:pPr>
              <w:jc w:val="left"/>
              <w:rPr>
                <w:rFonts w:hint="default" w:ascii="Times New Roman" w:hAnsi="Times New Roman" w:eastAsia="仿宋_GB2312" w:cs="Times New Roman"/>
                <w:color w:val="000000"/>
                <w:kern w:val="0"/>
              </w:rPr>
            </w:pPr>
          </w:p>
        </w:tc>
        <w:tc>
          <w:tcPr>
            <w:tcW w:w="1154" w:type="dxa"/>
            <w:vMerge w:val="continue"/>
            <w:noWrap w:val="0"/>
            <w:vAlign w:val="center"/>
          </w:tcPr>
          <w:p>
            <w:pPr>
              <w:jc w:val="left"/>
              <w:rPr>
                <w:rFonts w:hint="default" w:ascii="Times New Roman" w:hAnsi="Times New Roman" w:eastAsia="仿宋_GB2312" w:cs="Times New Roman"/>
                <w:color w:val="000000"/>
                <w:kern w:val="0"/>
              </w:rPr>
            </w:pPr>
          </w:p>
        </w:tc>
        <w:tc>
          <w:tcPr>
            <w:tcW w:w="1204" w:type="dxa"/>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生态效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益指标（</w:t>
            </w:r>
            <w:r>
              <w:rPr>
                <w:rFonts w:hint="default" w:ascii="Times New Roman" w:hAnsi="Times New Roman" w:eastAsia="仿宋_GB2312" w:cs="Times New Roman"/>
                <w:color w:val="000000"/>
                <w:kern w:val="0"/>
                <w:lang w:val="en-US" w:eastAsia="zh-CN"/>
              </w:rPr>
              <w:t>10</w:t>
            </w:r>
            <w:r>
              <w:rPr>
                <w:rFonts w:hint="default" w:ascii="Times New Roman" w:hAnsi="Times New Roman" w:eastAsia="仿宋_GB2312" w:cs="Times New Roman"/>
                <w:color w:val="000000"/>
                <w:kern w:val="0"/>
              </w:rPr>
              <w:t>）</w:t>
            </w:r>
          </w:p>
        </w:tc>
        <w:tc>
          <w:tcPr>
            <w:tcW w:w="1149" w:type="dxa"/>
            <w:noWrap w:val="0"/>
            <w:vAlign w:val="center"/>
          </w:tcPr>
          <w:p>
            <w:pPr>
              <w:widowControl/>
              <w:jc w:val="left"/>
              <w:rPr>
                <w:rFonts w:hint="default" w:ascii="Times New Roman" w:hAnsi="Times New Roman" w:eastAsia="仿宋_GB2312" w:cs="Times New Roman"/>
                <w:color w:val="000000"/>
                <w:kern w:val="0"/>
                <w:sz w:val="18"/>
                <w:szCs w:val="18"/>
                <w:lang w:eastAsia="zh-CN"/>
              </w:rPr>
            </w:pPr>
            <w:r>
              <w:rPr>
                <w:rFonts w:hint="default" w:ascii="Times New Roman" w:hAnsi="Times New Roman" w:eastAsia="仿宋_GB2312" w:cs="Times New Roman"/>
                <w:color w:val="000000"/>
                <w:kern w:val="0"/>
                <w:sz w:val="18"/>
                <w:szCs w:val="18"/>
                <w:lang w:eastAsia="zh-CN"/>
              </w:rPr>
              <w:t>河流水质达标</w:t>
            </w:r>
          </w:p>
        </w:tc>
        <w:tc>
          <w:tcPr>
            <w:tcW w:w="1986" w:type="dxa"/>
            <w:gridSpan w:val="2"/>
            <w:noWrap w:val="0"/>
            <w:vAlign w:val="center"/>
          </w:tcPr>
          <w:p>
            <w:pPr>
              <w:widowControl/>
              <w:jc w:val="left"/>
              <w:rPr>
                <w:rFonts w:hint="default" w:ascii="Times New Roman" w:hAnsi="Times New Roman" w:eastAsia="仿宋_GB2312" w:cs="Times New Roman"/>
                <w:color w:val="000000"/>
                <w:kern w:val="0"/>
                <w:sz w:val="18"/>
                <w:szCs w:val="18"/>
                <w:lang w:eastAsia="zh-CN"/>
              </w:rPr>
            </w:pPr>
            <w:r>
              <w:rPr>
                <w:rFonts w:hint="default" w:ascii="Times New Roman" w:hAnsi="Times New Roman" w:eastAsia="仿宋_GB2312" w:cs="Times New Roman"/>
                <w:color w:val="000000"/>
                <w:kern w:val="0"/>
                <w:sz w:val="18"/>
                <w:szCs w:val="18"/>
                <w:lang w:eastAsia="zh-CN"/>
              </w:rPr>
              <w:t>年度水质达到标准</w:t>
            </w:r>
          </w:p>
        </w:tc>
        <w:tc>
          <w:tcPr>
            <w:tcW w:w="888"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100%</w:t>
            </w:r>
          </w:p>
        </w:tc>
        <w:tc>
          <w:tcPr>
            <w:tcW w:w="750" w:type="dxa"/>
            <w:gridSpan w:val="2"/>
            <w:noWrap w:val="0"/>
            <w:vAlign w:val="center"/>
          </w:tcPr>
          <w:p>
            <w:pPr>
              <w:widowControl/>
              <w:jc w:val="center"/>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lang w:val="en-US" w:eastAsia="zh-CN"/>
              </w:rPr>
              <w:t>5</w:t>
            </w:r>
          </w:p>
        </w:tc>
        <w:tc>
          <w:tcPr>
            <w:tcW w:w="692" w:type="dxa"/>
            <w:gridSpan w:val="2"/>
            <w:noWrap w:val="0"/>
            <w:vAlign w:val="center"/>
          </w:tcPr>
          <w:p>
            <w:pPr>
              <w:widowControl/>
              <w:jc w:val="center"/>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lang w:val="en-US" w:eastAsia="zh-CN"/>
              </w:rPr>
              <w:t>5</w:t>
            </w:r>
          </w:p>
        </w:tc>
        <w:tc>
          <w:tcPr>
            <w:tcW w:w="1146" w:type="dxa"/>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82" w:type="dxa"/>
            <w:vMerge w:val="continue"/>
            <w:noWrap w:val="0"/>
            <w:vAlign w:val="center"/>
          </w:tcPr>
          <w:p>
            <w:pPr>
              <w:widowControl/>
              <w:jc w:val="center"/>
              <w:rPr>
                <w:rFonts w:hint="default" w:ascii="Times New Roman" w:hAnsi="Times New Roman" w:eastAsia="仿宋_GB2312" w:cs="Times New Roman"/>
                <w:color w:val="000000"/>
                <w:kern w:val="0"/>
              </w:rPr>
            </w:pPr>
          </w:p>
        </w:tc>
        <w:tc>
          <w:tcPr>
            <w:tcW w:w="1154" w:type="dxa"/>
            <w:vMerge w:val="continue"/>
            <w:noWrap w:val="0"/>
            <w:vAlign w:val="center"/>
          </w:tcPr>
          <w:p>
            <w:pPr>
              <w:widowControl/>
              <w:jc w:val="left"/>
              <w:rPr>
                <w:rFonts w:hint="default" w:ascii="Times New Roman" w:hAnsi="Times New Roman" w:eastAsia="仿宋_GB2312" w:cs="Times New Roman"/>
                <w:color w:val="000000"/>
                <w:kern w:val="0"/>
              </w:rPr>
            </w:pPr>
          </w:p>
        </w:tc>
        <w:tc>
          <w:tcPr>
            <w:tcW w:w="1204" w:type="dxa"/>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可持续影响指标（</w:t>
            </w:r>
            <w:r>
              <w:rPr>
                <w:rFonts w:hint="default" w:ascii="Times New Roman" w:hAnsi="Times New Roman" w:eastAsia="仿宋_GB2312" w:cs="Times New Roman"/>
                <w:color w:val="000000"/>
                <w:kern w:val="0"/>
                <w:lang w:val="en-US" w:eastAsia="zh-CN"/>
              </w:rPr>
              <w:t>10</w:t>
            </w:r>
            <w:r>
              <w:rPr>
                <w:rFonts w:hint="default" w:ascii="Times New Roman" w:hAnsi="Times New Roman" w:eastAsia="仿宋_GB2312" w:cs="Times New Roman"/>
                <w:color w:val="000000"/>
                <w:kern w:val="0"/>
              </w:rPr>
              <w:t>）</w:t>
            </w:r>
          </w:p>
        </w:tc>
        <w:tc>
          <w:tcPr>
            <w:tcW w:w="1149" w:type="dxa"/>
            <w:noWrap w:val="0"/>
            <w:vAlign w:val="center"/>
          </w:tcPr>
          <w:p>
            <w:pPr>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sz w:val="18"/>
                <w:szCs w:val="18"/>
              </w:rPr>
              <w:t>推动经济与社会的协调发展</w:t>
            </w:r>
          </w:p>
        </w:tc>
        <w:tc>
          <w:tcPr>
            <w:tcW w:w="1986" w:type="dxa"/>
            <w:gridSpan w:val="2"/>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sz w:val="18"/>
                <w:szCs w:val="18"/>
              </w:rPr>
              <w:t>促进</w:t>
            </w:r>
            <w:r>
              <w:rPr>
                <w:rFonts w:hint="default" w:ascii="Times New Roman" w:hAnsi="Times New Roman" w:eastAsia="仿宋_GB2312" w:cs="Times New Roman"/>
                <w:color w:val="000000"/>
                <w:sz w:val="18"/>
                <w:szCs w:val="18"/>
                <w:lang w:eastAsia="zh-CN"/>
              </w:rPr>
              <w:t>河流灌溉</w:t>
            </w:r>
            <w:r>
              <w:rPr>
                <w:rFonts w:hint="default" w:ascii="Times New Roman" w:hAnsi="Times New Roman" w:eastAsia="仿宋_GB2312" w:cs="Times New Roman"/>
                <w:color w:val="000000"/>
                <w:sz w:val="18"/>
                <w:szCs w:val="18"/>
              </w:rPr>
              <w:t>及</w:t>
            </w:r>
            <w:r>
              <w:rPr>
                <w:rFonts w:hint="default" w:ascii="Times New Roman" w:hAnsi="Times New Roman" w:eastAsia="仿宋_GB2312" w:cs="Times New Roman"/>
                <w:color w:val="000000"/>
                <w:sz w:val="18"/>
                <w:szCs w:val="18"/>
                <w:lang w:eastAsia="zh-CN"/>
              </w:rPr>
              <w:t>水质</w:t>
            </w:r>
            <w:r>
              <w:rPr>
                <w:rFonts w:hint="default" w:ascii="Times New Roman" w:hAnsi="Times New Roman" w:eastAsia="仿宋_GB2312" w:cs="Times New Roman"/>
                <w:color w:val="000000"/>
                <w:sz w:val="18"/>
                <w:szCs w:val="18"/>
              </w:rPr>
              <w:t>协调发展。</w:t>
            </w:r>
          </w:p>
        </w:tc>
        <w:tc>
          <w:tcPr>
            <w:tcW w:w="888"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100%</w:t>
            </w:r>
          </w:p>
        </w:tc>
        <w:tc>
          <w:tcPr>
            <w:tcW w:w="750" w:type="dxa"/>
            <w:gridSpan w:val="2"/>
            <w:noWrap w:val="0"/>
            <w:vAlign w:val="center"/>
          </w:tcPr>
          <w:p>
            <w:pPr>
              <w:widowControl/>
              <w:jc w:val="center"/>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lang w:val="en-US" w:eastAsia="zh-CN"/>
              </w:rPr>
              <w:t>5</w:t>
            </w:r>
          </w:p>
        </w:tc>
        <w:tc>
          <w:tcPr>
            <w:tcW w:w="692" w:type="dxa"/>
            <w:gridSpan w:val="2"/>
            <w:noWrap w:val="0"/>
            <w:vAlign w:val="center"/>
          </w:tcPr>
          <w:p>
            <w:pPr>
              <w:widowControl/>
              <w:jc w:val="center"/>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lang w:val="en-US" w:eastAsia="zh-CN"/>
              </w:rPr>
              <w:t>5</w:t>
            </w:r>
          </w:p>
        </w:tc>
        <w:tc>
          <w:tcPr>
            <w:tcW w:w="1146" w:type="dxa"/>
            <w:noWrap w:val="0"/>
            <w:vAlign w:val="center"/>
          </w:tcPr>
          <w:p>
            <w:pPr>
              <w:widowControl/>
              <w:jc w:val="center"/>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Merge w:val="continue"/>
            <w:noWrap w:val="0"/>
            <w:vAlign w:val="center"/>
          </w:tcPr>
          <w:p>
            <w:pPr>
              <w:jc w:val="left"/>
              <w:rPr>
                <w:rFonts w:hint="default" w:ascii="Times New Roman" w:hAnsi="Times New Roman" w:eastAsia="仿宋_GB2312" w:cs="Times New Roman"/>
                <w:color w:val="000000"/>
                <w:kern w:val="0"/>
              </w:rPr>
            </w:pPr>
          </w:p>
        </w:tc>
        <w:tc>
          <w:tcPr>
            <w:tcW w:w="1154" w:type="dxa"/>
            <w:vMerge w:val="continue"/>
            <w:noWrap w:val="0"/>
            <w:vAlign w:val="center"/>
          </w:tcPr>
          <w:p>
            <w:pPr>
              <w:widowControl/>
              <w:jc w:val="center"/>
              <w:rPr>
                <w:rFonts w:hint="default" w:ascii="Times New Roman" w:hAnsi="Times New Roman" w:eastAsia="仿宋_GB2312" w:cs="Times New Roman"/>
                <w:color w:val="000000"/>
                <w:kern w:val="0"/>
              </w:rPr>
            </w:pPr>
          </w:p>
        </w:tc>
        <w:tc>
          <w:tcPr>
            <w:tcW w:w="1204" w:type="dxa"/>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服务对象满意度指标（10）</w:t>
            </w:r>
          </w:p>
        </w:tc>
        <w:tc>
          <w:tcPr>
            <w:tcW w:w="1149" w:type="dxa"/>
            <w:noWrap w:val="0"/>
            <w:vAlign w:val="center"/>
          </w:tcPr>
          <w:p>
            <w:pPr>
              <w:jc w:val="lef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社会和人民群众满意度的评价</w:t>
            </w:r>
          </w:p>
        </w:tc>
        <w:tc>
          <w:tcPr>
            <w:tcW w:w="1986" w:type="dxa"/>
            <w:gridSpan w:val="2"/>
            <w:noWrap w:val="0"/>
            <w:vAlign w:val="center"/>
          </w:tcPr>
          <w:p>
            <w:pPr>
              <w:widowControl/>
              <w:jc w:val="left"/>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sz w:val="18"/>
                <w:szCs w:val="18"/>
              </w:rPr>
              <w:t>满意度达9</w:t>
            </w:r>
            <w:r>
              <w:rPr>
                <w:rFonts w:hint="default" w:ascii="Times New Roman" w:hAnsi="Times New Roman" w:eastAsia="仿宋_GB2312" w:cs="Times New Roman"/>
                <w:color w:val="000000"/>
                <w:sz w:val="18"/>
                <w:szCs w:val="18"/>
                <w:lang w:val="en-US" w:eastAsia="zh-CN"/>
              </w:rPr>
              <w:t>2</w:t>
            </w:r>
            <w:r>
              <w:rPr>
                <w:rStyle w:val="21"/>
                <w:rFonts w:hint="default" w:ascii="Times New Roman" w:hAnsi="Times New Roman" w:eastAsia="仿宋_GB2312" w:cs="Times New Roman"/>
              </w:rPr>
              <w:t>%</w:t>
            </w:r>
          </w:p>
          <w:p>
            <w:pPr>
              <w:widowControl/>
              <w:jc w:val="left"/>
              <w:rPr>
                <w:rFonts w:hint="default" w:ascii="Times New Roman" w:hAnsi="Times New Roman" w:eastAsia="仿宋_GB2312" w:cs="Times New Roman"/>
                <w:color w:val="000000"/>
                <w:kern w:val="0"/>
                <w:sz w:val="18"/>
                <w:szCs w:val="18"/>
              </w:rPr>
            </w:pPr>
          </w:p>
        </w:tc>
        <w:tc>
          <w:tcPr>
            <w:tcW w:w="888"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96.8%</w:t>
            </w:r>
          </w:p>
        </w:tc>
        <w:tc>
          <w:tcPr>
            <w:tcW w:w="750" w:type="dxa"/>
            <w:gridSpan w:val="2"/>
            <w:noWrap w:val="0"/>
            <w:vAlign w:val="center"/>
          </w:tcPr>
          <w:p>
            <w:pPr>
              <w:widowControl/>
              <w:jc w:val="center"/>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rPr>
              <w:t>10</w:t>
            </w:r>
          </w:p>
        </w:tc>
        <w:tc>
          <w:tcPr>
            <w:tcW w:w="692" w:type="dxa"/>
            <w:gridSpan w:val="2"/>
            <w:noWrap w:val="0"/>
            <w:vAlign w:val="center"/>
          </w:tcPr>
          <w:p>
            <w:pPr>
              <w:widowControl/>
              <w:jc w:val="center"/>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lang w:val="en-US" w:eastAsia="zh-CN"/>
              </w:rPr>
              <w:t>7</w:t>
            </w:r>
          </w:p>
        </w:tc>
        <w:tc>
          <w:tcPr>
            <w:tcW w:w="1146" w:type="dxa"/>
            <w:noWrap w:val="0"/>
            <w:vAlign w:val="center"/>
          </w:tcPr>
          <w:p>
            <w:pPr>
              <w:widowControl/>
              <w:jc w:val="center"/>
              <w:rPr>
                <w:rFonts w:hint="default" w:ascii="Times New Roman" w:hAnsi="Times New Roman" w:eastAsia="仿宋_GB2312"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63" w:type="dxa"/>
            <w:gridSpan w:val="8"/>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总分</w:t>
            </w:r>
          </w:p>
        </w:tc>
        <w:tc>
          <w:tcPr>
            <w:tcW w:w="750" w:type="dxa"/>
            <w:gridSpan w:val="2"/>
            <w:noWrap w:val="0"/>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100</w:t>
            </w:r>
          </w:p>
        </w:tc>
        <w:tc>
          <w:tcPr>
            <w:tcW w:w="692" w:type="dxa"/>
            <w:gridSpan w:val="2"/>
            <w:noWrap w:val="0"/>
            <w:vAlign w:val="center"/>
          </w:tcPr>
          <w:p>
            <w:pPr>
              <w:widowControl/>
              <w:jc w:val="left"/>
              <w:rPr>
                <w:rFonts w:hint="default" w:ascii="Times New Roman" w:hAnsi="Times New Roman" w:eastAsia="仿宋_GB2312" w:cs="Times New Roman"/>
                <w:color w:val="000000"/>
                <w:kern w:val="0"/>
                <w:lang w:val="en-US" w:eastAsia="zh-CN"/>
              </w:rPr>
            </w:pPr>
            <w:r>
              <w:rPr>
                <w:rFonts w:hint="default" w:ascii="Times New Roman" w:hAnsi="Times New Roman" w:eastAsia="仿宋_GB2312" w:cs="Times New Roman"/>
                <w:color w:val="000000"/>
                <w:kern w:val="0"/>
              </w:rPr>
              <w:t>　9</w:t>
            </w:r>
            <w:r>
              <w:rPr>
                <w:rFonts w:hint="default" w:ascii="Times New Roman" w:hAnsi="Times New Roman" w:eastAsia="仿宋_GB2312" w:cs="Times New Roman"/>
                <w:color w:val="000000"/>
                <w:kern w:val="0"/>
                <w:lang w:val="en-US" w:eastAsia="zh-CN"/>
              </w:rPr>
              <w:t>5</w:t>
            </w:r>
          </w:p>
        </w:tc>
        <w:tc>
          <w:tcPr>
            <w:tcW w:w="1146" w:type="dxa"/>
            <w:noWrap w:val="0"/>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r>
    </w:tbl>
    <w:p>
      <w:pPr>
        <w:spacing w:before="0" w:beforeAutospacing="0" w:after="2" w:afterAutospacing="0"/>
        <w:jc w:val="center"/>
        <w:rPr>
          <w:rFonts w:hint="default" w:ascii="等线" w:hAnsi="等线" w:eastAsia="等线" w:cs="Times New Roman"/>
          <w:kern w:val="2"/>
          <w:sz w:val="21"/>
          <w:szCs w:val="21"/>
        </w:rPr>
      </w:pPr>
    </w:p>
    <w:sectPr>
      <w:pgSz w:w="11906" w:h="16838" w:orient="landscape"/>
      <w:pgMar w:top="1440" w:right="1080" w:bottom="1440" w:left="1080" w:header="851" w:footer="992" w:gutter="0"/>
      <w:pgNumType w:fmt="decimal"/>
      <w:cols w:space="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5A352E"/>
    <w:multiLevelType w:val="singleLevel"/>
    <w:tmpl w:val="C35A352E"/>
    <w:lvl w:ilvl="0" w:tentative="0">
      <w:start w:val="2"/>
      <w:numFmt w:val="decimal"/>
      <w:suff w:val="nothing"/>
      <w:lvlText w:val="%1．"/>
      <w:lvlJc w:val="left"/>
    </w:lvl>
  </w:abstractNum>
  <w:abstractNum w:abstractNumId="1">
    <w:nsid w:val="C6B39999"/>
    <w:multiLevelType w:val="singleLevel"/>
    <w:tmpl w:val="C6B39999"/>
    <w:lvl w:ilvl="0" w:tentative="0">
      <w:start w:val="5"/>
      <w:numFmt w:val="chineseCounting"/>
      <w:suff w:val="nothing"/>
      <w:lvlText w:val="%1、"/>
      <w:lvlJc w:val="left"/>
      <w:rPr>
        <w:rFonts w:hint="eastAsia"/>
      </w:rPr>
    </w:lvl>
  </w:abstractNum>
  <w:abstractNum w:abstractNumId="2">
    <w:nsid w:val="EC8AF8CE"/>
    <w:multiLevelType w:val="singleLevel"/>
    <w:tmpl w:val="EC8AF8CE"/>
    <w:lvl w:ilvl="0" w:tentative="0">
      <w:start w:val="8"/>
      <w:numFmt w:val="chineseCounting"/>
      <w:suff w:val="nothing"/>
      <w:lvlText w:val="%1、"/>
      <w:lvlJc w:val="left"/>
      <w:rPr>
        <w:rFonts w:hint="eastAsia"/>
      </w:rPr>
    </w:lvl>
  </w:abstractNum>
  <w:abstractNum w:abstractNumId="3">
    <w:nsid w:val="F6B7866E"/>
    <w:multiLevelType w:val="singleLevel"/>
    <w:tmpl w:val="F6B7866E"/>
    <w:lvl w:ilvl="0" w:tentative="0">
      <w:start w:val="2"/>
      <w:numFmt w:val="decimal"/>
      <w:suff w:val="nothing"/>
      <w:lvlText w:val="%1．"/>
      <w:lvlJc w:val="left"/>
    </w:lvl>
  </w:abstractNum>
  <w:abstractNum w:abstractNumId="4">
    <w:nsid w:val="0BDA7AC4"/>
    <w:multiLevelType w:val="singleLevel"/>
    <w:tmpl w:val="0BDA7AC4"/>
    <w:lvl w:ilvl="0" w:tentative="0">
      <w:start w:val="1"/>
      <w:numFmt w:val="chineseCounting"/>
      <w:suff w:val="nothing"/>
      <w:lvlText w:val="（%1）"/>
      <w:lvlJc w:val="left"/>
      <w:rPr>
        <w:rFonts w:hint="eastAsia"/>
      </w:rPr>
    </w:lvl>
  </w:abstractNum>
  <w:abstractNum w:abstractNumId="5">
    <w:nsid w:val="4099858E"/>
    <w:multiLevelType w:val="singleLevel"/>
    <w:tmpl w:val="4099858E"/>
    <w:lvl w:ilvl="0" w:tentative="0">
      <w:start w:val="1"/>
      <w:numFmt w:val="chineseCounting"/>
      <w:suff w:val="nothing"/>
      <w:lvlText w:val="%1、"/>
      <w:lvlJc w:val="left"/>
      <w:rPr>
        <w:rFonts w:hint="eastAsia"/>
      </w:rPr>
    </w:lvl>
  </w:abstractNum>
  <w:abstractNum w:abstractNumId="6">
    <w:nsid w:val="742B16A2"/>
    <w:multiLevelType w:val="singleLevel"/>
    <w:tmpl w:val="742B16A2"/>
    <w:lvl w:ilvl="0" w:tentative="0">
      <w:start w:val="8"/>
      <w:numFmt w:val="chineseCounting"/>
      <w:suff w:val="nothing"/>
      <w:lvlText w:val="（%1）"/>
      <w:lvlJc w:val="left"/>
      <w:rPr>
        <w:rFonts w:hint="eastAsia"/>
      </w:r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kODJmOGQ2OTljNTk5NDVkNjdhZjBlMWRmYzJkMzkifQ=="/>
  </w:docVars>
  <w:rsids>
    <w:rsidRoot w:val="00000000"/>
    <w:rsid w:val="029E3453"/>
    <w:rsid w:val="04ED188E"/>
    <w:rsid w:val="058344EC"/>
    <w:rsid w:val="059579B2"/>
    <w:rsid w:val="09454689"/>
    <w:rsid w:val="0A574F79"/>
    <w:rsid w:val="0C4F0A13"/>
    <w:rsid w:val="0D784EF7"/>
    <w:rsid w:val="0FA46231"/>
    <w:rsid w:val="177A55E8"/>
    <w:rsid w:val="188B5723"/>
    <w:rsid w:val="1BED3368"/>
    <w:rsid w:val="1EA15C8C"/>
    <w:rsid w:val="1FA114EE"/>
    <w:rsid w:val="1FCC3D9A"/>
    <w:rsid w:val="222C7FC1"/>
    <w:rsid w:val="27406152"/>
    <w:rsid w:val="27504445"/>
    <w:rsid w:val="284D7E27"/>
    <w:rsid w:val="2A995DD9"/>
    <w:rsid w:val="2CD2586A"/>
    <w:rsid w:val="2DC468D2"/>
    <w:rsid w:val="2F0F2864"/>
    <w:rsid w:val="3014661B"/>
    <w:rsid w:val="369D44CE"/>
    <w:rsid w:val="37122ED2"/>
    <w:rsid w:val="3954485A"/>
    <w:rsid w:val="3D685A9B"/>
    <w:rsid w:val="3E003867"/>
    <w:rsid w:val="3E5C27EB"/>
    <w:rsid w:val="40CA3265"/>
    <w:rsid w:val="48F65542"/>
    <w:rsid w:val="4A234A15"/>
    <w:rsid w:val="4A353C49"/>
    <w:rsid w:val="4B35500E"/>
    <w:rsid w:val="4F027812"/>
    <w:rsid w:val="56203479"/>
    <w:rsid w:val="5C692587"/>
    <w:rsid w:val="5D9714E9"/>
    <w:rsid w:val="5EA338E5"/>
    <w:rsid w:val="5ED256A3"/>
    <w:rsid w:val="63BF05BA"/>
    <w:rsid w:val="66827413"/>
    <w:rsid w:val="67C4340C"/>
    <w:rsid w:val="6CAF7411"/>
    <w:rsid w:val="6CD90498"/>
    <w:rsid w:val="6EC92F72"/>
    <w:rsid w:val="6EE83226"/>
    <w:rsid w:val="6F781BAC"/>
    <w:rsid w:val="702C62D5"/>
    <w:rsid w:val="72943864"/>
    <w:rsid w:val="743847D2"/>
    <w:rsid w:val="75074220"/>
    <w:rsid w:val="751A7921"/>
    <w:rsid w:val="7691347F"/>
    <w:rsid w:val="7C2E17A1"/>
    <w:rsid w:val="7DC5598C"/>
    <w:rsid w:val="7E717CAB"/>
    <w:rsid w:val="7F3102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 w:type="paragraph" w:styleId="3">
    <w:name w:val="heading 1"/>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27"/>
      <w:szCs w:val="27"/>
      <w:lang w:val="en-US" w:eastAsia="zh-CN" w:bidi="ar"/>
    </w:rPr>
  </w:style>
  <w:style w:type="paragraph" w:styleId="6">
    <w:name w:val="heading 4"/>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24"/>
      <w:szCs w:val="24"/>
      <w:lang w:val="en-US" w:eastAsia="zh-CN" w:bidi="ar"/>
    </w:rPr>
  </w:style>
  <w:style w:type="paragraph" w:styleId="7">
    <w:name w:val="heading 5"/>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20"/>
      <w:szCs w:val="20"/>
      <w:lang w:val="en-US" w:eastAsia="zh-CN" w:bidi="ar"/>
    </w:rPr>
  </w:style>
  <w:style w:type="paragraph" w:styleId="8">
    <w:name w:val="heading 6"/>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15"/>
      <w:szCs w:val="15"/>
      <w:lang w:val="en-US" w:eastAsia="zh-CN" w:bidi="ar"/>
    </w:rPr>
  </w:style>
  <w:style w:type="character" w:default="1" w:styleId="14">
    <w:name w:val="Default Paragraph Font"/>
    <w:semiHidden/>
    <w:unhideWhenUsed/>
    <w:qFormat/>
    <w:uiPriority w:val="99"/>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99"/>
    <w:pPr>
      <w:ind w:left="286"/>
    </w:pPr>
    <w:rPr>
      <w:rFonts w:ascii="宋体" w:hAnsi="宋体" w:cs="宋体"/>
      <w:sz w:val="32"/>
      <w:szCs w:val="32"/>
      <w:lang w:val="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widowControl/>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5">
    <w:name w:val="HTML 预设格式 Char"/>
    <w:basedOn w:val="1"/>
    <w:qFormat/>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6">
    <w:name w:val="15"/>
    <w:basedOn w:val="14"/>
    <w:qFormat/>
    <w:uiPriority w:val="0"/>
    <w:rPr>
      <w:rFonts w:hint="default" w:ascii="Times New Roman" w:hAnsi="Times New Roman" w:cs="Times New Roman"/>
      <w:b/>
    </w:rPr>
  </w:style>
  <w:style w:type="character" w:customStyle="1" w:styleId="17">
    <w:name w:val="10"/>
    <w:basedOn w:val="14"/>
    <w:qFormat/>
    <w:uiPriority w:val="0"/>
    <w:rPr>
      <w:rFonts w:hint="default" w:ascii="Times New Roman" w:hAnsi="Times New Roman" w:cs="Times New Roman"/>
    </w:rPr>
  </w:style>
  <w:style w:type="paragraph" w:customStyle="1" w:styleId="18">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9">
    <w:name w:val="18"/>
    <w:basedOn w:val="1"/>
    <w:qFormat/>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 w:type="paragraph" w:styleId="20">
    <w:name w:val="List Paragraph"/>
    <w:basedOn w:val="1"/>
    <w:qFormat/>
    <w:uiPriority w:val="99"/>
    <w:pPr>
      <w:ind w:firstLine="420" w:firstLineChars="200"/>
    </w:pPr>
    <w:rPr>
      <w:rFonts w:ascii="Calibri" w:hAnsi="Calibri" w:eastAsia="宋体" w:cs="Times New Roman"/>
      <w:szCs w:val="22"/>
    </w:rPr>
  </w:style>
  <w:style w:type="character" w:customStyle="1" w:styleId="21">
    <w:name w:val="font21"/>
    <w:basedOn w:val="14"/>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66</Pages>
  <Words>28873</Words>
  <Characters>39884</Characters>
  <Lines>1</Lines>
  <Paragraphs>1</Paragraphs>
  <TotalTime>0</TotalTime>
  <ScaleCrop>false</ScaleCrop>
  <LinksUpToDate>false</LinksUpToDate>
  <CharactersWithSpaces>43628</CharactersWithSpaces>
  <Application>WPS Office_11.1.0.9564_F1E327BC-269C-435d-A152-05C5408002CA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2022-10-19T08:48:00Z</dcterms:created>
  <dc:creator>Administrator</dc:creator>
  <cp:lastModifiedBy>Administrator</cp:lastModifiedBy>
  <cp:lastPrinted>2022-10-20T03:37:00Z</cp:lastPrinted>
  <dcterms:modified xsi:type="dcterms:W3CDTF">2023-11-02T02:22:21Z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034D8F134FE94BEF9DCE935EF22DA024</vt:lpwstr>
  </property>
</Properties>
</file>