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b/>
          <w:bCs/>
          <w:color w:val="000000"/>
          <w:sz w:val="48"/>
          <w:szCs w:val="48"/>
        </w:rPr>
        <w:t>2020</w:t>
      </w:r>
      <w:r>
        <w:rPr>
          <w:rFonts w:hint="eastAsia" w:asciiTheme="majorEastAsia" w:hAnsiTheme="majorEastAsia" w:eastAsiaTheme="majorEastAsia" w:cstheme="majorEastAsia"/>
          <w:b/>
          <w:bCs/>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p>
    <w:p>
      <w:pPr>
        <w:jc w:val="center"/>
        <w:rPr>
          <w:rFonts w:ascii="Times New Roman" w:hAnsi="Times New Roman" w:eastAsia="黑体"/>
          <w:color w:val="000000"/>
          <w:sz w:val="32"/>
          <w:szCs w:val="32"/>
        </w:rPr>
      </w:pPr>
      <w:r>
        <w:rPr>
          <w:rFonts w:hint="eastAsia" w:ascii="Times New Roman" w:hAnsi="Times New Roman" w:eastAsia="黑体"/>
          <w:color w:val="000000"/>
          <w:sz w:val="44"/>
          <w:szCs w:val="44"/>
        </w:rPr>
        <w:t>浏阳市金刚镇人民政府</w:t>
      </w: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二O二一年10月18日</w:t>
      </w:r>
    </w:p>
    <w:p>
      <w:pPr>
        <w:pStyle w:val="2"/>
        <w:spacing w:before="0" w:beforeAutospacing="0" w:after="0" w:afterAutospacing="0" w:line="570" w:lineRule="atLeast"/>
        <w:jc w:val="both"/>
        <w:rPr>
          <w:rFonts w:cs="Times New Roman"/>
          <w:b/>
          <w:bCs/>
          <w:color w:val="333333"/>
          <w:sz w:val="44"/>
          <w:szCs w:val="44"/>
        </w:rPr>
      </w:pPr>
    </w:p>
    <w:p>
      <w:pPr>
        <w:pStyle w:val="2"/>
        <w:spacing w:before="0" w:beforeAutospacing="0" w:after="0" w:afterAutospacing="0" w:line="570" w:lineRule="atLeast"/>
        <w:jc w:val="center"/>
        <w:rPr>
          <w:rFonts w:asciiTheme="majorEastAsia" w:hAnsiTheme="majorEastAsia" w:eastAsiaTheme="majorEastAsia" w:cstheme="majorEastAsia"/>
          <w:b/>
          <w:bCs/>
          <w:color w:val="000000"/>
          <w:kern w:val="2"/>
          <w:sz w:val="44"/>
          <w:szCs w:val="44"/>
        </w:rPr>
      </w:pPr>
      <w:r>
        <w:rPr>
          <w:rFonts w:hint="eastAsia" w:asciiTheme="majorEastAsia" w:hAnsiTheme="majorEastAsia" w:eastAsiaTheme="majorEastAsia" w:cstheme="majorEastAsia"/>
          <w:b/>
          <w:bCs/>
          <w:color w:val="000000"/>
          <w:kern w:val="2"/>
          <w:sz w:val="44"/>
          <w:szCs w:val="44"/>
        </w:rPr>
        <w:t>浏阳市金刚镇人民政府</w:t>
      </w:r>
    </w:p>
    <w:p>
      <w:pPr>
        <w:pStyle w:val="2"/>
        <w:spacing w:before="0" w:beforeAutospacing="0" w:after="0" w:afterAutospacing="0" w:line="570" w:lineRule="atLeast"/>
        <w:jc w:val="center"/>
        <w:rPr>
          <w:rFonts w:asciiTheme="majorEastAsia" w:hAnsiTheme="majorEastAsia" w:eastAsiaTheme="majorEastAsia" w:cstheme="majorEastAsia"/>
          <w:b/>
          <w:bCs/>
          <w:color w:val="000000"/>
          <w:kern w:val="2"/>
          <w:sz w:val="44"/>
          <w:szCs w:val="44"/>
        </w:rPr>
      </w:pPr>
      <w:bookmarkStart w:id="0" w:name="_GoBack"/>
      <w:r>
        <w:rPr>
          <w:rFonts w:hint="eastAsia" w:asciiTheme="majorEastAsia" w:hAnsiTheme="majorEastAsia" w:eastAsiaTheme="majorEastAsia" w:cstheme="majorEastAsia"/>
          <w:b/>
          <w:bCs/>
          <w:color w:val="000000"/>
          <w:kern w:val="2"/>
          <w:sz w:val="44"/>
          <w:szCs w:val="44"/>
        </w:rPr>
        <w:t>2020年部门整体支出绩效自评报告</w:t>
      </w:r>
    </w:p>
    <w:bookmarkEnd w:id="0"/>
    <w:p>
      <w:pPr>
        <w:pStyle w:val="2"/>
        <w:spacing w:before="0" w:beforeAutospacing="0" w:after="0" w:afterAutospacing="0" w:line="570" w:lineRule="atLeast"/>
        <w:jc w:val="both"/>
        <w:rPr>
          <w:rFonts w:cs="Times New Roman"/>
          <w:b/>
          <w:bCs/>
          <w:color w:val="333333"/>
          <w:sz w:val="44"/>
          <w:szCs w:val="44"/>
        </w:rPr>
      </w:pPr>
    </w:p>
    <w:p>
      <w:pPr>
        <w:pStyle w:val="2"/>
        <w:spacing w:before="0" w:beforeAutospacing="0" w:after="0" w:afterAutospacing="0" w:line="570" w:lineRule="atLeast"/>
        <w:ind w:firstLine="630" w:firstLineChars="196"/>
        <w:jc w:val="both"/>
        <w:rPr>
          <w:color w:val="333333"/>
          <w:sz w:val="21"/>
          <w:szCs w:val="21"/>
        </w:rPr>
      </w:pPr>
      <w:r>
        <w:rPr>
          <w:rFonts w:hint="eastAsia" w:cs="黑体" w:asciiTheme="minorEastAsia" w:hAnsiTheme="minorEastAsia" w:eastAsiaTheme="minorEastAsia"/>
          <w:b/>
          <w:color w:val="000000"/>
          <w:sz w:val="32"/>
          <w:szCs w:val="32"/>
        </w:rPr>
        <w:t>一、部门概况</w:t>
      </w:r>
    </w:p>
    <w:p>
      <w:pPr>
        <w:pStyle w:val="2"/>
        <w:spacing w:before="0" w:beforeAutospacing="0" w:after="0" w:afterAutospacing="0" w:line="520" w:lineRule="atLeast"/>
        <w:ind w:firstLine="640"/>
        <w:jc w:val="both"/>
        <w:rPr>
          <w:b/>
          <w:color w:val="333333"/>
          <w:sz w:val="32"/>
          <w:szCs w:val="32"/>
        </w:rPr>
      </w:pPr>
      <w:r>
        <w:rPr>
          <w:rFonts w:hint="eastAsia" w:cs="黑体" w:asciiTheme="minorEastAsia" w:hAnsiTheme="minorEastAsia" w:eastAsiaTheme="minorEastAsia"/>
          <w:b/>
          <w:color w:val="000000"/>
          <w:sz w:val="32"/>
          <w:szCs w:val="32"/>
        </w:rPr>
        <w:t>（一）基本情况</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浏阳市金刚镇人民政府为独立核算的行政单位，属一级预算单位。根据编委核定，我镇内设机构12个：党政综合办、基层党建办公室（宣传办公室）、纪检监察办、财政所、经济发展办公室、公共安全与应急管理办、自然资源与生态环境办、农业农村办公室（河长制办公室）、综合行政执法大队、政务服务中心、社会事业综合服务中心和重点项目建设服务中心。以乡镇为主的事业单位5个：浏阳市金刚镇社会事业综合服务中心、浏阳市金刚镇退役军人服务站、浏阳市金刚镇政务服务中心、浏阳市金刚镇重点项目建设服务中心、浏阳市金刚镇综合行政执法大队。2020年末单位编制人数114人，年末在职人员实有人数114人。</w:t>
      </w:r>
    </w:p>
    <w:p>
      <w:pPr>
        <w:pStyle w:val="2"/>
        <w:spacing w:before="0" w:beforeAutospacing="0" w:after="0" w:afterAutospacing="0" w:line="520" w:lineRule="atLeast"/>
        <w:ind w:firstLine="64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（二）2020年本单位财政拨款收入支出情况</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1、2020年本单位财政拨款收入14784.47万元，其中：其中基本收入拨款2113.80万元，项目收入拨款12670.67万元。</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2020年本部门支出14784.47万元.其中基本支出2113.80万元（是指为保障单位正常运转、完成日常工作任务而发生的各项支出其中人员经费1881万元，日常公用经费232.80万元）。项目支出12670.67万元（是指单位为完成特定行政工作任务或事业发展目标而发生的支出，其中政府性基金项目支出125.78万元，一般公共服务（类）支出185.32万元，教育（类）支出274.87万元，科学技术（类）支出137.6万元，文化旅游体育与传媒（类）支出86.61万元，社会保障和就业（类）支出311.14万元，节能环保（类）支出209.28万元，城乡社区（类）支出9354.01万元，农林水（类）支出1528.23万元，交通运输（类）支出221.07万元）。</w:t>
      </w:r>
    </w:p>
    <w:p>
      <w:pPr>
        <w:pStyle w:val="2"/>
        <w:spacing w:before="0" w:beforeAutospacing="0" w:after="0" w:afterAutospacing="0" w:line="520" w:lineRule="atLeast"/>
        <w:ind w:firstLine="630" w:firstLineChars="196"/>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二、部门整体支出管理及使用情况</w:t>
      </w:r>
    </w:p>
    <w:p>
      <w:pPr>
        <w:widowControl/>
        <w:ind w:firstLine="640" w:firstLineChars="200"/>
        <w:jc w:val="left"/>
        <w:rPr>
          <w:rFonts w:cs="黑体" w:asciiTheme="minorEastAsia" w:hAnsiTheme="minorEastAsia"/>
          <w:color w:val="000000"/>
          <w:kern w:val="0"/>
          <w:sz w:val="32"/>
          <w:szCs w:val="32"/>
        </w:rPr>
      </w:pPr>
      <w:r>
        <w:rPr>
          <w:rFonts w:hint="eastAsia" w:ascii="宋体" w:hAnsi="宋体" w:eastAsia="宋体" w:cs="宋体"/>
          <w:color w:val="000000"/>
          <w:sz w:val="32"/>
          <w:szCs w:val="32"/>
        </w:rPr>
        <w:t>1、</w:t>
      </w:r>
      <w:r>
        <w:rPr>
          <w:rFonts w:hint="eastAsia" w:ascii="宋体" w:hAnsi="宋体" w:eastAsia="宋体" w:cs="宋体"/>
          <w:b/>
          <w:color w:val="000000"/>
          <w:sz w:val="32"/>
          <w:szCs w:val="32"/>
        </w:rPr>
        <w:t>基本支出：</w:t>
      </w:r>
      <w:r>
        <w:rPr>
          <w:rFonts w:hint="eastAsia" w:cs="黑体" w:asciiTheme="minorEastAsia" w:hAnsiTheme="minorEastAsia"/>
          <w:color w:val="000000"/>
          <w:kern w:val="0"/>
          <w:sz w:val="32"/>
          <w:szCs w:val="32"/>
        </w:rPr>
        <w:t>2020年度我镇基本支出2113.80万元，其中用于人员经费支出1881万元，日常公用经费支出232.80万元。</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三公经费支出21.06万元（预算为27.30万元），同比去年减少45.44%，属正常范围内减少。其中公务接待费完成17.69万元（预算为19.80万元），同比去年减少43.12%，公务用车运行维护费完成3.37万元（预算为7.5万元），同比去年减少55.07%。</w:t>
      </w:r>
    </w:p>
    <w:p>
      <w:pPr>
        <w:widowControl/>
        <w:ind w:firstLine="640" w:firstLineChars="200"/>
        <w:jc w:val="left"/>
        <w:rPr>
          <w:rFonts w:cs="黑体" w:asciiTheme="minorEastAsia" w:hAnsiTheme="minorEastAsia"/>
          <w:color w:val="000000"/>
          <w:kern w:val="0"/>
          <w:sz w:val="32"/>
          <w:szCs w:val="32"/>
        </w:rPr>
      </w:pPr>
      <w:r>
        <w:rPr>
          <w:rFonts w:hint="eastAsia" w:ascii="宋体" w:hAnsi="宋体" w:eastAsia="宋体" w:cs="宋体"/>
          <w:color w:val="000000"/>
          <w:sz w:val="32"/>
          <w:szCs w:val="32"/>
        </w:rPr>
        <w:t>2、</w:t>
      </w:r>
      <w:r>
        <w:rPr>
          <w:rFonts w:hint="eastAsia" w:ascii="宋体" w:hAnsi="宋体" w:eastAsia="宋体" w:cs="宋体"/>
          <w:b/>
          <w:color w:val="000000"/>
          <w:sz w:val="32"/>
          <w:szCs w:val="32"/>
        </w:rPr>
        <w:t>项目支出</w:t>
      </w:r>
      <w:r>
        <w:rPr>
          <w:rFonts w:hint="eastAsia" w:ascii="宋体" w:hAnsi="宋体" w:eastAsia="宋体" w:cs="宋体"/>
          <w:color w:val="000000"/>
          <w:sz w:val="32"/>
          <w:szCs w:val="32"/>
        </w:rPr>
        <w:t>：</w:t>
      </w:r>
      <w:r>
        <w:rPr>
          <w:rFonts w:hint="eastAsia" w:cs="黑体" w:asciiTheme="minorEastAsia" w:hAnsiTheme="minorEastAsia"/>
          <w:color w:val="000000"/>
          <w:kern w:val="0"/>
          <w:sz w:val="32"/>
          <w:szCs w:val="32"/>
        </w:rPr>
        <w:t>2020年财政拨款项目支出13914.05万元（其中政府性基金项目支出125.78万元，一般公共服务（类）支出253.66万元，教育（类）支出279.87万元，科学技术（类）支出141.6万元，文化旅游体育与传媒（类）支出111.04万元，社会保障和就业（类）支出390.08万元，节能环保（类）支出348.62万元，城乡社区（类）支出9508.08万元，农林水（类）支出2182.94万元，交通运输（类）支出304.63万元，自然资源海洋气象（类）支出93.16万元）。主要项目有：浏阳市金刚镇都庄水库副坝隧洞除险加固工程，项目总投资75.17万元；浏阳市金刚镇集镇环卫作业，项目总投资108万元；浏阳市金刚镇金市足球场建设项目工程，项目总投资100万元；浏阳市金刚镇“五河一库”保洁服务项目，项目总投资47万元；浏阳市金刚镇政府及前坪景观、景石建设工程，项目总投资49.63万元；浏阳市金刚镇政府后院停车坪建设工程，项目总投资48.49万元。 </w:t>
      </w:r>
    </w:p>
    <w:p>
      <w:pPr>
        <w:pStyle w:val="2"/>
        <w:spacing w:before="0" w:beforeAutospacing="0" w:after="0" w:afterAutospacing="0" w:line="520" w:lineRule="atLeast"/>
        <w:ind w:firstLine="643" w:firstLineChars="20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三、项目组织实施情况</w:t>
      </w:r>
    </w:p>
    <w:p>
      <w:pPr>
        <w:pStyle w:val="2"/>
        <w:spacing w:before="0" w:beforeAutospacing="0" w:after="0" w:afterAutospacing="0" w:line="520" w:lineRule="atLeast"/>
        <w:ind w:firstLine="64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（一）项目组织情况分析。</w:t>
      </w:r>
    </w:p>
    <w:p>
      <w:pPr>
        <w:pStyle w:val="2"/>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项目招投标方面，凡是单个项目采购金额达到50万元的，均依法采用公开招投标的方式组织项目实施；一般情况下，不进行项目调整，确需要调整的，均依照财政部门规定，按照程序报批后方予以调整；所有项目竣工验收等工作，均由业务科室按照规定程序进行，验收完成后财务方开展报账和支付工作。项目资金下达我单位后，合理编制项目预算并按照程序报批，加强项目实施前、实施中、实施后的监督管理，提高项目资金使用效益。</w:t>
      </w:r>
    </w:p>
    <w:p>
      <w:pPr>
        <w:pStyle w:val="2"/>
        <w:spacing w:before="0" w:beforeAutospacing="0" w:after="0" w:afterAutospacing="0" w:line="520" w:lineRule="atLeast"/>
        <w:ind w:firstLine="630" w:firstLineChars="196"/>
        <w:jc w:val="both"/>
        <w:rPr>
          <w:b/>
          <w:color w:val="333333"/>
          <w:sz w:val="32"/>
          <w:szCs w:val="32"/>
        </w:rPr>
      </w:pPr>
      <w:r>
        <w:rPr>
          <w:rFonts w:hint="eastAsia" w:cs="黑体" w:asciiTheme="minorEastAsia" w:hAnsiTheme="minorEastAsia" w:eastAsiaTheme="minorEastAsia"/>
          <w:b/>
          <w:color w:val="000000"/>
          <w:sz w:val="32"/>
          <w:szCs w:val="32"/>
        </w:rPr>
        <w:t>（二）项目管理情况分析。</w:t>
      </w:r>
    </w:p>
    <w:p>
      <w:pPr>
        <w:pStyle w:val="2"/>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本单位所有专项项目均按照省市财政部门、上级主管部门的项目管理办法规定的程序进行管理和实施；相应的项目资金，均按照法律法规、省市财政部门以及上级主管部门制定的专项资金管理办法之要求、程序严格管理和使用。大额资金支出实行“三重一大”集体决策机制，达到需要政府采购限额的，全部执行政府采购程序；需要进行财政评审的，都按要求进行了评审，确保资金使用公开、公正、科学、高效，做到专款专用、不挤占、不挪用、不借用、不随意调整。</w:t>
      </w:r>
    </w:p>
    <w:p>
      <w:pPr>
        <w:pStyle w:val="2"/>
        <w:spacing w:before="0" w:beforeAutospacing="0" w:after="0" w:afterAutospacing="0" w:line="520" w:lineRule="atLeast"/>
        <w:ind w:firstLine="630" w:firstLineChars="196"/>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四、资产管理情况</w:t>
      </w:r>
    </w:p>
    <w:p>
      <w:pPr>
        <w:pStyle w:val="2"/>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2"/>
        <w:spacing w:before="0" w:beforeAutospacing="0" w:after="0" w:afterAutospacing="0" w:line="520" w:lineRule="atLeast"/>
        <w:jc w:val="both"/>
        <w:rPr>
          <w:color w:val="333333"/>
          <w:sz w:val="21"/>
          <w:szCs w:val="21"/>
        </w:rPr>
      </w:pPr>
      <w:r>
        <w:rPr>
          <w:rFonts w:hint="eastAsia"/>
          <w:color w:val="333333"/>
          <w:sz w:val="32"/>
          <w:szCs w:val="32"/>
        </w:rPr>
        <w:t> </w:t>
      </w:r>
      <w:r>
        <w:rPr>
          <w:rFonts w:hint="eastAsia"/>
          <w:b/>
          <w:bCs/>
          <w:color w:val="333333"/>
          <w:sz w:val="32"/>
          <w:szCs w:val="32"/>
        </w:rPr>
        <w:t> </w:t>
      </w:r>
      <w:r>
        <w:rPr>
          <w:rFonts w:hint="eastAsia" w:cs="黑体" w:asciiTheme="minorEastAsia" w:hAnsiTheme="minorEastAsia" w:eastAsiaTheme="minorEastAsia"/>
          <w:b/>
          <w:color w:val="000000"/>
          <w:sz w:val="32"/>
          <w:szCs w:val="32"/>
        </w:rPr>
        <w:t>五、部门整体支出绩效情况</w:t>
      </w:r>
    </w:p>
    <w:p>
      <w:pPr>
        <w:pStyle w:val="2"/>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2020年度部门整体支出绩效自评95分。部门整体支出绩效情况详见附表。</w:t>
      </w:r>
    </w:p>
    <w:p>
      <w:pPr>
        <w:pStyle w:val="2"/>
        <w:spacing w:before="0" w:beforeAutospacing="0" w:after="0" w:afterAutospacing="0" w:line="520" w:lineRule="atLeast"/>
        <w:jc w:val="both"/>
        <w:rPr>
          <w:rFonts w:cs="黑体" w:asciiTheme="minorEastAsia" w:hAnsiTheme="minorEastAsia" w:eastAsiaTheme="minorEastAsia"/>
          <w:b/>
          <w:color w:val="000000"/>
          <w:sz w:val="32"/>
          <w:szCs w:val="32"/>
        </w:rPr>
      </w:pPr>
      <w:r>
        <w:rPr>
          <w:rFonts w:hint="eastAsia"/>
          <w:color w:val="333333"/>
          <w:sz w:val="32"/>
          <w:szCs w:val="32"/>
        </w:rPr>
        <w:t> </w:t>
      </w:r>
      <w:r>
        <w:rPr>
          <w:rFonts w:hint="eastAsia"/>
          <w:b/>
          <w:bCs/>
          <w:color w:val="333333"/>
          <w:sz w:val="32"/>
          <w:szCs w:val="32"/>
        </w:rPr>
        <w:t> </w:t>
      </w:r>
      <w:r>
        <w:rPr>
          <w:rFonts w:hint="eastAsia" w:cs="黑体" w:asciiTheme="minorEastAsia" w:hAnsiTheme="minorEastAsia" w:eastAsiaTheme="minorEastAsia"/>
          <w:b/>
          <w:color w:val="000000"/>
          <w:sz w:val="32"/>
          <w:szCs w:val="32"/>
        </w:rPr>
        <w:t>六、存在的问题及原因</w:t>
      </w:r>
    </w:p>
    <w:p>
      <w:pPr>
        <w:pStyle w:val="2"/>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1.因业务水平有限，年初预算的编制支出类别上理解不够，比如基本支出和项目支出，在日常业务操作时容易出错。</w:t>
      </w:r>
    </w:p>
    <w:p>
      <w:pPr>
        <w:pStyle w:val="2"/>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2.预决算项目支出编制需进一步明确、精细化。同时项目执行率需进一步提高。</w:t>
      </w:r>
    </w:p>
    <w:p>
      <w:pPr>
        <w:pStyle w:val="2"/>
        <w:spacing w:before="0" w:beforeAutospacing="0" w:after="0" w:afterAutospacing="0" w:line="520" w:lineRule="atLeast"/>
        <w:ind w:firstLine="790"/>
        <w:jc w:val="both"/>
        <w:rPr>
          <w:color w:val="000000"/>
          <w:sz w:val="32"/>
          <w:szCs w:val="32"/>
        </w:rPr>
      </w:pPr>
      <w:r>
        <w:rPr>
          <w:rFonts w:hint="eastAsia" w:cs="黑体" w:asciiTheme="minorEastAsia" w:hAnsiTheme="minorEastAsia" w:eastAsiaTheme="minorEastAsia"/>
          <w:color w:val="000000"/>
          <w:sz w:val="32"/>
          <w:szCs w:val="32"/>
        </w:rPr>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pStyle w:val="2"/>
        <w:spacing w:before="0" w:beforeAutospacing="0" w:after="0" w:afterAutospacing="0" w:line="520" w:lineRule="atLeast"/>
        <w:ind w:firstLine="643" w:firstLineChars="20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七、意见及建议</w:t>
      </w:r>
    </w:p>
    <w:p>
      <w:pPr>
        <w:pStyle w:val="2"/>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1、细化预算编制工作，进一步加强内设机构的预算管理意识，严格按照预算编制的相关制度和要求进行预算编制。</w:t>
      </w:r>
    </w:p>
    <w:p>
      <w:pPr>
        <w:pStyle w:val="2"/>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2"/>
        <w:spacing w:before="0" w:beforeAutospacing="0" w:after="0" w:afterAutospacing="0" w:line="520" w:lineRule="atLeast"/>
        <w:ind w:firstLine="790"/>
        <w:jc w:val="both"/>
        <w:rPr>
          <w:rFonts w:asciiTheme="minorEastAsia" w:hAnsiTheme="minorEastAsia"/>
          <w:b/>
          <w:sz w:val="44"/>
          <w:szCs w:val="44"/>
        </w:rPr>
      </w:pPr>
      <w:r>
        <w:rPr>
          <w:rFonts w:hint="eastAsia" w:cs="黑体" w:asciiTheme="minorEastAsia" w:hAnsiTheme="minorEastAsia" w:eastAsiaTheme="minorEastAsia"/>
          <w:color w:val="000000"/>
          <w:sz w:val="32"/>
          <w:szCs w:val="32"/>
        </w:rPr>
        <w:t>3、合理安排会计岗位，适当增加会计人员，增加业务知识培训，加强决算工作与账务处理工作衔接。</w:t>
      </w: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 xml:space="preserve">金刚镇人民政府2020年部门整体支出 </w:t>
      </w: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绩效评价指标表</w:t>
      </w:r>
    </w:p>
    <w:p>
      <w:pPr>
        <w:spacing w:line="240" w:lineRule="exact"/>
        <w:jc w:val="center"/>
        <w:rPr>
          <w:rFonts w:ascii="仿宋" w:hAnsi="仿宋" w:eastAsia="仿宋"/>
          <w:kern w:val="0"/>
          <w:sz w:val="40"/>
          <w:szCs w:val="40"/>
        </w:rPr>
      </w:pPr>
    </w:p>
    <w:tbl>
      <w:tblPr>
        <w:tblStyle w:val="3"/>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r>
              <w:rPr>
                <w:rFonts w:ascii="仿宋" w:hAnsi="仿宋" w:eastAsia="仿宋"/>
                <w:kern w:val="0"/>
                <w:szCs w:val="21"/>
              </w:rPr>
              <w:br w:type="textWrapping"/>
            </w: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w:t>
            </w:r>
            <w:r>
              <w:rPr>
                <w:rFonts w:hint="eastAsia" w:ascii="仿宋" w:hAnsi="仿宋" w:eastAsia="仿宋"/>
                <w:kern w:val="0"/>
                <w:szCs w:val="21"/>
              </w:rPr>
              <w:t>020年完工的新建楼堂馆所为评价内容。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rPr>
              <w:t>20年完工的新建楼堂馆所为评价内容。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r>
              <w:rPr>
                <w:rFonts w:ascii="仿宋" w:hAnsi="仿宋" w:eastAsia="仿宋"/>
                <w:kern w:val="0"/>
                <w:szCs w:val="21"/>
              </w:rPr>
              <w:br w:type="textWrapping"/>
            </w: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根据绩效办</w:t>
            </w:r>
            <w:r>
              <w:rPr>
                <w:rFonts w:ascii="仿宋" w:hAnsi="仿宋" w:eastAsia="仿宋"/>
                <w:kern w:val="0"/>
                <w:szCs w:val="21"/>
              </w:rPr>
              <w:t>20</w:t>
            </w:r>
            <w:r>
              <w:rPr>
                <w:rFonts w:hint="eastAsia" w:ascii="仿宋" w:hAnsi="仿宋" w:eastAsia="仿宋"/>
                <w:kern w:val="0"/>
                <w:szCs w:val="21"/>
              </w:rPr>
              <w:t>20年对各单位为民办实事和单位重点工程与重点工作考核分数折算。</w:t>
            </w:r>
            <w:r>
              <w:rPr>
                <w:rFonts w:ascii="仿宋" w:hAnsi="仿宋" w:eastAsia="仿宋"/>
                <w:kern w:val="0"/>
                <w:szCs w:val="21"/>
              </w:rPr>
              <w:br w:type="textWrapping"/>
            </w: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r>
              <w:rPr>
                <w:rFonts w:ascii="仿宋" w:hAnsi="仿宋" w:eastAsia="仿宋"/>
                <w:kern w:val="0"/>
                <w:szCs w:val="21"/>
              </w:rPr>
              <w:br w:type="textWrapping"/>
            </w: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29FA50-9821-44B8-ACBC-F7BF7BBDBA3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FD517D5-7DB4-4A66-9441-F0E2826DB280}"/>
  </w:font>
  <w:font w:name="方正小标宋_GBK">
    <w:panose1 w:val="02000000000000000000"/>
    <w:charset w:val="86"/>
    <w:family w:val="script"/>
    <w:pitch w:val="default"/>
    <w:sig w:usb0="A00002BF" w:usb1="38CF7CFA" w:usb2="00082016" w:usb3="00000000" w:csb0="00040001" w:csb1="00000000"/>
    <w:embedRegular r:id="rId3" w:fontKey="{4CAC99BE-14E9-4024-86E7-526D65C90369}"/>
  </w:font>
  <w:font w:name="仿宋_GB2312">
    <w:panose1 w:val="02010609030101010101"/>
    <w:charset w:val="86"/>
    <w:family w:val="modern"/>
    <w:pitch w:val="default"/>
    <w:sig w:usb0="00000001" w:usb1="080E0000" w:usb2="00000000" w:usb3="00000000" w:csb0="00040000" w:csb1="00000000"/>
    <w:embedRegular r:id="rId4" w:fontKey="{3F30E25B-5887-4540-A669-D6A981DA7B93}"/>
  </w:font>
  <w:font w:name="仿宋">
    <w:panose1 w:val="02010609060101010101"/>
    <w:charset w:val="86"/>
    <w:family w:val="modern"/>
    <w:pitch w:val="default"/>
    <w:sig w:usb0="800002BF" w:usb1="38CF7CFA" w:usb2="00000016" w:usb3="00000000" w:csb0="00040001" w:csb1="00000000"/>
    <w:embedRegular r:id="rId5" w:fontKey="{CC6ED7D2-6E53-46D1-80D1-06E9CC2217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MDBhYTE3MmRlMzc1Yzc2ZmVmMTkyM2Y5NWE2MjkifQ=="/>
  </w:docVars>
  <w:rsids>
    <w:rsidRoot w:val="00B03332"/>
    <w:rsid w:val="0011243A"/>
    <w:rsid w:val="002376DA"/>
    <w:rsid w:val="0046462D"/>
    <w:rsid w:val="00553E0F"/>
    <w:rsid w:val="007A061C"/>
    <w:rsid w:val="00871512"/>
    <w:rsid w:val="009E51CD"/>
    <w:rsid w:val="00AB065D"/>
    <w:rsid w:val="00B03332"/>
    <w:rsid w:val="00E822FA"/>
    <w:rsid w:val="00FA4732"/>
    <w:rsid w:val="00FE6D21"/>
    <w:rsid w:val="0DDB530A"/>
    <w:rsid w:val="10791634"/>
    <w:rsid w:val="1B8D4BD5"/>
    <w:rsid w:val="20440227"/>
    <w:rsid w:val="23F627A7"/>
    <w:rsid w:val="25915E35"/>
    <w:rsid w:val="2B6D64A8"/>
    <w:rsid w:val="371F25A6"/>
    <w:rsid w:val="38804FC6"/>
    <w:rsid w:val="40AF33FF"/>
    <w:rsid w:val="44A47852"/>
    <w:rsid w:val="558E5D75"/>
    <w:rsid w:val="5766120E"/>
    <w:rsid w:val="5C485CE2"/>
    <w:rsid w:val="65772981"/>
    <w:rsid w:val="676602B1"/>
    <w:rsid w:val="70D87924"/>
    <w:rsid w:val="71392AEE"/>
    <w:rsid w:val="75DC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3887</Words>
  <Characters>4286</Characters>
  <Lines>32</Lines>
  <Paragraphs>9</Paragraphs>
  <TotalTime>1</TotalTime>
  <ScaleCrop>false</ScaleCrop>
  <LinksUpToDate>false</LinksUpToDate>
  <CharactersWithSpaces>4297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2021-10-18T01:38:00Z</dcterms:created>
  <dc:creator>Administrator</dc:creator>
  <cp:lastModifiedBy>动感泡泡</cp:lastModifiedBy>
  <dcterms:modified xsi:type="dcterms:W3CDTF">2022-08-29T08:57:30Z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C9FBDB550D11477E9A881327EC7095AB</vt:lpwstr>
  </property>
</Properties>
</file>