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right="-1331" w:rightChars="-634"/>
        <w:jc w:val="center"/>
        <w:rPr>
          <w:color w:val="auto"/>
          <w:sz w:val="56"/>
          <w:szCs w:val="56"/>
        </w:rPr>
      </w:pPr>
    </w:p>
    <w:p>
      <w:pPr>
        <w:pStyle w:val="12"/>
        <w:jc w:val="center"/>
        <w:rPr>
          <w:color w:val="auto"/>
          <w:sz w:val="56"/>
          <w:szCs w:val="56"/>
        </w:rPr>
      </w:pPr>
    </w:p>
    <w:p>
      <w:pPr>
        <w:pStyle w:val="12"/>
        <w:jc w:val="center"/>
        <w:rPr>
          <w:color w:val="auto"/>
          <w:sz w:val="84"/>
          <w:szCs w:val="84"/>
        </w:rPr>
      </w:pPr>
    </w:p>
    <w:p>
      <w:pPr>
        <w:pStyle w:val="12"/>
        <w:jc w:val="center"/>
        <w:rPr>
          <w:color w:val="auto"/>
          <w:sz w:val="80"/>
          <w:szCs w:val="80"/>
        </w:rPr>
      </w:pPr>
    </w:p>
    <w:p>
      <w:pPr>
        <w:pStyle w:val="12"/>
        <w:jc w:val="center"/>
        <w:rPr>
          <w:rFonts w:hint="eastAsia"/>
          <w:color w:val="auto"/>
          <w:sz w:val="80"/>
          <w:szCs w:val="80"/>
        </w:rPr>
      </w:pPr>
      <w:r>
        <w:rPr>
          <w:rFonts w:hint="eastAsia"/>
          <w:color w:val="auto"/>
          <w:sz w:val="80"/>
          <w:szCs w:val="80"/>
        </w:rPr>
        <w:t>2019年度</w:t>
      </w:r>
    </w:p>
    <w:p>
      <w:pPr>
        <w:pStyle w:val="12"/>
        <w:jc w:val="center"/>
        <w:rPr>
          <w:rFonts w:hint="eastAsia"/>
          <w:color w:val="auto"/>
          <w:sz w:val="80"/>
          <w:szCs w:val="80"/>
        </w:rPr>
      </w:pPr>
      <w:r>
        <w:rPr>
          <w:rFonts w:hint="eastAsia"/>
          <w:color w:val="auto"/>
          <w:sz w:val="80"/>
          <w:szCs w:val="80"/>
        </w:rPr>
        <w:t>浏阳市集里街道办事处</w:t>
      </w:r>
    </w:p>
    <w:p>
      <w:pPr>
        <w:pStyle w:val="12"/>
        <w:jc w:val="center"/>
        <w:rPr>
          <w:color w:val="auto"/>
          <w:sz w:val="80"/>
          <w:szCs w:val="80"/>
        </w:rPr>
      </w:pPr>
      <w:r>
        <w:rPr>
          <w:rFonts w:hint="eastAsia"/>
          <w:color w:val="auto"/>
          <w:sz w:val="80"/>
          <w:szCs w:val="80"/>
        </w:rPr>
        <w:t>部门决算</w:t>
      </w: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spacing w:line="520" w:lineRule="exact"/>
        <w:jc w:val="center"/>
        <w:rPr>
          <w:rFonts w:hint="eastAsia"/>
          <w:b/>
          <w:color w:val="auto"/>
          <w:sz w:val="28"/>
          <w:szCs w:val="28"/>
        </w:rPr>
      </w:pPr>
      <w:r>
        <w:rPr>
          <w:rFonts w:hint="eastAsia"/>
          <w:color w:val="auto"/>
          <w:sz w:val="56"/>
          <w:szCs w:val="56"/>
        </w:rPr>
        <w:t>目录</w:t>
      </w:r>
    </w:p>
    <w:p>
      <w:pPr>
        <w:pStyle w:val="12"/>
        <w:spacing w:line="520" w:lineRule="exact"/>
        <w:rPr>
          <w:rFonts w:hint="eastAsia" w:ascii="FangSong_GB2312" w:hAnsi="FangSong_GB2312" w:cs="FangSong_GB2312"/>
          <w:b/>
          <w:color w:val="auto"/>
          <w:sz w:val="28"/>
          <w:szCs w:val="28"/>
        </w:rPr>
      </w:pPr>
      <w:r>
        <w:rPr>
          <w:rFonts w:hint="eastAsia"/>
          <w:b/>
          <w:color w:val="auto"/>
          <w:sz w:val="28"/>
          <w:szCs w:val="28"/>
        </w:rPr>
        <w:t>第一部分浏阳市集里街道办事处单位概况</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一、部门职责</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二、机构设置及决算单位构成</w:t>
      </w:r>
    </w:p>
    <w:p>
      <w:pPr>
        <w:pStyle w:val="12"/>
        <w:spacing w:line="520" w:lineRule="exact"/>
        <w:rPr>
          <w:rFonts w:hint="eastAsia" w:ascii="FangSong_GB2312" w:hAnsi="FangSong_GB2312" w:cs="FangSong_GB2312"/>
          <w:b/>
          <w:color w:val="auto"/>
          <w:sz w:val="28"/>
          <w:szCs w:val="28"/>
        </w:rPr>
      </w:pPr>
      <w:r>
        <w:rPr>
          <w:rFonts w:hint="eastAsia" w:hAnsi="FangSong_GB2312"/>
          <w:b/>
          <w:color w:val="auto"/>
          <w:sz w:val="28"/>
          <w:szCs w:val="28"/>
        </w:rPr>
        <w:t>第二部分</w:t>
      </w:r>
      <w:r>
        <w:rPr>
          <w:rFonts w:hAnsi="FangSong_GB2312"/>
          <w:b/>
          <w:color w:val="auto"/>
          <w:sz w:val="28"/>
          <w:szCs w:val="28"/>
        </w:rPr>
        <w:t>2019</w:t>
      </w:r>
      <w:r>
        <w:rPr>
          <w:rFonts w:hint="eastAsia" w:hAnsi="FangSong_GB2312"/>
          <w:b/>
          <w:color w:val="auto"/>
          <w:sz w:val="28"/>
          <w:szCs w:val="28"/>
        </w:rPr>
        <w:t>年度部门决算表</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一、收入支出决算总表</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二、收入决算表</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三、支出决算表</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四、财政拨款收入支出决算总表</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五、一般公共预算财政拨款支出决算表</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六、一般公共预算财政拨款基本支出决算表</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七、一般公共预算财政拨款“三公”经费支出决算表</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八、政府性基金预算财政拨款收入支出决算表</w:t>
      </w:r>
    </w:p>
    <w:p>
      <w:pPr>
        <w:pStyle w:val="12"/>
        <w:spacing w:line="520" w:lineRule="exact"/>
        <w:rPr>
          <w:rFonts w:hint="eastAsia" w:ascii="FangSong_GB2312" w:hAnsi="FangSong_GB2312" w:cs="FangSong_GB2312"/>
          <w:b/>
          <w:color w:val="auto"/>
          <w:sz w:val="28"/>
          <w:szCs w:val="28"/>
        </w:rPr>
      </w:pPr>
      <w:r>
        <w:rPr>
          <w:rFonts w:hint="eastAsia" w:hAnsi="FangSong_GB2312"/>
          <w:b/>
          <w:color w:val="auto"/>
          <w:sz w:val="28"/>
          <w:szCs w:val="28"/>
        </w:rPr>
        <w:t>第三部分</w:t>
      </w:r>
      <w:r>
        <w:rPr>
          <w:rFonts w:hAnsi="FangSong_GB2312"/>
          <w:b/>
          <w:color w:val="auto"/>
          <w:sz w:val="28"/>
          <w:szCs w:val="28"/>
        </w:rPr>
        <w:t>2019</w:t>
      </w:r>
      <w:r>
        <w:rPr>
          <w:rFonts w:hint="eastAsia" w:hAnsi="FangSong_GB2312"/>
          <w:b/>
          <w:color w:val="auto"/>
          <w:sz w:val="28"/>
          <w:szCs w:val="28"/>
        </w:rPr>
        <w:t>年度部门决算情况说明</w:t>
      </w:r>
    </w:p>
    <w:p>
      <w:pPr>
        <w:pStyle w:val="12"/>
        <w:spacing w:line="520" w:lineRule="exact"/>
        <w:ind w:firstLine="700" w:firstLineChars="250"/>
        <w:rPr>
          <w:rFonts w:cs="FangSong_GB2312" w:asciiTheme="minorEastAsia" w:hAnsiTheme="minorEastAsia" w:eastAsiaTheme="minorEastAsia"/>
          <w:color w:val="auto"/>
          <w:sz w:val="28"/>
          <w:szCs w:val="28"/>
        </w:rPr>
      </w:pPr>
      <w:r>
        <w:rPr>
          <w:rFonts w:cs="FangSong_GB2312" w:asciiTheme="minorEastAsia" w:hAnsiTheme="minorEastAsia" w:eastAsiaTheme="minorEastAsia"/>
          <w:color w:val="auto"/>
          <w:sz w:val="28"/>
          <w:szCs w:val="28"/>
        </w:rPr>
        <w:t>一、收入支出决算总体情况说明</w:t>
      </w:r>
    </w:p>
    <w:p>
      <w:pPr>
        <w:spacing w:line="520" w:lineRule="exact"/>
        <w:ind w:firstLine="700" w:firstLineChars="250"/>
        <w:jc w:val="left"/>
        <w:rPr>
          <w:rFonts w:hint="eastAsia" w:ascii="FangSong_GB2312" w:hAnsi="FangSong_GB2312" w:cs="FangSong_GB2312"/>
          <w:sz w:val="28"/>
          <w:szCs w:val="28"/>
        </w:rPr>
      </w:pPr>
      <w:r>
        <w:rPr>
          <w:rFonts w:ascii="FangSong_GB2312" w:hAnsi="FangSong_GB2312" w:cs="FangSong_GB2312"/>
          <w:sz w:val="28"/>
          <w:szCs w:val="28"/>
        </w:rPr>
        <w:t>二、收入决算情况说明</w:t>
      </w:r>
    </w:p>
    <w:p>
      <w:pPr>
        <w:autoSpaceDE w:val="0"/>
        <w:autoSpaceDN w:val="0"/>
        <w:adjustRightInd w:val="0"/>
        <w:spacing w:line="520" w:lineRule="exact"/>
        <w:ind w:firstLine="700" w:firstLineChars="250"/>
        <w:jc w:val="left"/>
        <w:rPr>
          <w:rFonts w:hint="eastAsia" w:ascii="FangSong_GB2312" w:hAnsi="FangSong_GB2312" w:cs="FangSong_GB2312"/>
          <w:kern w:val="0"/>
          <w:sz w:val="28"/>
          <w:szCs w:val="28"/>
        </w:rPr>
      </w:pPr>
      <w:r>
        <w:rPr>
          <w:rFonts w:ascii="FangSong_GB2312" w:hAnsi="FangSong_GB2312" w:cs="FangSong_GB2312"/>
          <w:kern w:val="0"/>
          <w:sz w:val="28"/>
          <w:szCs w:val="28"/>
        </w:rPr>
        <w:t>三、支出决算情况说明</w:t>
      </w:r>
    </w:p>
    <w:p>
      <w:pPr>
        <w:autoSpaceDE w:val="0"/>
        <w:autoSpaceDN w:val="0"/>
        <w:adjustRightInd w:val="0"/>
        <w:spacing w:line="520" w:lineRule="exact"/>
        <w:ind w:firstLine="700" w:firstLineChars="250"/>
        <w:jc w:val="left"/>
        <w:rPr>
          <w:rFonts w:hint="eastAsia" w:ascii="FangSong_GB2312" w:hAnsi="FangSong_GB2312" w:cs="FangSong_GB2312"/>
          <w:kern w:val="0"/>
          <w:sz w:val="28"/>
          <w:szCs w:val="28"/>
        </w:rPr>
      </w:pPr>
      <w:r>
        <w:rPr>
          <w:rFonts w:ascii="FangSong_GB2312" w:hAnsi="FangSong_GB2312" w:cs="FangSong_GB2312"/>
          <w:kern w:val="0"/>
          <w:sz w:val="28"/>
          <w:szCs w:val="28"/>
        </w:rPr>
        <w:t>四、财政拨款收入支出决算总体情况说明</w:t>
      </w:r>
    </w:p>
    <w:p>
      <w:pPr>
        <w:autoSpaceDE w:val="0"/>
        <w:autoSpaceDN w:val="0"/>
        <w:adjustRightInd w:val="0"/>
        <w:spacing w:line="520" w:lineRule="exact"/>
        <w:ind w:firstLine="700" w:firstLineChars="250"/>
        <w:jc w:val="left"/>
        <w:rPr>
          <w:rFonts w:hint="eastAsia" w:ascii="FangSong_GB2312" w:hAnsi="FangSong_GB2312" w:cs="FangSong_GB2312"/>
          <w:kern w:val="0"/>
          <w:sz w:val="28"/>
          <w:szCs w:val="28"/>
        </w:rPr>
      </w:pPr>
      <w:r>
        <w:rPr>
          <w:rFonts w:ascii="FangSong_GB2312" w:hAnsi="FangSong_GB2312" w:cs="FangSong_GB2312"/>
          <w:kern w:val="0"/>
          <w:sz w:val="28"/>
          <w:szCs w:val="28"/>
        </w:rPr>
        <w:t>五、一般公共预算财政拨款支出决算情况说明</w:t>
      </w:r>
    </w:p>
    <w:p>
      <w:pPr>
        <w:autoSpaceDE w:val="0"/>
        <w:autoSpaceDN w:val="0"/>
        <w:adjustRightInd w:val="0"/>
        <w:spacing w:line="520" w:lineRule="exact"/>
        <w:ind w:firstLine="700" w:firstLineChars="250"/>
        <w:jc w:val="left"/>
        <w:rPr>
          <w:rFonts w:hint="eastAsia" w:ascii="FangSong_GB2312" w:hAnsi="FangSong_GB2312" w:cs="FangSong_GB2312"/>
          <w:kern w:val="0"/>
          <w:sz w:val="28"/>
          <w:szCs w:val="28"/>
        </w:rPr>
      </w:pPr>
      <w:r>
        <w:rPr>
          <w:rFonts w:ascii="FangSong_GB2312" w:hAnsi="FangSong_GB2312" w:cs="FangSong_GB2312"/>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hint="eastAsia" w:ascii="FangSong_GB2312" w:hAnsi="FangSong_GB2312" w:cs="FangSong_GB2312"/>
          <w:kern w:val="0"/>
          <w:sz w:val="28"/>
          <w:szCs w:val="28"/>
        </w:rPr>
      </w:pPr>
      <w:r>
        <w:rPr>
          <w:rFonts w:ascii="FangSong_GB2312" w:hAnsi="FangSong_GB2312" w:cs="FangSong_GB2312"/>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hint="eastAsia" w:ascii="FangSong_GB2312" w:hAnsi="FangSong_GB2312" w:cs="FangSong_GB2312"/>
          <w:kern w:val="0"/>
          <w:sz w:val="28"/>
          <w:szCs w:val="28"/>
        </w:rPr>
      </w:pPr>
      <w:r>
        <w:rPr>
          <w:rFonts w:hint="eastAsia" w:ascii="FangSong_GB2312" w:hAnsi="FangSong_GB2312" w:cs="FangSong_GB2312"/>
          <w:kern w:val="0"/>
          <w:sz w:val="28"/>
          <w:szCs w:val="28"/>
        </w:rPr>
        <w:t>八</w:t>
      </w:r>
      <w:r>
        <w:rPr>
          <w:rFonts w:ascii="FangSong_GB2312" w:hAnsi="FangSong_GB2312" w:cs="FangSong_GB2312"/>
          <w:kern w:val="0"/>
          <w:sz w:val="28"/>
          <w:szCs w:val="28"/>
        </w:rPr>
        <w:t>、</w:t>
      </w:r>
      <w:r>
        <w:rPr>
          <w:rFonts w:hint="eastAsia" w:ascii="FangSong_GB2312" w:hAnsi="FangSong_GB2312" w:cs="FangSong_GB2312"/>
          <w:kern w:val="0"/>
          <w:sz w:val="28"/>
          <w:szCs w:val="28"/>
        </w:rPr>
        <w:t>政府性基金预算收入支出决算情况</w:t>
      </w:r>
    </w:p>
    <w:p>
      <w:pPr>
        <w:autoSpaceDE w:val="0"/>
        <w:autoSpaceDN w:val="0"/>
        <w:adjustRightInd w:val="0"/>
        <w:spacing w:line="520" w:lineRule="exact"/>
        <w:ind w:firstLine="700" w:firstLineChars="250"/>
        <w:jc w:val="left"/>
        <w:rPr>
          <w:rFonts w:hint="eastAsia" w:ascii="FangSong_GB2312" w:hAnsi="FangSong_GB2312" w:cs="FangSong_GB2312"/>
          <w:kern w:val="0"/>
          <w:sz w:val="28"/>
          <w:szCs w:val="28"/>
        </w:rPr>
      </w:pPr>
      <w:r>
        <w:rPr>
          <w:rFonts w:hint="eastAsia" w:ascii="FangSong_GB2312" w:hAnsi="FangSong_GB2312" w:cs="FangSong_GB2312"/>
          <w:kern w:val="0"/>
          <w:sz w:val="28"/>
          <w:szCs w:val="28"/>
        </w:rPr>
        <w:t>九</w:t>
      </w:r>
      <w:r>
        <w:rPr>
          <w:rFonts w:ascii="FangSong_GB2312" w:hAnsi="FangSong_GB2312" w:cs="FangSong_GB2312"/>
          <w:kern w:val="0"/>
          <w:sz w:val="28"/>
          <w:szCs w:val="28"/>
        </w:rPr>
        <w:t>、预算绩效情况说明</w:t>
      </w:r>
    </w:p>
    <w:p>
      <w:pPr>
        <w:autoSpaceDE w:val="0"/>
        <w:autoSpaceDN w:val="0"/>
        <w:adjustRightInd w:val="0"/>
        <w:spacing w:line="520" w:lineRule="exact"/>
        <w:ind w:firstLine="700" w:firstLineChars="250"/>
        <w:jc w:val="left"/>
        <w:rPr>
          <w:rFonts w:hint="eastAsia" w:ascii="FangSong_GB2312" w:hAnsi="FangSong_GB2312" w:cs="FangSong_GB2312"/>
          <w:kern w:val="0"/>
          <w:sz w:val="28"/>
          <w:szCs w:val="28"/>
        </w:rPr>
      </w:pPr>
      <w:r>
        <w:rPr>
          <w:rFonts w:hint="eastAsia" w:ascii="FangSong_GB2312" w:hAnsi="FangSong_GB2312" w:cs="FangSong_GB2312"/>
          <w:kern w:val="0"/>
          <w:sz w:val="28"/>
          <w:szCs w:val="28"/>
        </w:rPr>
        <w:t>十</w:t>
      </w:r>
      <w:r>
        <w:rPr>
          <w:rFonts w:ascii="FangSong_GB2312" w:hAnsi="FangSong_GB2312" w:cs="FangSong_GB2312"/>
          <w:kern w:val="0"/>
          <w:sz w:val="28"/>
          <w:szCs w:val="28"/>
        </w:rPr>
        <w:t>、其他重要事项情况说明</w:t>
      </w:r>
    </w:p>
    <w:p>
      <w:pPr>
        <w:autoSpaceDE w:val="0"/>
        <w:autoSpaceDN w:val="0"/>
        <w:adjustRightInd w:val="0"/>
        <w:spacing w:line="520" w:lineRule="exact"/>
        <w:jc w:val="left"/>
        <w:rPr>
          <w:rFonts w:ascii="黑体" w:hAnsi="黑体" w:eastAsia="黑体" w:cs="FangSong_GB2312"/>
          <w:b/>
          <w:kern w:val="0"/>
          <w:sz w:val="28"/>
          <w:szCs w:val="28"/>
        </w:rPr>
      </w:pPr>
      <w:r>
        <w:rPr>
          <w:rFonts w:ascii="黑体" w:hAnsi="黑体" w:eastAsia="黑体" w:cs="黑体"/>
          <w:b/>
          <w:kern w:val="0"/>
          <w:sz w:val="28"/>
          <w:szCs w:val="28"/>
        </w:rPr>
        <w:t>第四部分名词解释</w:t>
      </w:r>
    </w:p>
    <w:p>
      <w:pPr>
        <w:spacing w:line="520" w:lineRule="exact"/>
        <w:jc w:val="left"/>
        <w:rPr>
          <w:rFonts w:ascii="黑体" w:hAnsi="黑体" w:eastAsia="黑体" w:cs="FangSong_GB2312"/>
          <w:b/>
          <w:kern w:val="0"/>
          <w:sz w:val="28"/>
          <w:szCs w:val="28"/>
        </w:rPr>
      </w:pPr>
      <w:r>
        <w:rPr>
          <w:rFonts w:ascii="黑体" w:hAnsi="黑体" w:eastAsia="黑体" w:cs="黑体"/>
          <w:b/>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color w:val="auto"/>
          <w:sz w:val="80"/>
          <w:szCs w:val="80"/>
        </w:rPr>
      </w:pPr>
      <w:r>
        <w:rPr>
          <w:rFonts w:hint="eastAsia"/>
          <w:color w:val="auto"/>
          <w:sz w:val="80"/>
          <w:szCs w:val="80"/>
        </w:rPr>
        <w:t>第一部分</w:t>
      </w:r>
      <w:r>
        <w:rPr>
          <w:color w:val="auto"/>
          <w:sz w:val="80"/>
          <w:szCs w:val="80"/>
        </w:rPr>
        <w:t xml:space="preserve"> </w:t>
      </w:r>
    </w:p>
    <w:p>
      <w:pPr>
        <w:pStyle w:val="12"/>
        <w:jc w:val="center"/>
        <w:rPr>
          <w:color w:val="auto"/>
          <w:sz w:val="84"/>
          <w:szCs w:val="84"/>
        </w:rPr>
      </w:pPr>
    </w:p>
    <w:p>
      <w:pPr>
        <w:pStyle w:val="12"/>
        <w:jc w:val="center"/>
        <w:rPr>
          <w:rFonts w:hint="eastAsia"/>
          <w:color w:val="auto"/>
          <w:sz w:val="80"/>
          <w:szCs w:val="80"/>
        </w:rPr>
      </w:pPr>
      <w:r>
        <w:rPr>
          <w:rFonts w:hint="eastAsia"/>
          <w:color w:val="auto"/>
          <w:sz w:val="80"/>
          <w:szCs w:val="80"/>
        </w:rPr>
        <w:t>浏阳市集里街道办事处</w:t>
      </w:r>
    </w:p>
    <w:p>
      <w:pPr>
        <w:pStyle w:val="12"/>
        <w:jc w:val="center"/>
        <w:rPr>
          <w:color w:val="auto"/>
          <w:sz w:val="80"/>
          <w:szCs w:val="80"/>
        </w:rPr>
      </w:pPr>
      <w:r>
        <w:rPr>
          <w:rFonts w:hint="eastAsia"/>
          <w:color w:val="auto"/>
          <w:sz w:val="80"/>
          <w:szCs w:val="80"/>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spacing w:line="560" w:lineRule="exact"/>
        <w:ind w:firstLine="320" w:firstLineChars="100"/>
        <w:rPr>
          <w:rFonts w:ascii="黑体" w:hAnsi="黑体" w:eastAsia="黑体"/>
          <w:bCs/>
          <w:kern w:val="0"/>
          <w:sz w:val="32"/>
          <w:szCs w:val="32"/>
        </w:rPr>
      </w:pPr>
      <w:r>
        <w:rPr>
          <w:rFonts w:hint="eastAsia" w:ascii="黑体" w:hAnsi="黑体" w:eastAsia="黑体"/>
          <w:bCs/>
          <w:kern w:val="0"/>
          <w:sz w:val="32"/>
          <w:szCs w:val="32"/>
        </w:rPr>
        <w:t>一、</w:t>
      </w:r>
      <w:r>
        <w:rPr>
          <w:rFonts w:ascii="黑体" w:hAnsi="黑体" w:eastAsia="黑体"/>
          <w:bCs/>
          <w:kern w:val="0"/>
          <w:sz w:val="32"/>
          <w:szCs w:val="32"/>
        </w:rPr>
        <w:t>部门职责</w:t>
      </w:r>
    </w:p>
    <w:p>
      <w:pPr>
        <w:overflowPunct w:val="0"/>
        <w:spacing w:line="590" w:lineRule="exact"/>
        <w:ind w:firstLine="600" w:firstLineChars="200"/>
        <w:rPr>
          <w:rFonts w:asciiTheme="minorEastAsia" w:hAnsiTheme="minorEastAsia"/>
          <w:bCs/>
          <w:kern w:val="0"/>
          <w:sz w:val="32"/>
          <w:szCs w:val="32"/>
        </w:rPr>
      </w:pPr>
      <w:r>
        <w:rPr>
          <w:rFonts w:hint="eastAsia" w:ascii="黑体" w:hAnsi="黑体" w:eastAsia="黑体"/>
          <w:sz w:val="30"/>
          <w:szCs w:val="30"/>
        </w:rPr>
        <w:t>（一）加强党的建设</w:t>
      </w:r>
      <w:r>
        <w:rPr>
          <w:rFonts w:hint="eastAsia" w:ascii="楷体_GB2312" w:hAnsi="Times New Roman" w:eastAsia="楷体_GB2312" w:cs="Times New Roman"/>
          <w:b/>
          <w:szCs w:val="32"/>
        </w:rPr>
        <w:t>。</w:t>
      </w:r>
      <w:r>
        <w:rPr>
          <w:rFonts w:asciiTheme="minorEastAsia" w:hAnsiTheme="minorEastAsia"/>
          <w:bCs/>
          <w:kern w:val="0"/>
          <w:sz w:val="32"/>
          <w:szCs w:val="32"/>
        </w:rPr>
        <w:t>落实基层党建工作责任制，全面加强党对各领域各方面工作的领导，着力夯实基层基础，强化党建引领基层治理，切实抓好本区域党组织建设落实党风廉政建设责任制，强化“两个责任”，坚持正风肃纪，推进全面从严治党</w:t>
      </w:r>
      <w:r>
        <w:rPr>
          <w:rFonts w:hint="eastAsia" w:asciiTheme="minorEastAsia" w:hAnsiTheme="minorEastAsia"/>
          <w:bCs/>
          <w:kern w:val="0"/>
          <w:sz w:val="32"/>
          <w:szCs w:val="32"/>
        </w:rPr>
        <w:t>。</w:t>
      </w:r>
      <w:r>
        <w:rPr>
          <w:rFonts w:asciiTheme="minorEastAsia" w:hAnsiTheme="minorEastAsia"/>
          <w:bCs/>
          <w:kern w:val="0"/>
          <w:sz w:val="32"/>
          <w:szCs w:val="32"/>
        </w:rPr>
        <w:t>落实意识形态工作责任制，全面加强农村基层宣传思想文化工作，弘扬时代新风</w:t>
      </w:r>
      <w:r>
        <w:rPr>
          <w:rFonts w:hint="eastAsia" w:asciiTheme="minorEastAsia" w:hAnsiTheme="minorEastAsia"/>
          <w:bCs/>
          <w:kern w:val="0"/>
          <w:sz w:val="32"/>
          <w:szCs w:val="32"/>
        </w:rPr>
        <w:t>。</w:t>
      </w:r>
    </w:p>
    <w:p>
      <w:pPr>
        <w:overflowPunct w:val="0"/>
        <w:spacing w:line="590" w:lineRule="exact"/>
        <w:ind w:firstLine="600" w:firstLineChars="200"/>
        <w:rPr>
          <w:rFonts w:asciiTheme="minorEastAsia" w:hAnsiTheme="minorEastAsia"/>
          <w:bCs/>
          <w:kern w:val="0"/>
          <w:sz w:val="32"/>
          <w:szCs w:val="32"/>
        </w:rPr>
      </w:pPr>
      <w:r>
        <w:rPr>
          <w:rFonts w:hint="eastAsia" w:ascii="黑体" w:hAnsi="黑体" w:eastAsia="黑体"/>
          <w:sz w:val="30"/>
          <w:szCs w:val="30"/>
        </w:rPr>
        <w:t>（二）统筹区域发展</w:t>
      </w:r>
      <w:r>
        <w:rPr>
          <w:rFonts w:hint="eastAsia" w:asciiTheme="minorEastAsia" w:hAnsiTheme="minorEastAsia"/>
          <w:bCs/>
          <w:kern w:val="0"/>
          <w:sz w:val="32"/>
          <w:szCs w:val="32"/>
        </w:rPr>
        <w:t>。贯彻落实上级重大决策和建设规划，研究制订并组织实施本区域中长期发展规划和年度计划，全面实施乡村振兴战略，统筹推进经济社会全面发展。承担优化发展环境、采集企业信息、服务商贸企业、推进项目建设等工作。</w:t>
      </w:r>
    </w:p>
    <w:p>
      <w:pPr>
        <w:overflowPunct w:val="0"/>
        <w:spacing w:line="590" w:lineRule="exact"/>
        <w:ind w:firstLine="600" w:firstLineChars="200"/>
        <w:rPr>
          <w:rFonts w:asciiTheme="minorEastAsia" w:hAnsiTheme="minorEastAsia"/>
          <w:bCs/>
          <w:kern w:val="0"/>
          <w:sz w:val="32"/>
          <w:szCs w:val="32"/>
        </w:rPr>
      </w:pPr>
      <w:r>
        <w:rPr>
          <w:rFonts w:hint="eastAsia" w:ascii="黑体" w:hAnsi="黑体" w:eastAsia="黑体"/>
          <w:sz w:val="30"/>
          <w:szCs w:val="30"/>
        </w:rPr>
        <w:t>（三）实施公共管理</w:t>
      </w:r>
      <w:r>
        <w:rPr>
          <w:rFonts w:hint="eastAsia" w:ascii="黑体" w:hAnsi="黑体" w:eastAsia="黑体"/>
          <w:sz w:val="32"/>
          <w:szCs w:val="32"/>
        </w:rPr>
        <w:t>。</w:t>
      </w:r>
      <w:r>
        <w:rPr>
          <w:rFonts w:hint="eastAsia" w:asciiTheme="minorEastAsia" w:hAnsiTheme="minorEastAsia"/>
          <w:bCs/>
          <w:kern w:val="0"/>
          <w:sz w:val="32"/>
          <w:szCs w:val="32"/>
        </w:rPr>
        <w:t>负责辖区综合性管理工作，承担组织领导和综合协调辖区社会治理、生态环境保护、综合执法市场监管、集镇管理、人口管理等工作。加强社会治理制度建设，领导基层自治工作，完善党委领导、政府负责、社会协同、公众参与、法治保障的社会治理体制，健全自治为基、法治为本、德治为先的基层治理体系。</w:t>
      </w:r>
    </w:p>
    <w:p>
      <w:pPr>
        <w:overflowPunct w:val="0"/>
        <w:spacing w:line="590" w:lineRule="exact"/>
        <w:ind w:firstLine="600" w:firstLineChars="200"/>
        <w:rPr>
          <w:rFonts w:asciiTheme="minorEastAsia" w:hAnsiTheme="minorEastAsia"/>
          <w:bCs/>
          <w:kern w:val="0"/>
          <w:sz w:val="32"/>
          <w:szCs w:val="32"/>
        </w:rPr>
      </w:pPr>
      <w:r>
        <w:rPr>
          <w:rFonts w:hint="eastAsia" w:ascii="黑体" w:hAnsi="黑体" w:eastAsia="黑体"/>
          <w:sz w:val="30"/>
          <w:szCs w:val="30"/>
        </w:rPr>
        <w:t>（四）维护公共安全</w:t>
      </w:r>
      <w:r>
        <w:rPr>
          <w:rFonts w:hint="eastAsia" w:asciiTheme="minorEastAsia" w:hAnsiTheme="minorEastAsia"/>
          <w:bCs/>
          <w:kern w:val="0"/>
          <w:sz w:val="32"/>
          <w:szCs w:val="32"/>
        </w:rPr>
        <w:t>。负责辖区内应急管理工作，构建公共安全防控体系，建立应对突发紧急事件的处理预案，在市直有关部门的指导下做好区域内生产经营单位安全生产和食品药品、道路交通安全监督检查工作，承担区域内防汛抗旱、森林防火、疫病防控等工作。负责辖区社会治安综合治理工作，接待群众来信来访，建立多元纠纷解决机制，综合发挥人民调解、行政调解和司法调解的作用，及时化解辖区社会矛盾，确保社会稳定。</w:t>
      </w:r>
    </w:p>
    <w:p>
      <w:pPr>
        <w:overflowPunct w:val="0"/>
        <w:spacing w:line="590" w:lineRule="exact"/>
        <w:ind w:firstLine="600" w:firstLineChars="200"/>
        <w:rPr>
          <w:rFonts w:asciiTheme="minorEastAsia" w:hAnsiTheme="minorEastAsia"/>
          <w:bCs/>
          <w:kern w:val="0"/>
          <w:sz w:val="32"/>
          <w:szCs w:val="32"/>
        </w:rPr>
      </w:pPr>
      <w:r>
        <w:rPr>
          <w:rFonts w:hint="eastAsia" w:ascii="黑体" w:hAnsi="黑体" w:eastAsia="黑体"/>
          <w:sz w:val="30"/>
          <w:szCs w:val="30"/>
        </w:rPr>
        <w:t>（五）组织公共服务</w:t>
      </w:r>
      <w:r>
        <w:rPr>
          <w:rFonts w:hint="eastAsia" w:asciiTheme="minorEastAsia" w:hAnsiTheme="minorEastAsia"/>
          <w:bCs/>
          <w:kern w:val="0"/>
          <w:sz w:val="32"/>
          <w:szCs w:val="32"/>
        </w:rPr>
        <w:t>，组织实施与群众生活密切相关的各项公共服务，落实人力资源和社会保障、民政、教育、科技、文化体育、卫生健康等领域和退役军人事务、妇女儿童、老年人、残疾人等方面的相关政策，不断提高公共服务质量，拓宽服务渠道，改进政务服务方式，推进审批服务便民化改革，建立健全群众办事一次办结机制，完善街道和村级便民服务平台，提高政务服务和政务公开水平，提升人民群众在享受公共服务方面的获得感和幸福感。</w:t>
      </w:r>
    </w:p>
    <w:p>
      <w:pPr>
        <w:overflowPunct w:val="0"/>
        <w:spacing w:line="590" w:lineRule="exact"/>
        <w:ind w:firstLine="600" w:firstLineChars="200"/>
        <w:rPr>
          <w:rFonts w:ascii="楷体_GB2312" w:hAnsi="Times New Roman" w:eastAsia="楷体_GB2312" w:cs="Times New Roman"/>
          <w:b/>
          <w:szCs w:val="32"/>
        </w:rPr>
      </w:pPr>
      <w:r>
        <w:rPr>
          <w:rFonts w:hint="eastAsia" w:ascii="黑体" w:hAnsi="黑体" w:eastAsia="黑体"/>
          <w:sz w:val="30"/>
          <w:szCs w:val="30"/>
        </w:rPr>
        <w:t>（六）完成市委、市人民政府交办的其他任务。</w:t>
      </w:r>
    </w:p>
    <w:p>
      <w:pPr>
        <w:spacing w:line="560" w:lineRule="exact"/>
        <w:ind w:firstLine="320" w:firstLineChars="1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560" w:lineRule="exact"/>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sz w:val="32"/>
          <w:szCs w:val="32"/>
        </w:rPr>
        <w:t>本部门由</w:t>
      </w:r>
      <w:r>
        <w:rPr>
          <w:rFonts w:asciiTheme="minorEastAsia" w:hAnsiTheme="minorEastAsia"/>
          <w:sz w:val="32"/>
          <w:szCs w:val="32"/>
        </w:rPr>
        <w:t>3</w:t>
      </w:r>
      <w:r>
        <w:rPr>
          <w:rFonts w:hint="eastAsia" w:asciiTheme="minorEastAsia" w:hAnsiTheme="minorEastAsia"/>
          <w:sz w:val="32"/>
          <w:szCs w:val="32"/>
        </w:rPr>
        <w:t>个行政单位及</w:t>
      </w:r>
      <w:r>
        <w:rPr>
          <w:rFonts w:asciiTheme="minorEastAsia" w:hAnsiTheme="minorEastAsia"/>
          <w:sz w:val="32"/>
          <w:szCs w:val="32"/>
        </w:rPr>
        <w:t>5</w:t>
      </w:r>
      <w:r>
        <w:rPr>
          <w:rFonts w:hint="eastAsia" w:asciiTheme="minorEastAsia" w:hAnsiTheme="minorEastAsia"/>
          <w:sz w:val="32"/>
          <w:szCs w:val="32"/>
        </w:rPr>
        <w:t>个二级机构组成</w:t>
      </w:r>
      <w:r>
        <w:rPr>
          <w:rFonts w:asciiTheme="minorEastAsia" w:hAnsiTheme="minorEastAsia"/>
          <w:sz w:val="32"/>
          <w:szCs w:val="32"/>
        </w:rPr>
        <w:t>,</w:t>
      </w:r>
      <w:r>
        <w:rPr>
          <w:rFonts w:hint="eastAsia" w:asciiTheme="minorEastAsia" w:hAnsiTheme="minorEastAsia"/>
          <w:sz w:val="32"/>
          <w:szCs w:val="32"/>
        </w:rPr>
        <w:t>分别是机关、司法所、财政所、综合行政执法大队、政务服务中心、社会事业综合服务中心、重点项目建设服务中心</w:t>
      </w:r>
      <w:r>
        <w:rPr>
          <w:rFonts w:hint="eastAsia" w:asciiTheme="minorEastAsia" w:hAnsiTheme="minorEastAsia"/>
          <w:bCs/>
          <w:kern w:val="0"/>
          <w:sz w:val="32"/>
          <w:szCs w:val="32"/>
        </w:rPr>
        <w:t>（城镇建设服务中心）</w:t>
      </w:r>
      <w:r>
        <w:rPr>
          <w:rFonts w:hint="eastAsia" w:asciiTheme="minorEastAsia" w:hAnsiTheme="minorEastAsia"/>
          <w:sz w:val="32"/>
          <w:szCs w:val="32"/>
        </w:rPr>
        <w:t>以及退役军人服务站。下设党政综合办公室、财政所、基层党建办、宣传文明办、社会事业综合服务中心、重点项目建设服务中心、纪检监察办、经济发展办、社会治安综</w:t>
      </w:r>
      <w:r>
        <w:rPr>
          <w:rFonts w:hint="eastAsia" w:asciiTheme="minorEastAsia" w:hAnsiTheme="minorEastAsia"/>
          <w:sz w:val="32"/>
          <w:szCs w:val="32"/>
          <w:lang w:eastAsia="zh-CN"/>
        </w:rPr>
        <w:t>合</w:t>
      </w:r>
      <w:r>
        <w:rPr>
          <w:rFonts w:hint="eastAsia" w:asciiTheme="minorEastAsia" w:hAnsiTheme="minorEastAsia"/>
          <w:sz w:val="32"/>
          <w:szCs w:val="32"/>
        </w:rPr>
        <w:t>治理中心、综合行政执法大队、政务服务中心、公共安全和应急管理办、农业农村办、自然资源和生态环境办、城镇建设管理中心等</w:t>
      </w:r>
      <w:r>
        <w:rPr>
          <w:rFonts w:asciiTheme="minorEastAsia" w:hAnsiTheme="minorEastAsia"/>
          <w:sz w:val="32"/>
          <w:szCs w:val="32"/>
        </w:rPr>
        <w:t>15</w:t>
      </w:r>
      <w:r>
        <w:rPr>
          <w:rFonts w:hint="eastAsia" w:asciiTheme="minorEastAsia" w:hAnsiTheme="minorEastAsia"/>
          <w:sz w:val="32"/>
          <w:szCs w:val="32"/>
        </w:rPr>
        <w:t>个办公室。</w:t>
      </w:r>
      <w:r>
        <w:rPr>
          <w:rFonts w:hint="eastAsia" w:asciiTheme="minorEastAsia" w:hAnsiTheme="minorEastAsia"/>
          <w:bCs/>
          <w:kern w:val="0"/>
          <w:sz w:val="32"/>
          <w:szCs w:val="32"/>
        </w:rPr>
        <w:t>机构改革前，本部门由</w:t>
      </w:r>
      <w:r>
        <w:rPr>
          <w:rFonts w:asciiTheme="minorEastAsia" w:hAnsiTheme="minorEastAsia"/>
          <w:bCs/>
          <w:kern w:val="0"/>
          <w:sz w:val="32"/>
          <w:szCs w:val="32"/>
        </w:rPr>
        <w:t>3</w:t>
      </w:r>
      <w:r>
        <w:rPr>
          <w:rFonts w:hint="eastAsia" w:asciiTheme="minorEastAsia" w:hAnsiTheme="minorEastAsia"/>
          <w:bCs/>
          <w:kern w:val="0"/>
          <w:sz w:val="32"/>
          <w:szCs w:val="32"/>
        </w:rPr>
        <w:t>个行政单位及</w:t>
      </w:r>
      <w:r>
        <w:rPr>
          <w:rFonts w:asciiTheme="minorEastAsia" w:hAnsiTheme="minorEastAsia"/>
          <w:bCs/>
          <w:kern w:val="0"/>
          <w:sz w:val="32"/>
          <w:szCs w:val="32"/>
        </w:rPr>
        <w:t>6</w:t>
      </w:r>
      <w:r>
        <w:rPr>
          <w:rFonts w:hint="eastAsia" w:asciiTheme="minorEastAsia" w:hAnsiTheme="minorEastAsia"/>
          <w:bCs/>
          <w:kern w:val="0"/>
          <w:sz w:val="32"/>
          <w:szCs w:val="32"/>
        </w:rPr>
        <w:t>个二级机构组成</w:t>
      </w:r>
      <w:r>
        <w:rPr>
          <w:rFonts w:asciiTheme="minorEastAsia" w:hAnsiTheme="minorEastAsia"/>
          <w:bCs/>
          <w:kern w:val="0"/>
          <w:sz w:val="32"/>
          <w:szCs w:val="32"/>
        </w:rPr>
        <w:t>,</w:t>
      </w:r>
      <w:r>
        <w:rPr>
          <w:rFonts w:hint="eastAsia" w:asciiTheme="minorEastAsia" w:hAnsiTheme="minorEastAsia"/>
          <w:bCs/>
          <w:kern w:val="0"/>
          <w:sz w:val="32"/>
          <w:szCs w:val="32"/>
        </w:rPr>
        <w:t>分别是机关、司法所、财政所、农业综合服务站、计划生育服务所、规划建设环保站、安监企业服务站、公共服务中心和林业管理服务站。机构改革后，本部门由</w:t>
      </w:r>
      <w:r>
        <w:rPr>
          <w:rFonts w:asciiTheme="minorEastAsia" w:hAnsiTheme="minorEastAsia"/>
          <w:bCs/>
          <w:kern w:val="0"/>
          <w:sz w:val="32"/>
          <w:szCs w:val="32"/>
        </w:rPr>
        <w:t>3</w:t>
      </w:r>
      <w:r>
        <w:rPr>
          <w:rFonts w:hint="eastAsia" w:asciiTheme="minorEastAsia" w:hAnsiTheme="minorEastAsia"/>
          <w:bCs/>
          <w:kern w:val="0"/>
          <w:sz w:val="32"/>
          <w:szCs w:val="32"/>
        </w:rPr>
        <w:t>个行政单位及</w:t>
      </w:r>
      <w:r>
        <w:rPr>
          <w:rFonts w:asciiTheme="minorEastAsia" w:hAnsiTheme="minorEastAsia"/>
          <w:bCs/>
          <w:kern w:val="0"/>
          <w:sz w:val="32"/>
          <w:szCs w:val="32"/>
        </w:rPr>
        <w:t>5</w:t>
      </w:r>
      <w:r>
        <w:rPr>
          <w:rFonts w:hint="eastAsia" w:asciiTheme="minorEastAsia" w:hAnsiTheme="minorEastAsia"/>
          <w:bCs/>
          <w:kern w:val="0"/>
          <w:sz w:val="32"/>
          <w:szCs w:val="32"/>
        </w:rPr>
        <w:t>个二级机构组成</w:t>
      </w:r>
      <w:r>
        <w:rPr>
          <w:rFonts w:asciiTheme="minorEastAsia" w:hAnsiTheme="minorEastAsia"/>
          <w:bCs/>
          <w:kern w:val="0"/>
          <w:sz w:val="32"/>
          <w:szCs w:val="32"/>
        </w:rPr>
        <w:t>,</w:t>
      </w:r>
      <w:r>
        <w:rPr>
          <w:rFonts w:hint="eastAsia" w:asciiTheme="minorEastAsia" w:hAnsiTheme="minorEastAsia"/>
          <w:bCs/>
          <w:kern w:val="0"/>
          <w:sz w:val="32"/>
          <w:szCs w:val="32"/>
        </w:rPr>
        <w:t>分别是机关、司法所、财政所、综合行政执法大队、政务服务中心、社会事业综合服务中心、重点项目建设服务中心（城镇建设服务中心）以及退役军人服务站。</w:t>
      </w:r>
    </w:p>
    <w:p>
      <w:pPr>
        <w:spacing w:line="600" w:lineRule="exact"/>
        <w:ind w:firstLine="640" w:firstLineChars="200"/>
        <w:rPr>
          <w:rFonts w:ascii="Times New Roman" w:hAnsi="Times New Roman" w:eastAsia="FangSong_GB2312"/>
          <w:sz w:val="32"/>
          <w:szCs w:val="32"/>
          <w:lang w:val="zh-CN"/>
        </w:rPr>
      </w:pPr>
      <w:r>
        <w:rPr>
          <w:rFonts w:hint="eastAsia" w:asciiTheme="minorEastAsia" w:hAnsiTheme="minorEastAsia"/>
          <w:bCs/>
          <w:kern w:val="0"/>
          <w:sz w:val="32"/>
          <w:szCs w:val="32"/>
        </w:rPr>
        <w:t>（二）决算单位构成。</w:t>
      </w:r>
      <w:r>
        <w:rPr>
          <w:rFonts w:hint="eastAsia" w:ascii="宋体" w:hAnsi="宋体" w:eastAsia="宋体" w:cs="Times New Roman"/>
          <w:bCs/>
          <w:kern w:val="0"/>
          <w:sz w:val="32"/>
          <w:szCs w:val="32"/>
        </w:rPr>
        <w:t>浏阳市集里街道办事处</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w:t>
      </w:r>
    </w:p>
    <w:p>
      <w:pPr>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1、集里街道办事处本级</w:t>
      </w:r>
    </w:p>
    <w:p>
      <w:pPr>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2、司法所、财政所、综合行政执法大队、政务服务中心、社会事业综合服务中心、重点项目建设服务中心（城镇建设服务中心）以及退役军人服务站。</w:t>
      </w:r>
    </w:p>
    <w:p>
      <w:pPr>
        <w:widowControl/>
        <w:spacing w:line="600" w:lineRule="exact"/>
        <w:ind w:firstLine="627" w:firstLineChars="196"/>
        <w:jc w:val="left"/>
        <w:rPr>
          <w:rFonts w:asciiTheme="minorEastAsia" w:hAnsiTheme="minorEastAsia"/>
          <w:bCs/>
          <w:kern w:val="0"/>
          <w:sz w:val="32"/>
          <w:szCs w:val="32"/>
        </w:rPr>
      </w:pPr>
    </w:p>
    <w:p>
      <w:pPr>
        <w:widowControl/>
        <w:spacing w:line="600" w:lineRule="exact"/>
        <w:rPr>
          <w:rFonts w:asciiTheme="minorEastAsia" w:hAnsiTheme="minorEastAsia"/>
          <w:bCs/>
          <w:kern w:val="0"/>
          <w:sz w:val="32"/>
          <w:szCs w:val="32"/>
        </w:rPr>
      </w:pPr>
    </w:p>
    <w:p>
      <w:pPr>
        <w:jc w:val="left"/>
        <w:rPr>
          <w:rFonts w:ascii="FangSong_GB2312" w:eastAsia="FangSong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sz w:val="72"/>
          <w:szCs w:val="72"/>
        </w:rPr>
      </w:pPr>
    </w:p>
    <w:p>
      <w:pPr>
        <w:rPr>
          <w:sz w:val="72"/>
          <w:szCs w:val="72"/>
        </w:rPr>
      </w:pPr>
    </w:p>
    <w:p>
      <w:pPr>
        <w:jc w:val="center"/>
        <w:rPr>
          <w:sz w:val="72"/>
          <w:szCs w:val="72"/>
        </w:rPr>
      </w:pPr>
    </w:p>
    <w:p>
      <w:pPr>
        <w:pStyle w:val="12"/>
        <w:jc w:val="center"/>
        <w:rPr>
          <w:color w:val="auto"/>
          <w:sz w:val="80"/>
          <w:szCs w:val="80"/>
        </w:rPr>
      </w:pPr>
      <w:r>
        <w:rPr>
          <w:rFonts w:hint="eastAsia"/>
          <w:color w:val="auto"/>
          <w:sz w:val="80"/>
          <w:szCs w:val="80"/>
        </w:rPr>
        <w:t>第二部分</w:t>
      </w:r>
    </w:p>
    <w:p>
      <w:pPr>
        <w:pStyle w:val="12"/>
        <w:jc w:val="center"/>
        <w:rPr>
          <w:color w:val="auto"/>
          <w:sz w:val="80"/>
          <w:szCs w:val="80"/>
        </w:rPr>
      </w:pPr>
    </w:p>
    <w:p>
      <w:pPr>
        <w:pStyle w:val="12"/>
        <w:jc w:val="center"/>
        <w:rPr>
          <w:color w:val="auto"/>
          <w:sz w:val="80"/>
          <w:szCs w:val="80"/>
        </w:rPr>
      </w:pPr>
      <w:r>
        <w:rPr>
          <w:rFonts w:hint="eastAsia"/>
          <w:color w:val="auto"/>
          <w:sz w:val="80"/>
          <w:szCs w:val="80"/>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sectPr>
          <w:pgSz w:w="11906" w:h="16838"/>
          <w:pgMar w:top="1440" w:right="1800" w:bottom="1440" w:left="1800" w:header="851" w:footer="992" w:gutter="0"/>
          <w:cols w:space="425" w:num="1"/>
          <w:docGrid w:type="lines" w:linePitch="312" w:charSpace="0"/>
        </w:sectPr>
      </w:pPr>
    </w:p>
    <w:p>
      <w:pPr>
        <w:widowControl/>
        <w:ind w:left="93"/>
        <w:jc w:val="center"/>
        <w:rPr>
          <w:rFonts w:ascii="Times New Roman" w:hAnsi="Times New Roman" w:eastAsia="方正小标宋_GBK" w:cs="Times New Roman"/>
          <w:kern w:val="0"/>
          <w:sz w:val="36"/>
          <w:szCs w:val="21"/>
        </w:rPr>
      </w:pPr>
      <w:r>
        <w:rPr>
          <w:rFonts w:hint="eastAsia" w:ascii="Times New Roman" w:hAnsi="Times New Roman" w:eastAsia="方正小标宋_GBK" w:cs="Times New Roman"/>
          <w:kern w:val="0"/>
          <w:sz w:val="36"/>
          <w:szCs w:val="21"/>
        </w:rPr>
        <w:t>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210"/>
        <w:jc w:val="right"/>
        <w:rPr>
          <w:rFonts w:ascii="Times New Roman" w:hAnsi="Times New Roman" w:eastAsia="宋体" w:cs="Times New Roman"/>
          <w:kern w:val="0"/>
          <w:szCs w:val="21"/>
        </w:rPr>
      </w:pPr>
      <w:r>
        <w:rPr>
          <w:rFonts w:ascii="Times New Roman" w:hAnsi="Times New Roman" w:eastAsia="宋体" w:cs="Times New Roman"/>
          <w:kern w:val="0"/>
          <w:szCs w:val="21"/>
        </w:rPr>
        <w:t>公开0</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表</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部门：浏阳市集里街道办事处                                                                                                单位：万元</w:t>
      </w:r>
    </w:p>
    <w:tbl>
      <w:tblPr>
        <w:tblStyle w:val="6"/>
        <w:tblW w:w="13900" w:type="dxa"/>
        <w:tblInd w:w="0" w:type="dxa"/>
        <w:tblLayout w:type="fixed"/>
        <w:tblCellMar>
          <w:top w:w="0" w:type="dxa"/>
          <w:left w:w="108" w:type="dxa"/>
          <w:bottom w:w="0" w:type="dxa"/>
          <w:right w:w="108" w:type="dxa"/>
        </w:tblCellMar>
      </w:tblPr>
      <w:tblGrid>
        <w:gridCol w:w="4240"/>
        <w:gridCol w:w="760"/>
        <w:gridCol w:w="1880"/>
        <w:gridCol w:w="4580"/>
        <w:gridCol w:w="697"/>
        <w:gridCol w:w="1743"/>
      </w:tblGrid>
      <w:tr>
        <w:tblPrEx>
          <w:tblCellMar>
            <w:top w:w="0" w:type="dxa"/>
            <w:left w:w="108" w:type="dxa"/>
            <w:bottom w:w="0" w:type="dxa"/>
            <w:right w:w="108" w:type="dxa"/>
          </w:tblCellMar>
        </w:tblPrEx>
        <w:trPr>
          <w:trHeight w:val="439" w:hRule="atLeast"/>
          <w:tblHeader/>
        </w:trPr>
        <w:tc>
          <w:tcPr>
            <w:tcW w:w="688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收入</w:t>
            </w:r>
          </w:p>
        </w:tc>
        <w:tc>
          <w:tcPr>
            <w:tcW w:w="7020" w:type="dxa"/>
            <w:gridSpan w:val="3"/>
            <w:tcBorders>
              <w:top w:val="single" w:color="auto" w:sz="8" w:space="0"/>
              <w:left w:val="nil"/>
              <w:bottom w:val="single" w:color="auto" w:sz="4" w:space="0"/>
              <w:right w:val="single" w:color="000000" w:sz="8" w:space="0"/>
            </w:tcBorders>
            <w:shd w:val="clear" w:color="auto" w:fill="auto"/>
            <w:vAlign w:val="center"/>
          </w:tcPr>
          <w:p>
            <w:pPr>
              <w:jc w:val="center"/>
              <w:rPr>
                <w:rFonts w:ascii="宋体" w:hAnsi="宋体" w:eastAsia="宋体" w:cs="宋体"/>
                <w:sz w:val="24"/>
                <w:szCs w:val="24"/>
              </w:rPr>
            </w:pPr>
            <w:r>
              <w:rPr>
                <w:rFonts w:hint="eastAsia"/>
              </w:rPr>
              <w:t>支出</w:t>
            </w:r>
          </w:p>
        </w:tc>
      </w:tr>
      <w:tr>
        <w:tblPrEx>
          <w:tblCellMar>
            <w:top w:w="0" w:type="dxa"/>
            <w:left w:w="108" w:type="dxa"/>
            <w:bottom w:w="0" w:type="dxa"/>
            <w:right w:w="108" w:type="dxa"/>
          </w:tblCellMar>
        </w:tblPrEx>
        <w:trPr>
          <w:trHeight w:val="439" w:hRule="atLeast"/>
          <w:tblHeader/>
        </w:trPr>
        <w:tc>
          <w:tcPr>
            <w:tcW w:w="4240" w:type="dxa"/>
            <w:tcBorders>
              <w:top w:val="nil"/>
              <w:left w:val="single" w:color="auto" w:sz="8"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项    目</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行次</w:t>
            </w:r>
          </w:p>
        </w:tc>
        <w:tc>
          <w:tcPr>
            <w:tcW w:w="1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决算数</w:t>
            </w:r>
          </w:p>
        </w:tc>
        <w:tc>
          <w:tcPr>
            <w:tcW w:w="45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项    目</w:t>
            </w:r>
          </w:p>
        </w:tc>
        <w:tc>
          <w:tcPr>
            <w:tcW w:w="6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行次</w:t>
            </w:r>
          </w:p>
        </w:tc>
        <w:tc>
          <w:tcPr>
            <w:tcW w:w="1743" w:type="dxa"/>
            <w:tcBorders>
              <w:top w:val="nil"/>
              <w:left w:val="nil"/>
              <w:bottom w:val="single" w:color="auto" w:sz="4" w:space="0"/>
              <w:right w:val="single" w:color="auto" w:sz="8" w:space="0"/>
            </w:tcBorders>
            <w:shd w:val="clear" w:color="auto" w:fill="auto"/>
            <w:vAlign w:val="center"/>
          </w:tcPr>
          <w:p>
            <w:pPr>
              <w:jc w:val="center"/>
              <w:rPr>
                <w:rFonts w:ascii="宋体" w:hAnsi="宋体" w:eastAsia="宋体" w:cs="宋体"/>
                <w:sz w:val="24"/>
                <w:szCs w:val="24"/>
              </w:rPr>
            </w:pPr>
            <w:r>
              <w:rPr>
                <w:rFonts w:hint="eastAsia"/>
              </w:rPr>
              <w:t>决算数</w:t>
            </w:r>
          </w:p>
        </w:tc>
      </w:tr>
      <w:tr>
        <w:tblPrEx>
          <w:tblCellMar>
            <w:top w:w="0" w:type="dxa"/>
            <w:left w:w="108" w:type="dxa"/>
            <w:bottom w:w="0" w:type="dxa"/>
            <w:right w:w="108" w:type="dxa"/>
          </w:tblCellMar>
        </w:tblPrEx>
        <w:trPr>
          <w:trHeight w:val="439" w:hRule="atLeast"/>
          <w:tblHeader/>
        </w:trPr>
        <w:tc>
          <w:tcPr>
            <w:tcW w:w="4240" w:type="dxa"/>
            <w:tcBorders>
              <w:top w:val="nil"/>
              <w:left w:val="single" w:color="auto" w:sz="8"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栏    次</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w:t>
            </w:r>
          </w:p>
        </w:tc>
        <w:tc>
          <w:tcPr>
            <w:tcW w:w="45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栏    次</w:t>
            </w:r>
          </w:p>
        </w:tc>
        <w:tc>
          <w:tcPr>
            <w:tcW w:w="6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743" w:type="dxa"/>
            <w:tcBorders>
              <w:top w:val="nil"/>
              <w:left w:val="nil"/>
              <w:bottom w:val="single" w:color="auto" w:sz="4" w:space="0"/>
              <w:right w:val="single" w:color="auto" w:sz="8" w:space="0"/>
            </w:tcBorders>
            <w:shd w:val="clear" w:color="auto" w:fill="auto"/>
            <w:vAlign w:val="center"/>
          </w:tcPr>
          <w:p>
            <w:pPr>
              <w:jc w:val="center"/>
              <w:rPr>
                <w:rFonts w:ascii="宋体" w:hAnsi="宋体" w:eastAsia="宋体" w:cs="宋体"/>
                <w:sz w:val="24"/>
                <w:szCs w:val="24"/>
              </w:rPr>
            </w:pPr>
            <w:r>
              <w:rPr>
                <w:rFonts w:hint="eastAsia"/>
              </w:rPr>
              <w:t>2</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一、一般公共预算财政拨款收入</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9,985.73</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一、一般公共服务支出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29</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3,446.87</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二、政府性基金预算财政拨款收入</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57.98</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二、外交支出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30</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三、上级补助收入</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三、国防支出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31</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23.40</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四、事业收入</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四、公共安全支出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32</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144.38</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五、经营收入</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5</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五、教育支出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33</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146.62</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六、附属单位上缴收入</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6</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六、科学技术支出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34</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47.00</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七、其他收入</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7</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884.56</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七、文化旅游体育与传媒支出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35</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94.45</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8</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八、社会保障和就业支出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36</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936.83</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9</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九、卫生健康支出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37</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262.53</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10</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十、节能环保支出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38</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335.16</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11</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十一、城乡社区支出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39</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1,369.79</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12</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十二、农林水支出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40</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2,646.53</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13</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十三、交通运输支出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41</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314.87</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14</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十四、资源勘探信息等支出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42</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237.64</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15</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十五、商业服务业等支出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43</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7.40</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16</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十六、金融支出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44</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17</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十七、援助其他地区支出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45</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18</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十八、自然资源海洋气象等支出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46</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21.05</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19</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十九、住房保障支出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47</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326.51</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20</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二十、粮油物资储备支出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48</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21</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二十一、灾害防治及应急管理支出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49</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460.84</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22</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二十二、其他支出</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50</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106.40</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23</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51</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r>
              <w:rPr>
                <w:rFonts w:hint="eastAsia"/>
                <w:b/>
                <w:bCs/>
                <w:sz w:val="22"/>
              </w:rPr>
              <w:t>本年收入合计</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24</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10,928.27</w:t>
            </w:r>
          </w:p>
        </w:tc>
        <w:tc>
          <w:tcPr>
            <w:tcW w:w="458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r>
              <w:rPr>
                <w:rFonts w:hint="eastAsia"/>
                <w:b/>
                <w:bCs/>
                <w:sz w:val="22"/>
              </w:rPr>
              <w:t>本年支出合计</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52</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10,928.27</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用事业基金弥补收支差额</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25</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结余分配</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53</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年初结转和结余</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26</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年末结转和结余</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54</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27</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　</w:t>
            </w:r>
          </w:p>
        </w:tc>
        <w:tc>
          <w:tcPr>
            <w:tcW w:w="4580"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55</w:t>
            </w:r>
          </w:p>
        </w:tc>
        <w:tc>
          <w:tcPr>
            <w:tcW w:w="1743"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trHeight w:val="439" w:hRule="atLeast"/>
        </w:trPr>
        <w:tc>
          <w:tcPr>
            <w:tcW w:w="424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r>
              <w:rPr>
                <w:rFonts w:hint="eastAsia"/>
                <w:b/>
                <w:bCs/>
                <w:sz w:val="22"/>
              </w:rPr>
              <w:t>总计</w:t>
            </w:r>
          </w:p>
        </w:tc>
        <w:tc>
          <w:tcPr>
            <w:tcW w:w="76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28</w:t>
            </w:r>
          </w:p>
        </w:tc>
        <w:tc>
          <w:tcPr>
            <w:tcW w:w="18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10,928.27</w:t>
            </w:r>
          </w:p>
        </w:tc>
        <w:tc>
          <w:tcPr>
            <w:tcW w:w="4580"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r>
              <w:rPr>
                <w:rFonts w:hint="eastAsia"/>
                <w:b/>
                <w:bCs/>
                <w:sz w:val="22"/>
              </w:rPr>
              <w:t>总计</w:t>
            </w:r>
          </w:p>
        </w:tc>
        <w:tc>
          <w:tcPr>
            <w:tcW w:w="69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hint="eastAsia"/>
                <w:sz w:val="22"/>
              </w:rPr>
              <w:t>56</w:t>
            </w:r>
          </w:p>
        </w:tc>
        <w:tc>
          <w:tcPr>
            <w:tcW w:w="1743"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22"/>
              </w:rPr>
            </w:pPr>
            <w:r>
              <w:rPr>
                <w:rFonts w:hint="eastAsia"/>
                <w:sz w:val="22"/>
              </w:rPr>
              <w:t>10,928.27</w:t>
            </w:r>
          </w:p>
        </w:tc>
      </w:tr>
      <w:tr>
        <w:tblPrEx>
          <w:tblCellMar>
            <w:top w:w="0" w:type="dxa"/>
            <w:left w:w="108" w:type="dxa"/>
            <w:bottom w:w="0" w:type="dxa"/>
            <w:right w:w="108" w:type="dxa"/>
          </w:tblCellMar>
        </w:tblPrEx>
        <w:trPr>
          <w:trHeight w:val="439" w:hRule="atLeast"/>
        </w:trPr>
        <w:tc>
          <w:tcPr>
            <w:tcW w:w="13900" w:type="dxa"/>
            <w:gridSpan w:val="6"/>
            <w:tcBorders>
              <w:top w:val="nil"/>
              <w:left w:val="nil"/>
              <w:bottom w:val="nil"/>
              <w:right w:val="nil"/>
            </w:tcBorders>
            <w:shd w:val="clear" w:color="auto" w:fill="auto"/>
            <w:vAlign w:val="center"/>
          </w:tcPr>
          <w:p>
            <w:pPr>
              <w:kinsoku w:val="0"/>
              <w:overflowPunct w:val="0"/>
              <w:spacing w:line="267" w:lineRule="exact"/>
              <w:rPr>
                <w:rFonts w:ascii="宋体"/>
                <w:sz w:val="22"/>
              </w:rPr>
            </w:pPr>
            <w:r>
              <w:rPr>
                <w:rFonts w:hint="eastAsia"/>
                <w:sz w:val="22"/>
              </w:rPr>
              <w:t>注：本表反映部门本年度的总收支和年末结转结余情况。</w:t>
            </w:r>
            <w:r>
              <w:rPr>
                <w:rFonts w:hint="eastAsia" w:ascii="宋体" w:hAnsi="宋体"/>
                <w:sz w:val="22"/>
              </w:rPr>
              <w:t>本表金额转换为万元时，因四舍五入可能存在尾差。</w:t>
            </w:r>
          </w:p>
          <w:p>
            <w:pPr>
              <w:kinsoku w:val="0"/>
              <w:overflowPunct w:val="0"/>
              <w:spacing w:line="267" w:lineRule="exact"/>
              <w:ind w:left="210"/>
              <w:rPr>
                <w:rFonts w:ascii="宋体"/>
                <w:sz w:val="22"/>
              </w:rPr>
            </w:pPr>
          </w:p>
          <w:p>
            <w:pPr>
              <w:rPr>
                <w:rFonts w:ascii="宋体" w:hAnsi="宋体" w:eastAsia="宋体" w:cs="宋体"/>
                <w:sz w:val="22"/>
              </w:rPr>
            </w:pPr>
          </w:p>
        </w:tc>
      </w:tr>
    </w:tbl>
    <w:p>
      <w:pPr>
        <w:jc w:val="left"/>
        <w:rPr>
          <w:rFonts w:asciiTheme="minorEastAsia" w:hAnsiTheme="minorEastAsia"/>
          <w:sz w:val="32"/>
          <w:szCs w:val="32"/>
        </w:rPr>
        <w:sectPr>
          <w:pgSz w:w="16838" w:h="11906" w:orient="landscape"/>
          <w:pgMar w:top="1588" w:right="1440" w:bottom="1418" w:left="1440" w:header="851" w:footer="992" w:gutter="0"/>
          <w:cols w:space="425" w:num="1"/>
          <w:docGrid w:type="lines" w:linePitch="312" w:charSpace="0"/>
        </w:sectPr>
      </w:pPr>
    </w:p>
    <w:p>
      <w:pPr>
        <w:widowControl/>
        <w:ind w:left="93"/>
        <w:jc w:val="center"/>
        <w:rPr>
          <w:rFonts w:ascii="Times New Roman" w:hAnsi="Times New Roman" w:eastAsia="方正小标宋_GBK" w:cs="Times New Roman"/>
          <w:kern w:val="0"/>
          <w:sz w:val="36"/>
          <w:szCs w:val="21"/>
        </w:rPr>
      </w:pPr>
      <w:r>
        <w:rPr>
          <w:rFonts w:hint="eastAsia" w:ascii="Times New Roman" w:hAnsi="Times New Roman" w:eastAsia="方正小标宋_GBK" w:cs="Times New Roman"/>
          <w:kern w:val="0"/>
          <w:sz w:val="36"/>
          <w:szCs w:val="21"/>
        </w:rPr>
        <w:t>收入决算表</w:t>
      </w:r>
    </w:p>
    <w:p>
      <w:pPr>
        <w:widowControl/>
        <w:tabs>
          <w:tab w:val="left" w:pos="4453"/>
          <w:tab w:val="left" w:pos="4933"/>
          <w:tab w:val="left" w:pos="6813"/>
          <w:tab w:val="left" w:pos="11113"/>
          <w:tab w:val="left" w:pos="11549"/>
          <w:tab w:val="left" w:pos="13429"/>
          <w:tab w:val="left" w:pos="15089"/>
        </w:tabs>
        <w:spacing w:line="240" w:lineRule="exact"/>
        <w:ind w:left="91"/>
        <w:jc w:val="right"/>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公开0</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表</w:t>
      </w:r>
    </w:p>
    <w:p>
      <w:pPr>
        <w:ind w:left="-283" w:leftChars="-135"/>
        <w:rPr>
          <w:rFonts w:ascii="Times New Roman" w:hAnsi="Times New Roman" w:eastAsia="宋体" w:cs="Times New Roman"/>
          <w:kern w:val="0"/>
          <w:szCs w:val="21"/>
        </w:rPr>
      </w:pPr>
      <w:r>
        <w:rPr>
          <w:rFonts w:hint="eastAsia" w:ascii="Times New Roman" w:hAnsi="Times New Roman" w:eastAsia="宋体" w:cs="Times New Roman"/>
          <w:kern w:val="0"/>
          <w:szCs w:val="21"/>
        </w:rPr>
        <w:t>部门：浏阳市集里街道办事处                                                                                                   单位：万元</w:t>
      </w:r>
    </w:p>
    <w:tbl>
      <w:tblPr>
        <w:tblStyle w:val="6"/>
        <w:tblW w:w="15045" w:type="dxa"/>
        <w:jc w:val="center"/>
        <w:tblLayout w:type="fixed"/>
        <w:tblCellMar>
          <w:top w:w="0" w:type="dxa"/>
          <w:left w:w="108" w:type="dxa"/>
          <w:bottom w:w="0" w:type="dxa"/>
          <w:right w:w="108" w:type="dxa"/>
        </w:tblCellMar>
      </w:tblPr>
      <w:tblGrid>
        <w:gridCol w:w="1253"/>
        <w:gridCol w:w="5996"/>
        <w:gridCol w:w="1517"/>
        <w:gridCol w:w="1417"/>
        <w:gridCol w:w="893"/>
        <w:gridCol w:w="850"/>
        <w:gridCol w:w="851"/>
        <w:gridCol w:w="1134"/>
        <w:gridCol w:w="1134"/>
      </w:tblGrid>
      <w:tr>
        <w:tblPrEx>
          <w:tblCellMar>
            <w:top w:w="0" w:type="dxa"/>
            <w:left w:w="108" w:type="dxa"/>
            <w:bottom w:w="0" w:type="dxa"/>
            <w:right w:w="108" w:type="dxa"/>
          </w:tblCellMar>
        </w:tblPrEx>
        <w:trPr>
          <w:trHeight w:val="450" w:hRule="atLeast"/>
          <w:tblHeader/>
          <w:jc w:val="center"/>
        </w:trPr>
        <w:tc>
          <w:tcPr>
            <w:tcW w:w="7249" w:type="dxa"/>
            <w:gridSpan w:val="2"/>
            <w:tcBorders>
              <w:top w:val="single" w:color="auto" w:sz="8" w:space="0"/>
              <w:left w:val="single" w:color="auto" w:sz="8" w:space="0"/>
              <w:bottom w:val="single" w:color="auto"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51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本年收入合计</w:t>
            </w:r>
          </w:p>
        </w:tc>
        <w:tc>
          <w:tcPr>
            <w:tcW w:w="1417"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财政拨款收入</w:t>
            </w:r>
          </w:p>
        </w:tc>
        <w:tc>
          <w:tcPr>
            <w:tcW w:w="893"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上级补助收入</w:t>
            </w:r>
          </w:p>
        </w:tc>
        <w:tc>
          <w:tcPr>
            <w:tcW w:w="85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事业收入</w:t>
            </w:r>
          </w:p>
        </w:tc>
        <w:tc>
          <w:tcPr>
            <w:tcW w:w="851"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经营收入</w:t>
            </w:r>
          </w:p>
        </w:tc>
        <w:tc>
          <w:tcPr>
            <w:tcW w:w="1134"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附属单位上缴收入</w:t>
            </w:r>
          </w:p>
        </w:tc>
        <w:tc>
          <w:tcPr>
            <w:tcW w:w="113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其他收入</w:t>
            </w:r>
          </w:p>
        </w:tc>
      </w:tr>
      <w:tr>
        <w:tblPrEx>
          <w:tblCellMar>
            <w:top w:w="0" w:type="dxa"/>
            <w:left w:w="108" w:type="dxa"/>
            <w:bottom w:w="0" w:type="dxa"/>
            <w:right w:w="108" w:type="dxa"/>
          </w:tblCellMar>
        </w:tblPrEx>
        <w:trPr>
          <w:trHeight w:val="450" w:hRule="atLeast"/>
          <w:tblHeader/>
          <w:jc w:val="center"/>
        </w:trPr>
        <w:tc>
          <w:tcPr>
            <w:tcW w:w="1253" w:type="dxa"/>
            <w:vMerge w:val="restart"/>
            <w:tcBorders>
              <w:top w:val="nil"/>
              <w:left w:val="single" w:color="auto" w:sz="8"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599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8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13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blHeader/>
          <w:jc w:val="center"/>
        </w:trPr>
        <w:tc>
          <w:tcPr>
            <w:tcW w:w="125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9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89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13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blHeader/>
          <w:jc w:val="center"/>
        </w:trPr>
        <w:tc>
          <w:tcPr>
            <w:tcW w:w="7249"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5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8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134"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r>
      <w:tr>
        <w:tblPrEx>
          <w:tblCellMar>
            <w:top w:w="0" w:type="dxa"/>
            <w:left w:w="108" w:type="dxa"/>
            <w:bottom w:w="0" w:type="dxa"/>
            <w:right w:w="108" w:type="dxa"/>
          </w:tblCellMar>
        </w:tblPrEx>
        <w:trPr>
          <w:trHeight w:val="450" w:hRule="atLeast"/>
          <w:jc w:val="center"/>
        </w:trPr>
        <w:tc>
          <w:tcPr>
            <w:tcW w:w="7249"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10,928.27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10,043.71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884.56</w:t>
            </w:r>
          </w:p>
        </w:tc>
      </w:tr>
      <w:tr>
        <w:tblPrEx>
          <w:tblCellMar>
            <w:top w:w="0" w:type="dxa"/>
            <w:left w:w="108" w:type="dxa"/>
            <w:bottom w:w="0" w:type="dxa"/>
            <w:right w:w="108" w:type="dxa"/>
          </w:tblCellMar>
        </w:tblPrEx>
        <w:trPr>
          <w:trHeight w:val="450"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一般公共服务支出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3,446.87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3,414.40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32.47 </w:t>
            </w:r>
          </w:p>
        </w:tc>
      </w:tr>
      <w:tr>
        <w:tblPrEx>
          <w:tblCellMar>
            <w:top w:w="0" w:type="dxa"/>
            <w:left w:w="108" w:type="dxa"/>
            <w:bottom w:w="0" w:type="dxa"/>
            <w:right w:w="108" w:type="dxa"/>
          </w:tblCellMar>
        </w:tblPrEx>
        <w:trPr>
          <w:trHeight w:val="450"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人大事务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15.73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15.73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代表工作</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30"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政协事务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14.77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14.77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7.87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7.87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政府办公厅（室）及相关机构事务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2,816.77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2,816.77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810.49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810.49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1,895.13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1,895.13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机关服务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107.19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107.19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其他政府办公厅（室）及相关机构事务支出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发展与改革事务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2010499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其他发展与改革事务支出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统计信息事务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36.07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23.88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2010507</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专项普查活动</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36.07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23.88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财政事务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239.48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239.48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227.85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227.85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其他财政事务支出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20113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商贸事务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2011308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招商引资</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港澳台事务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2012502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档案事务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2012699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其他档案事务支出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群众团体事务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71.03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71.03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工会事务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48.87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48.87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其他群众团体事务支出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19.72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19.72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党委办公厅（室）及相关机构事务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53.51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49.51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专项业务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22.66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18.66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组织事务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62.25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57.66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4.59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52.78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51.78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2013250</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3.59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其他组织事务支出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统战事务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2013402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其他共产党事务支出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2013699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其他共产党事务支出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市场监督管理事务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20.69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20.69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市场监督管理专项</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其他市场监督管理事务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国防支出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国防动员</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兵役征集</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人民防空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国防教育</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预备役部队</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2030607</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民兵</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公共安全支出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144.38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130.38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14.00 </w:t>
            </w:r>
          </w:p>
        </w:tc>
      </w:tr>
      <w:tr>
        <w:tblPrEx>
          <w:tblCellMar>
            <w:top w:w="0" w:type="dxa"/>
            <w:left w:w="108" w:type="dxa"/>
            <w:bottom w:w="0" w:type="dxa"/>
            <w:right w:w="108" w:type="dxa"/>
          </w:tblCellMar>
        </w:tblPrEx>
        <w:trPr>
          <w:trHeight w:val="49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公安</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56.71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16.72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7.72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9.00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2040221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特别业务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39.99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34.99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国家安全</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2040399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其他国家安全支出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司法</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40.62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40.62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基层司法业务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其他公共安全支出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2049901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其他公共安全支出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教育支出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普通教育</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初中教育</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其他普通教育支出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10.00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其他科学技术管理事务支出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技术研究与开发</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应用技术研究与开发</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其他技术研究与开发支出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科学技术普及</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10.00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科普活动</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其他科学技术普及支出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10.00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文化旅游体育与传媒支出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94.45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73.17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21.28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文化和旅游</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74.67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66.67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8.00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2070109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群众文化</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其他文化和旅游支出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8.00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文物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0.18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0.18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2070206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历史名城与古迹</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0.18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0.18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广播电视</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3.60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2070804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广播</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3.60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其他文化体育与传媒支出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15.50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9.50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2079999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其他文化体育与传媒支出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15.50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9.50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社会保障和就业支出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936.83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846.78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90.05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人力资源和社会保障管理事务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336.36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322.16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14.20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2080109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社会保险经办机构</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314.56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314.56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其他人力资源和社会保障管理事务支出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18.80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14.20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民政管理事务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58.40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50.50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2080208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基层政权和社区建设</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50.50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50.50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2080299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其他民政管理事务支出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行政事业单位离退休</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173.08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173.08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归口管理的行政单位离退休</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66.54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66.54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事业单位离退休</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34.38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34.38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机关事业单位职业年金缴费支出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其他行政事业单位离退休支出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58.26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58.26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抚恤</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2080899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其他优抚支出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退役安置</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2080905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军队转业干部安置</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社会福利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4.50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老年福利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9.13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4.50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其他社会福利支出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残疾人事业</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27.66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19.39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8.27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残疾人就业和扶贫</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残疾人体育</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其他残疾人事业支出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24.66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16.39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8.27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最低生活保障</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2081902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农村最低生活保障金支出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20820</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临时救助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21.99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16.66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5.33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2082001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临时救助支出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21.99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16.66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5.33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特困人员救助供养</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41.42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7.25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2082101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城市特困人员救助供养支出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7.25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2082102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农村特困人员救助供养支出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退役军人管理事务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2082899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其他退役军人事务管理支出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卫生健康支出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262.53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239.72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22.81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基层医疗卫生机构</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8.00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2100301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城市社区卫生机构</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2100399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其他基层医疗卫生机构支出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公共卫生</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13.00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2100409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重大公共卫生专项</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13.00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计划生育事务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220.27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218.46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1.81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2100717</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计划生育服务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27.43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26.12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1.31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其他计划生育事务支出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192.84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192.34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0.50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行政事业单位医疗</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2101101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行政单位医疗</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医疗救助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2101399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其他医疗救助支出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其他卫生健康支出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2109901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其他卫生健康支出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节能环保支出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335.16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239.16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96.00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环境保护管理事务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生态环境保护宣传</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其他环境保护管理事务支出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0.84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0.84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污染防治</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2110399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其他污染防治支出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自然生态保护</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295.97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201.97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94.00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2110402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农村环境保护</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295.97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201.97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94.00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21110</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能源节约利用</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2111001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能源节约利用</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其他节能环保支出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2.00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2119901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其他节能环保支出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2.00 </w:t>
            </w:r>
          </w:p>
        </w:tc>
      </w:tr>
      <w:tr>
        <w:tblPrEx>
          <w:tblCellMar>
            <w:top w:w="0" w:type="dxa"/>
            <w:left w:w="108" w:type="dxa"/>
            <w:bottom w:w="0" w:type="dxa"/>
            <w:right w:w="108" w:type="dxa"/>
          </w:tblCellMar>
        </w:tblPrEx>
        <w:trPr>
          <w:trHeight w:val="270"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1,369.79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1,260.79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109.00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384.61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354.61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30.00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297.84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297.84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城管执法</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38.99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38.99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其他城乡社区管理事务支出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47.78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17.78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30.00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城乡社区公共设施</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202.65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163.65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39.00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小城镇基础设施建设</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11.71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11.71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其他城乡社区公共设施支出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190.94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151.94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39.00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城乡社区环境卫生</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215.83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175.83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40.00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2120501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城乡社区环境卫生</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215.83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175.83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40.00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国有土地使用权出让收入及对应专项债务收入安排的支出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2120804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农村基础设施建设支出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其他城乡社区支出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2129901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其他城乡社区支出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农林水支出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2,646.53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2,449.18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197.35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农业</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849.15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710.80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138.35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事业运行</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499.47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499.47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病虫害控制</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2130119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防灾救灾</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2130124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农业组织化与产业化经营</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2130126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农村公益事业</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31.53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26.53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2130142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农村道路建设</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92.35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58.35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其他农业支出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114.54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75.00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林业和草原</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162.63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159.63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事业机构</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103.72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103.72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森林培育</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2130207</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森林资源管理</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森林生态效益补偿</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2130234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防灾减灾</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其他林业和草原支出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水利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416.04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392.04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24.00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水利工程建设</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水利工程运行与维护</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24.00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2130314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防汛</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2130316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农田水利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43.55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43.55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2130335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农村人畜饮水</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其他水利支出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283.32</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283.32</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扶贫</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111.71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32.00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2130505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生产发展</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32.00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2130599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其他扶贫支出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农村综合改革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1,105.21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1,105.21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对村级一事一议的补助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对村民委员会和村党支部的补助</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1,066.01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1,066.01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其他农村综合改革支出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37.20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37.20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普惠金融发展支出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2130899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其他普惠金融发展支出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其他农林水支出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2139999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其他农林水支出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交通运输支出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314.87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232.97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81.90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公路水路运输</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314.24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232.34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81.90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公路建设</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64.30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64.30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公路养护</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193.35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111.45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81.90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2140112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公路运输管理</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其他公路水路运输支出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54.59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54.59</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成品油价格改革对交通运输的补贴</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0.63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0.63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对农村道路客运的补贴</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0.27</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0.27</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成品油价格改革补贴其他支出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资源勘探信息等支出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237.64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93.64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144.00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制造业</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2150299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其他制造业支出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支持中小企业发展和管理支出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2150805</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中小企业发展专项</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其他资源勘探信息等支出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144.00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2159999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其他资源勘探信息等支出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144.00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商业服务业等支出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7.40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0.40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商业流通事务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0.40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2160299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其他商业流通事务支出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0.40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涉外发展服务支出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2160699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其他涉外发展服务支出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自然资源海洋气象等支出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21.05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1.90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自然资源事务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21.05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1.90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2200110</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国土整治</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1.90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其他自然资源事务支出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14.15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14.15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住房保障支出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保障性安居工程支出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公共租赁住房</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35.05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35.05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其他保障性安居工程支出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291.46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291.46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灾害防治及应急管理支出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460.84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456.84</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应急管理事务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442.98</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438.98</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4.00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2240104</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灾害风险防治</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42.75</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42.75</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安全监管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389.90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386.90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3.00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2240108</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应急救援</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其他应急管理支出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5.33</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4.33</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1.00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消防事务</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2240299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其他消防事务支出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22406</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自然灾害防治</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2240601</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地质灾害防治</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106.40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59.40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22960</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彩票公益金安排的支出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59.00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2296002</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用于社会福利的彩票公益金支出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59.00 </w:t>
            </w:r>
          </w:p>
        </w:tc>
      </w:tr>
      <w:tr>
        <w:tblPrEx>
          <w:tblCellMar>
            <w:top w:w="0" w:type="dxa"/>
            <w:left w:w="108" w:type="dxa"/>
            <w:bottom w:w="0" w:type="dxa"/>
            <w:right w:w="108" w:type="dxa"/>
          </w:tblCellMar>
        </w:tblPrEx>
        <w:trPr>
          <w:trHeight w:val="285" w:hRule="atLeast"/>
          <w:jc w:val="center"/>
        </w:trPr>
        <w:tc>
          <w:tcPr>
            <w:tcW w:w="1253" w:type="dxa"/>
            <w:tcBorders>
              <w:top w:val="nil"/>
              <w:left w:val="single" w:color="auto" w:sz="8"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22999</w:t>
            </w:r>
          </w:p>
        </w:tc>
        <w:tc>
          <w:tcPr>
            <w:tcW w:w="59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其他支出</w:t>
            </w:r>
          </w:p>
        </w:tc>
        <w:tc>
          <w:tcPr>
            <w:tcW w:w="1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0.40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000000"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0.40 </w:t>
            </w:r>
          </w:p>
        </w:tc>
      </w:tr>
      <w:tr>
        <w:tblPrEx>
          <w:tblCellMar>
            <w:top w:w="0" w:type="dxa"/>
            <w:left w:w="108" w:type="dxa"/>
            <w:bottom w:w="0" w:type="dxa"/>
            <w:right w:w="108" w:type="dxa"/>
          </w:tblCellMar>
        </w:tblPrEx>
        <w:trPr>
          <w:trHeight w:val="300" w:hRule="atLeast"/>
          <w:jc w:val="center"/>
        </w:trPr>
        <w:tc>
          <w:tcPr>
            <w:tcW w:w="1253" w:type="dxa"/>
            <w:tcBorders>
              <w:top w:val="nil"/>
              <w:left w:val="single" w:color="auto" w:sz="8" w:space="0"/>
              <w:bottom w:val="single" w:color="auto" w:sz="8"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2299901</w:t>
            </w:r>
          </w:p>
        </w:tc>
        <w:tc>
          <w:tcPr>
            <w:tcW w:w="5996" w:type="dxa"/>
            <w:tcBorders>
              <w:top w:val="nil"/>
              <w:left w:val="nil"/>
              <w:bottom w:val="single" w:color="auto" w:sz="8"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其他支出</w:t>
            </w:r>
          </w:p>
        </w:tc>
        <w:tc>
          <w:tcPr>
            <w:tcW w:w="1517" w:type="dxa"/>
            <w:tcBorders>
              <w:top w:val="nil"/>
              <w:left w:val="nil"/>
              <w:bottom w:val="single" w:color="auto" w:sz="8"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0.40</w:t>
            </w:r>
          </w:p>
        </w:tc>
        <w:tc>
          <w:tcPr>
            <w:tcW w:w="1417" w:type="dxa"/>
            <w:tcBorders>
              <w:top w:val="nil"/>
              <w:left w:val="nil"/>
              <w:bottom w:val="single" w:color="auto" w:sz="8"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93" w:type="dxa"/>
            <w:tcBorders>
              <w:top w:val="nil"/>
              <w:left w:val="nil"/>
              <w:bottom w:val="single" w:color="auto" w:sz="8"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auto" w:sz="8"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auto" w:sz="8"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auto" w:sz="8"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0.40 </w:t>
            </w:r>
          </w:p>
        </w:tc>
      </w:tr>
      <w:tr>
        <w:tblPrEx>
          <w:tblCellMar>
            <w:top w:w="0" w:type="dxa"/>
            <w:left w:w="108" w:type="dxa"/>
            <w:bottom w:w="0" w:type="dxa"/>
            <w:right w:w="108" w:type="dxa"/>
          </w:tblCellMar>
        </w:tblPrEx>
        <w:trPr>
          <w:trHeight w:val="480" w:hRule="atLeast"/>
          <w:jc w:val="center"/>
        </w:trPr>
        <w:tc>
          <w:tcPr>
            <w:tcW w:w="10183" w:type="dxa"/>
            <w:gridSpan w:val="4"/>
            <w:tcBorders>
              <w:top w:val="single" w:color="auto" w:sz="8" w:space="0"/>
              <w:left w:val="nil"/>
              <w:bottom w:val="nil"/>
              <w:right w:val="nil"/>
            </w:tcBorders>
            <w:shd w:val="clear" w:color="auto" w:fill="auto"/>
            <w:vAlign w:val="center"/>
          </w:tcPr>
          <w:p>
            <w:pPr>
              <w:kinsoku w:val="0"/>
              <w:overflowPunct w:val="0"/>
              <w:spacing w:line="267" w:lineRule="exact"/>
              <w:rPr>
                <w:rFonts w:ascii="宋体"/>
                <w:sz w:val="22"/>
              </w:rPr>
            </w:pPr>
            <w:r>
              <w:rPr>
                <w:rFonts w:hint="eastAsia" w:ascii="宋体" w:hAnsi="宋体"/>
                <w:sz w:val="22"/>
              </w:rPr>
              <w:t>注：本表反映部门本年度取得的各项收入情况。本表金额转换为万元时，因四舍五入可能存在尾差。</w:t>
            </w:r>
          </w:p>
          <w:p>
            <w:pPr>
              <w:kinsoku w:val="0"/>
              <w:overflowPunct w:val="0"/>
              <w:spacing w:line="267" w:lineRule="exact"/>
              <w:rPr>
                <w:rFonts w:ascii="宋体" w:hAnsi="宋体"/>
                <w:sz w:val="22"/>
              </w:rPr>
            </w:pPr>
          </w:p>
          <w:p>
            <w:pPr>
              <w:kinsoku w:val="0"/>
              <w:overflowPunct w:val="0"/>
              <w:spacing w:line="267" w:lineRule="exact"/>
              <w:ind w:firstLine="960" w:firstLineChars="400"/>
              <w:rPr>
                <w:rFonts w:ascii="宋体" w:hAnsi="宋体" w:eastAsia="宋体" w:cs="宋体"/>
                <w:kern w:val="0"/>
                <w:sz w:val="24"/>
                <w:szCs w:val="24"/>
              </w:rPr>
            </w:pPr>
          </w:p>
        </w:tc>
        <w:tc>
          <w:tcPr>
            <w:tcW w:w="893" w:type="dxa"/>
            <w:tcBorders>
              <w:top w:val="nil"/>
              <w:left w:val="nil"/>
              <w:bottom w:val="nil"/>
              <w:right w:val="nil"/>
            </w:tcBorders>
            <w:shd w:val="clear" w:color="auto" w:fill="auto"/>
            <w:vAlign w:val="center"/>
          </w:tcPr>
          <w:p>
            <w:pPr>
              <w:widowControl/>
              <w:wordWrap w:val="0"/>
              <w:ind w:right="240"/>
              <w:jc w:val="right"/>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850"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851"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134"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134" w:type="dxa"/>
            <w:tcBorders>
              <w:top w:val="nil"/>
              <w:left w:val="nil"/>
              <w:bottom w:val="nil"/>
              <w:right w:val="nil"/>
            </w:tcBorders>
            <w:shd w:val="clear" w:color="auto" w:fill="auto"/>
            <w:vAlign w:val="center"/>
          </w:tcPr>
          <w:p>
            <w:pPr>
              <w:widowControl/>
              <w:ind w:right="240"/>
              <w:jc w:val="right"/>
              <w:rPr>
                <w:rFonts w:ascii="宋体" w:hAnsi="宋体" w:eastAsia="宋体" w:cs="宋体"/>
                <w:kern w:val="0"/>
                <w:sz w:val="24"/>
                <w:szCs w:val="24"/>
              </w:rPr>
            </w:pP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left"/>
        <w:rPr>
          <w:rFonts w:ascii="Times New Roman" w:hAnsi="Times New Roman" w:eastAsia="黑体" w:cs="Times New Roman"/>
          <w:bCs/>
          <w:kern w:val="0"/>
          <w:sz w:val="32"/>
          <w:szCs w:val="32"/>
        </w:rPr>
      </w:pPr>
    </w:p>
    <w:p>
      <w:pPr>
        <w:widowControl/>
        <w:ind w:left="93"/>
        <w:jc w:val="center"/>
        <w:rPr>
          <w:rFonts w:ascii="Times New Roman" w:hAnsi="Times New Roman" w:eastAsia="方正小标宋_GBK" w:cs="Times New Roman"/>
          <w:kern w:val="0"/>
          <w:sz w:val="36"/>
          <w:szCs w:val="21"/>
        </w:rPr>
      </w:pPr>
      <w:r>
        <w:rPr>
          <w:rFonts w:ascii="Times New Roman" w:hAnsi="Times New Roman" w:eastAsia="方正小标宋_GBK" w:cs="Times New Roman"/>
          <w:kern w:val="0"/>
          <w:sz w:val="36"/>
          <w:szCs w:val="21"/>
        </w:rPr>
        <w:t>支出决算表</w:t>
      </w:r>
    </w:p>
    <w:p>
      <w:pPr>
        <w:widowControl/>
        <w:tabs>
          <w:tab w:val="left" w:pos="4453"/>
          <w:tab w:val="left" w:pos="4933"/>
          <w:tab w:val="left" w:pos="6813"/>
          <w:tab w:val="left" w:pos="11113"/>
          <w:tab w:val="left" w:pos="11549"/>
          <w:tab w:val="left" w:pos="13429"/>
          <w:tab w:val="left" w:pos="15089"/>
        </w:tabs>
        <w:spacing w:line="240" w:lineRule="exact"/>
        <w:ind w:left="91" w:right="210"/>
        <w:jc w:val="right"/>
        <w:rPr>
          <w:rFonts w:ascii="Times New Roman" w:hAnsi="Times New Roman" w:eastAsia="宋体" w:cs="Times New Roman"/>
          <w:kern w:val="0"/>
          <w:szCs w:val="21"/>
        </w:rPr>
      </w:pPr>
      <w:r>
        <w:rPr>
          <w:rFonts w:ascii="Times New Roman" w:hAnsi="Times New Roman" w:eastAsia="宋体" w:cs="Times New Roman"/>
          <w:kern w:val="0"/>
          <w:szCs w:val="21"/>
        </w:rPr>
        <w:t>公开0</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表</w:t>
      </w:r>
    </w:p>
    <w:p>
      <w:pPr>
        <w:ind w:firstLine="210" w:firstLineChars="100"/>
        <w:rPr>
          <w:rFonts w:ascii="Times New Roman" w:hAnsi="Times New Roman" w:eastAsia="宋体" w:cs="Times New Roman"/>
          <w:kern w:val="0"/>
          <w:szCs w:val="21"/>
        </w:rPr>
      </w:pPr>
      <w:r>
        <w:rPr>
          <w:rFonts w:hint="eastAsia" w:ascii="Times New Roman" w:hAnsi="Times New Roman" w:eastAsia="宋体" w:cs="Times New Roman"/>
          <w:kern w:val="0"/>
          <w:szCs w:val="21"/>
        </w:rPr>
        <w:t>部门：浏阳市集里街道办事处                                                                                                           单位：万元</w:t>
      </w:r>
    </w:p>
    <w:tbl>
      <w:tblPr>
        <w:tblStyle w:val="6"/>
        <w:tblW w:w="15525" w:type="dxa"/>
        <w:tblInd w:w="89" w:type="dxa"/>
        <w:tblLayout w:type="fixed"/>
        <w:tblCellMar>
          <w:top w:w="0" w:type="dxa"/>
          <w:left w:w="108" w:type="dxa"/>
          <w:bottom w:w="0" w:type="dxa"/>
          <w:right w:w="108" w:type="dxa"/>
        </w:tblCellMar>
      </w:tblPr>
      <w:tblGrid>
        <w:gridCol w:w="1295"/>
        <w:gridCol w:w="5160"/>
        <w:gridCol w:w="1703"/>
        <w:gridCol w:w="1505"/>
        <w:gridCol w:w="1584"/>
        <w:gridCol w:w="1307"/>
        <w:gridCol w:w="1446"/>
        <w:gridCol w:w="1525"/>
      </w:tblGrid>
      <w:tr>
        <w:tblPrEx>
          <w:tblCellMar>
            <w:top w:w="0" w:type="dxa"/>
            <w:left w:w="108" w:type="dxa"/>
            <w:bottom w:w="0" w:type="dxa"/>
            <w:right w:w="108" w:type="dxa"/>
          </w:tblCellMar>
        </w:tblPrEx>
        <w:trPr>
          <w:trHeight w:val="450" w:hRule="atLeast"/>
          <w:tblHeader/>
        </w:trPr>
        <w:tc>
          <w:tcPr>
            <w:tcW w:w="6455" w:type="dxa"/>
            <w:gridSpan w:val="2"/>
            <w:tcBorders>
              <w:top w:val="single" w:color="auto" w:sz="8" w:space="0"/>
              <w:left w:val="single" w:color="auto" w:sz="8" w:space="0"/>
              <w:bottom w:val="single" w:color="auto"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703"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505"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84"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30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44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525"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blHeader/>
        </w:trPr>
        <w:tc>
          <w:tcPr>
            <w:tcW w:w="1295" w:type="dxa"/>
            <w:vMerge w:val="restart"/>
            <w:tcBorders>
              <w:top w:val="nil"/>
              <w:left w:val="single" w:color="auto" w:sz="8" w:space="0"/>
              <w:bottom w:val="single" w:color="000000"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516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70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0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8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30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4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2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blHeader/>
        </w:trPr>
        <w:tc>
          <w:tcPr>
            <w:tcW w:w="1295" w:type="dxa"/>
            <w:vMerge w:val="continue"/>
            <w:tcBorders>
              <w:top w:val="nil"/>
              <w:left w:val="single" w:color="auto" w:sz="8" w:space="0"/>
              <w:bottom w:val="single" w:color="000000" w:sz="4" w:space="0"/>
              <w:right w:val="nil"/>
            </w:tcBorders>
            <w:vAlign w:val="center"/>
          </w:tcPr>
          <w:p>
            <w:pPr>
              <w:widowControl/>
              <w:jc w:val="left"/>
              <w:rPr>
                <w:rFonts w:ascii="宋体" w:hAnsi="宋体" w:eastAsia="宋体" w:cs="宋体"/>
                <w:kern w:val="0"/>
                <w:sz w:val="24"/>
                <w:szCs w:val="24"/>
              </w:rPr>
            </w:pPr>
          </w:p>
        </w:tc>
        <w:tc>
          <w:tcPr>
            <w:tcW w:w="5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70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0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8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30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4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2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blHeader/>
        </w:trPr>
        <w:tc>
          <w:tcPr>
            <w:tcW w:w="6455"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70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0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4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525"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6455"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10,928.27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2,818.82</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8,109.45</w:t>
            </w:r>
          </w:p>
        </w:tc>
        <w:tc>
          <w:tcPr>
            <w:tcW w:w="130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4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25"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19"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一般公共服务支出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3,446.87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1,091.80</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2,355.07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19"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人大事务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15.73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13.97</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19"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13.97</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19"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19"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代表工作</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19"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政协事务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14.77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7.87</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19"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7.87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7.87</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90"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政府办公厅（室）及相关机构事务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2,816.77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810.49</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2,006.28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810.49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810.49</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1,895.13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1,895.13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机关服务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107.19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107.19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其他政府办公厅（室）及相关机构事务支出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发展与改革事务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2010499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其他发展与改革事务支出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统计信息事务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36.07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36.07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2010507</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专项普查活动</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36.07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36.07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财政事务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239.48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227.85</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227.85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227.85</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其他财政事务支出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20113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商贸事务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2011308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招商引资</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港澳台事务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2012502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档案事务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2012699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其他档案事务支出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群众团体事务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71.03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71.03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工会事务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48.87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48.87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其他群众团体事务支出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19.72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19.72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党委办公厅（室）及相关机构事务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53.51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28.03</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25.48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28.03</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专项业务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22.66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22.66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组织事务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62.25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3.59</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58.66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52.78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52.78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2013250</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3.59</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其他组织事务支出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统战事务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2013402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其他共产党事务支出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2013699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其他共产党事务支出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市场监督管理事务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20.69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20.69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市场监督管理专项</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其他市场监督管理事务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国防支出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国防动员</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兵役征集</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人民防空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国防教育</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预备役部队</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2030607</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民兵</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公共安全支出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144.38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111.40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公安</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56.71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56.71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16.72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16.72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2040221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特别业务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39.99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39.99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国家安全</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2040399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其他国家安全支出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司法</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40.62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基层司法业务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其他公共安全支出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2049901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其他公共安全支出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教育支出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普通教育</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初中教育</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其他普通教育支出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其他科学技术管理事务支出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技术研究与开发</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应用技术研究与开发</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其他技术研究与开发支出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科学技术普及</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科普活动</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其他科学技术普及支出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文化旅游体育与传媒支出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94.45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94.45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文化和旅游</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74.67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74.67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2070109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群众文化</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其他文化和旅游支出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文物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0.18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0.18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2070206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历史名城与古迹</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0.18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0.18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广播电视</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2070804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广播</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其他文化体育与传媒支出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15.50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15.50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2079999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其他文化体育与传媒支出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15.50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15.50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社会保障和就业支出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936.83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399.16</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537.67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人力资源和社会保障管理事务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336.36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285.12</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51.24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2080109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社会保险经办机构</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314.56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285.12</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29.44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其他人力资源和社会保障管理事务支出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18.80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18.80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民政管理事务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2080208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基层政权和社区建设</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50.50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50.50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2080299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其他民政管理事务支出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行政事业单位离退休</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173.08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114.04</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59.04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归口管理的行政单位离退休</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66.54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66.45</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事业单位离退休</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34.38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33.69</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0.69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机关事业单位职业年金缴费支出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13.90</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其他行政事业单位离退休支出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58.26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58.26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抚恤</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2080899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其他优抚支出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退役安置</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2080905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军队转业干部安置</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社会福利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老年福利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9.13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9.13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其他社会福利支出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残疾人事业</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27.66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27.66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残疾人就业和扶贫</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残疾人体育</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其他残疾人事业支出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24.66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24.66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最低生活保障</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2081902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农村最低生活保障金支出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20820</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临时救助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21.99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21.99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2082001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临时救助支出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21.99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21.99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特困人员救助供养</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41.42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41.42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2082101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城市特困人员救助供养支出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2082102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农村特困人员救助供养支出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退役军人管理事务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2082899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其他退役军人事务管理支出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卫生健康支出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262.53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175.79</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86.74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基层医疗卫生机构</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2100301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城市社区卫生机构</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2100399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其他基层医疗卫生机构支出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公共卫生</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2100409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重大公共卫生专项</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计划生育事务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220.27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175.79</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44.48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2100717</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计划生育服务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27.43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27.43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其他计划生育事务支出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192.84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175.79</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17.05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行政事业单位医疗</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2101101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行政单位医疗</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医疗救助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2101399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其他医疗救助支出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其他卫生健康支出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2109901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其他卫生健康支出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节能环保支出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335.16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335.16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环境保护管理事务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生态环境保护宣传</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其他环境保护管理事务支出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0.84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0.84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污染防治</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2110399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其他污染防治支出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自然生态保护</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295.97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295.97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2110402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农村环境保护</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295.97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295.97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21110</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能源节约利用</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2111001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能源节约利用</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其他节能环保支出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2119901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其他节能环保支出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1,369.79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267.65</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1,102.14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384.61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267.65</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116.96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297.84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267.65</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30.19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城管执法</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38.99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38.99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其他城乡社区管理事务支出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47.78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47.78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城乡社区公共设施</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202.65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202.65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小城镇基础设施建设</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11.71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11.71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其他城乡社区公共设施支出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190.94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190.94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城乡社区环境卫生</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215.83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215.83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2120501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城乡社区环境卫生</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215.83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215.83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国有土地使用权出让收入及对应专项债务收入安排的支出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2120804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农村基础设施建设支出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其他城乡社区支出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2129901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其他城乡社区支出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农林水支出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2,646.53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534.96</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2,111.57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农业</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849.15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447.14</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402.01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事业运行</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499.47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447.14</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52.33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病虫害控制</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2130119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防灾救灾</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2130124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农业组织化与产业化经营</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2130126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农村公益事业</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31.53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31.53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2130142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农村道路建设</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92.35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92.35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其他农业支出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林业和草原</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162.63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87.82</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74.81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事业机构</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103.72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87.82</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15.90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森林培育</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2130207</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森林资源管理</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森林生态效益补偿</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2130234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防灾减灾</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其他林业和草原支出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水利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416.04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416.04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水利工程建设</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水利工程运行与维护</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2130314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防汛</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2130316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农田水利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43.55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43.55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2130335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农村人畜饮水</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其他水利支出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283.32</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283.32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扶贫</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111.71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111.71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2130505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生产发展</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2130599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其他扶贫支出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农村综合改革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1,105.21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1,105.21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对村级一事一议的补助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对村民委员会和村党支部的补助</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1,066.01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1,066.01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其他农村综合改革支出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37.20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37.20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普惠金融发展支出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2130899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其他普惠金融发展支出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其他农林水支出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2139999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其他农林水支出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交通运输支出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314.87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314.87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公路水路运输</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314.24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314.24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公路建设</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64.30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64.30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公路养护</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193.35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193.35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2140112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公路运输管理</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其他公路水路运输支出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54.59</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54.59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成品油价格改革对交通运输的补贴</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0.63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0.63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对农村道路客运的补贴</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0.27</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0.27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成品油价格改革补贴其他支出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资源勘探信息等支出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237.64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237.64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制造业</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2150299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其他制造业支出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支持中小企业发展和管理支出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2150805</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中小企业发展专项</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其他资源勘探信息等支出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2159999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其他资源勘探信息等支出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172.00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172.00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商业服务业等支出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商业流通事务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2160299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其他商业流通事务支出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涉外发展服务支出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2160699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其他涉外发展服务支出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自然资源海洋气象等支出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21.05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21.05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自然资源事务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21.05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21.05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2200110</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国土整治</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其他自然资源事务支出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14.15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14.15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住房保障支出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保障性安居工程支出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公共租赁住房</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35.05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35.05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其他保障性安居工程支出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291.46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291.46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灾害防治及应急管理支出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460.84</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316.48</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144.36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应急管理事务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442.98</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316.48</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126.50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2240104</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灾害风险防治</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42.75</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42.75</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安全监管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389.90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316.48</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73.42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2240108</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应急救援</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其他应急管理支出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5.33</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5.33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消防事务</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2240299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其他消防事务支出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22406</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自然灾害防治</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2240601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地质灾害防治</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22960</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彩票公益金安排的支出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2296002</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用于社会福利的彩票公益金支出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106.00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22999</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5" w:hRule="atLeast"/>
        </w:trPr>
        <w:tc>
          <w:tcPr>
            <w:tcW w:w="1295"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2299901</w:t>
            </w:r>
          </w:p>
        </w:tc>
        <w:tc>
          <w:tcPr>
            <w:tcW w:w="51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其他支出</w:t>
            </w:r>
          </w:p>
        </w:tc>
        <w:tc>
          <w:tcPr>
            <w:tcW w:w="17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0.40</w:t>
            </w:r>
          </w:p>
        </w:tc>
        <w:tc>
          <w:tcPr>
            <w:tcW w:w="15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0.40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bl>
    <w:p>
      <w:pPr>
        <w:kinsoku w:val="0"/>
        <w:overflowPunct w:val="0"/>
        <w:spacing w:line="267" w:lineRule="exact"/>
        <w:ind w:firstLine="440" w:firstLineChars="200"/>
        <w:rPr>
          <w:rFonts w:ascii="宋体"/>
          <w:sz w:val="22"/>
        </w:rPr>
      </w:pPr>
      <w:r>
        <w:rPr>
          <w:rFonts w:ascii="宋体" w:hAnsi="宋体"/>
          <w:sz w:val="22"/>
        </w:rPr>
        <w:t>注：本表反映部门本年度各项支出情况。</w:t>
      </w:r>
      <w:r>
        <w:rPr>
          <w:rFonts w:hint="eastAsia" w:ascii="宋体" w:hAnsi="宋体"/>
          <w:sz w:val="22"/>
        </w:rPr>
        <w:t>本表金额转换为万元时，因四舍五入可能存在尾差。</w:t>
      </w:r>
    </w:p>
    <w:p>
      <w:pPr>
        <w:widowControl/>
        <w:ind w:firstLine="630" w:firstLineChars="300"/>
        <w:jc w:val="left"/>
        <w:rPr>
          <w:rFonts w:ascii="Times New Roman" w:hAnsi="Times New Roman" w:eastAsia="FangSong_GB2312" w:cs="Times New Roman"/>
          <w:kern w:val="0"/>
          <w:szCs w:val="21"/>
        </w:rPr>
      </w:pPr>
    </w:p>
    <w:p>
      <w:pPr>
        <w:widowControl/>
        <w:jc w:val="left"/>
        <w:rPr>
          <w:rFonts w:ascii="Times New Roman" w:hAnsi="Times New Roman" w:eastAsia="FangSong_GB2312" w:cs="Times New Roman"/>
          <w:bCs/>
          <w:kern w:val="0"/>
          <w:szCs w:val="21"/>
        </w:rPr>
      </w:pPr>
      <w:r>
        <w:rPr>
          <w:rFonts w:ascii="Times New Roman" w:hAnsi="Times New Roman" w:eastAsia="FangSong_GB2312" w:cs="Times New Roman"/>
          <w:bCs/>
          <w:kern w:val="0"/>
          <w:szCs w:val="21"/>
        </w:rPr>
        <w:br w:type="page"/>
      </w:r>
    </w:p>
    <w:p>
      <w:pPr>
        <w:widowControl/>
        <w:ind w:left="93"/>
        <w:jc w:val="center"/>
        <w:rPr>
          <w:rFonts w:ascii="Times New Roman" w:hAnsi="Times New Roman" w:eastAsia="方正小标宋_GBK" w:cs="Times New Roman"/>
          <w:kern w:val="0"/>
          <w:sz w:val="36"/>
          <w:szCs w:val="21"/>
        </w:rPr>
      </w:pPr>
      <w:r>
        <w:rPr>
          <w:rFonts w:ascii="Times New Roman" w:hAnsi="Times New Roman" w:eastAsia="方正小标宋_GBK" w:cs="Times New Roman"/>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420"/>
        <w:jc w:val="right"/>
        <w:rPr>
          <w:rFonts w:ascii="Times New Roman" w:hAnsi="Times New Roman" w:eastAsia="宋体" w:cs="Times New Roman"/>
          <w:kern w:val="0"/>
          <w:szCs w:val="21"/>
        </w:rPr>
      </w:pPr>
      <w:r>
        <w:rPr>
          <w:rFonts w:ascii="Times New Roman" w:hAnsi="Times New Roman" w:eastAsia="宋体" w:cs="Times New Roman"/>
          <w:kern w:val="0"/>
          <w:szCs w:val="21"/>
        </w:rPr>
        <w:t>公开04表</w:t>
      </w:r>
    </w:p>
    <w:p>
      <w:pPr>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部门：浏阳市集里街道办事处                                                                                                        单位：万元</w:t>
      </w:r>
    </w:p>
    <w:tbl>
      <w:tblPr>
        <w:tblStyle w:val="6"/>
        <w:tblW w:w="15045" w:type="dxa"/>
        <w:jc w:val="center"/>
        <w:tblLayout w:type="fixed"/>
        <w:tblCellMar>
          <w:top w:w="0" w:type="dxa"/>
          <w:left w:w="108" w:type="dxa"/>
          <w:bottom w:w="0" w:type="dxa"/>
          <w:right w:w="108" w:type="dxa"/>
        </w:tblCellMar>
      </w:tblPr>
      <w:tblGrid>
        <w:gridCol w:w="3080"/>
        <w:gridCol w:w="767"/>
        <w:gridCol w:w="1559"/>
        <w:gridCol w:w="3154"/>
        <w:gridCol w:w="436"/>
        <w:gridCol w:w="2222"/>
        <w:gridCol w:w="1842"/>
        <w:gridCol w:w="1985"/>
      </w:tblGrid>
      <w:tr>
        <w:tblPrEx>
          <w:tblCellMar>
            <w:top w:w="0" w:type="dxa"/>
            <w:left w:w="108" w:type="dxa"/>
            <w:bottom w:w="0" w:type="dxa"/>
            <w:right w:w="108" w:type="dxa"/>
          </w:tblCellMar>
        </w:tblPrEx>
        <w:trPr>
          <w:trHeight w:val="439" w:hRule="atLeast"/>
          <w:tblHeader/>
          <w:jc w:val="center"/>
        </w:trPr>
        <w:tc>
          <w:tcPr>
            <w:tcW w:w="5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收     入</w:t>
            </w:r>
          </w:p>
        </w:tc>
        <w:tc>
          <w:tcPr>
            <w:tcW w:w="963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支     出</w:t>
            </w:r>
          </w:p>
        </w:tc>
      </w:tr>
      <w:tr>
        <w:tblPrEx>
          <w:tblCellMar>
            <w:top w:w="0" w:type="dxa"/>
            <w:left w:w="108" w:type="dxa"/>
            <w:bottom w:w="0" w:type="dxa"/>
            <w:right w:w="108" w:type="dxa"/>
          </w:tblCellMar>
        </w:tblPrEx>
        <w:trPr>
          <w:trHeight w:val="780" w:hRule="atLeast"/>
          <w:tblHeader/>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行次</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金额</w:t>
            </w:r>
          </w:p>
        </w:tc>
        <w:tc>
          <w:tcPr>
            <w:tcW w:w="3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行次</w:t>
            </w:r>
          </w:p>
        </w:tc>
        <w:tc>
          <w:tcPr>
            <w:tcW w:w="222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8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一般公共预算财政拨款</w:t>
            </w:r>
          </w:p>
        </w:tc>
        <w:tc>
          <w:tcPr>
            <w:tcW w:w="19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政府性基金预算财政拨款</w:t>
            </w:r>
          </w:p>
        </w:tc>
      </w:tr>
      <w:tr>
        <w:tblPrEx>
          <w:tblCellMar>
            <w:top w:w="0" w:type="dxa"/>
            <w:left w:w="108" w:type="dxa"/>
            <w:bottom w:w="0" w:type="dxa"/>
            <w:right w:w="108" w:type="dxa"/>
          </w:tblCellMar>
        </w:tblPrEx>
        <w:trPr>
          <w:trHeight w:val="439" w:hRule="atLeast"/>
          <w:tblHeader/>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栏次</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3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栏次</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22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8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9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9,985.73</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3,414.40</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3,414.40</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57.98</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130.38</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130.38</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34</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37.00</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37.00</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七、文化旅游体育与传媒支出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36</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73.17</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73.17</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37</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846.78</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846.78</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九、卫生健康支出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239.72</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239.72</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十、节能环保支出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239.16</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239.16</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十一、城乡社区支出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1,260.79</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1,249.81</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十二、农林水支出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41</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2,449.18</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2,449.18</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十三、交通运输支出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42</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232.97</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232.97</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十四、资源勘探信息等支出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43</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93.64</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93.64</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十五、商业服务业等支出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44</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十六、金融支出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十七、援助其他地区支出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46</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十八、自然资源海洋气象等支出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47</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19.15</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19.15</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十九、住房保障支出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48</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二十、粮油物资储备支出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49</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二十一、灾害防治及应急管理支出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456.84</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456.84</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二十二、其他支出</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51</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52</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10,043.71</w:t>
            </w:r>
          </w:p>
        </w:tc>
        <w:tc>
          <w:tcPr>
            <w:tcW w:w="3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53</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10,043.71</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9,985.73</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57.98</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年初财政拨款结转和结余</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年末财政拨款结转和结余</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54</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55</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56</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57</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jc w:val="center"/>
        </w:trPr>
        <w:tc>
          <w:tcPr>
            <w:tcW w:w="3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10,043.71</w:t>
            </w:r>
          </w:p>
        </w:tc>
        <w:tc>
          <w:tcPr>
            <w:tcW w:w="3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58</w:t>
            </w:r>
          </w:p>
        </w:tc>
        <w:tc>
          <w:tcPr>
            <w:tcW w:w="22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10,043.71</w:t>
            </w:r>
          </w:p>
        </w:tc>
        <w:tc>
          <w:tcPr>
            <w:tcW w:w="18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9,985.73</w:t>
            </w:r>
          </w:p>
        </w:tc>
        <w:tc>
          <w:tcPr>
            <w:tcW w:w="19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57.98</w:t>
            </w:r>
          </w:p>
        </w:tc>
      </w:tr>
    </w:tbl>
    <w:p>
      <w:pPr>
        <w:kinsoku w:val="0"/>
        <w:overflowPunct w:val="0"/>
        <w:spacing w:line="267" w:lineRule="exact"/>
        <w:rPr>
          <w:rFonts w:cs="宋体" w:asciiTheme="minorEastAsia" w:hAnsiTheme="minorEastAsia"/>
          <w:kern w:val="0"/>
          <w:sz w:val="22"/>
        </w:rPr>
      </w:pPr>
      <w:r>
        <w:rPr>
          <w:rFonts w:cs="宋体" w:asciiTheme="minorEastAsia" w:hAnsiTheme="minorEastAsia"/>
          <w:kern w:val="0"/>
          <w:sz w:val="22"/>
        </w:rPr>
        <w:t>注：本表反映部门本年度一般公共预算财政拨款和政府性基金预算财政拨款的总收支和年末结转结余情况。</w:t>
      </w:r>
      <w:r>
        <w:rPr>
          <w:rFonts w:hint="eastAsia" w:cs="宋体" w:asciiTheme="minorEastAsia" w:hAnsiTheme="minorEastAsia"/>
          <w:kern w:val="0"/>
          <w:sz w:val="22"/>
        </w:rPr>
        <w:t>本表金额转换为万元时，因四舍五入可能存在尾差。</w:t>
      </w:r>
    </w:p>
    <w:p>
      <w:pPr>
        <w:widowControl/>
        <w:jc w:val="left"/>
        <w:rPr>
          <w:rFonts w:cs="宋体" w:asciiTheme="minorEastAsia" w:hAnsiTheme="minorEastAsia"/>
          <w:kern w:val="0"/>
          <w:sz w:val="22"/>
        </w:rPr>
      </w:pPr>
    </w:p>
    <w:p>
      <w:pPr>
        <w:widowControl/>
        <w:jc w:val="left"/>
        <w:rPr>
          <w:rFonts w:cs="宋体" w:asciiTheme="minorEastAsia" w:hAnsiTheme="minorEastAsia"/>
          <w:kern w:val="0"/>
          <w:sz w:val="22"/>
        </w:rPr>
      </w:pPr>
      <w:r>
        <w:rPr>
          <w:rFonts w:cs="宋体" w:asciiTheme="minorEastAsia" w:hAnsiTheme="minorEastAsia"/>
          <w:kern w:val="0"/>
          <w:sz w:val="22"/>
        </w:rPr>
        <w:br w:type="page"/>
      </w:r>
    </w:p>
    <w:p>
      <w:pPr>
        <w:widowControl/>
        <w:ind w:left="93"/>
        <w:jc w:val="center"/>
        <w:rPr>
          <w:rFonts w:ascii="Times New Roman" w:hAnsi="Times New Roman" w:eastAsia="方正小标宋_GBK" w:cs="Times New Roman"/>
          <w:kern w:val="0"/>
          <w:sz w:val="36"/>
          <w:szCs w:val="21"/>
        </w:rPr>
      </w:pPr>
      <w:bookmarkStart w:id="0" w:name="RANGE!A1:F16"/>
      <w:r>
        <w:rPr>
          <w:rFonts w:ascii="Times New Roman" w:hAnsi="Times New Roman" w:eastAsia="方正小标宋_GBK" w:cs="Times New Roman"/>
          <w:kern w:val="0"/>
          <w:sz w:val="36"/>
          <w:szCs w:val="21"/>
        </w:rPr>
        <w:t>一般公共预算财政拨款支出决算表</w:t>
      </w:r>
      <w:bookmarkEnd w:id="0"/>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kern w:val="0"/>
          <w:szCs w:val="21"/>
        </w:rPr>
      </w:pPr>
      <w:r>
        <w:rPr>
          <w:rFonts w:hint="eastAsia" w:ascii="Times New Roman" w:hAnsi="Times New Roman" w:eastAsia="FangSong_GB2312" w:cs="Times New Roman"/>
          <w:kern w:val="0"/>
          <w:szCs w:val="21"/>
        </w:rPr>
        <w:t xml:space="preserve">  </w:t>
      </w:r>
      <w:r>
        <w:rPr>
          <w:rFonts w:ascii="Times New Roman" w:hAnsi="Times New Roman" w:eastAsia="FangSong_GB2312" w:cs="Times New Roman"/>
          <w:kern w:val="0"/>
          <w:szCs w:val="21"/>
        </w:rPr>
        <w:t xml:space="preserve">                     </w:t>
      </w:r>
      <w:r>
        <w:rPr>
          <w:rFonts w:hint="eastAsia" w:ascii="Times New Roman" w:hAnsi="Times New Roman" w:eastAsia="FangSong_GB2312" w:cs="Times New Roman"/>
          <w:kern w:val="0"/>
          <w:szCs w:val="21"/>
        </w:rPr>
        <w:t xml:space="preserve">                                          </w:t>
      </w:r>
      <w:r>
        <w:rPr>
          <w:rFonts w:ascii="Times New Roman" w:hAnsi="Times New Roman" w:eastAsia="FangSong_GB2312" w:cs="Times New Roman"/>
          <w:kern w:val="0"/>
          <w:szCs w:val="21"/>
        </w:rPr>
        <w:t xml:space="preserve">                                    </w:t>
      </w:r>
      <w:r>
        <w:rPr>
          <w:rFonts w:hint="eastAsia" w:ascii="Times New Roman" w:hAnsi="Times New Roman" w:eastAsia="FangSong_GB2312" w:cs="Times New Roman"/>
          <w:kern w:val="0"/>
          <w:szCs w:val="21"/>
        </w:rPr>
        <w:t xml:space="preserve">                              </w:t>
      </w:r>
      <w:r>
        <w:rPr>
          <w:rFonts w:ascii="Times New Roman" w:hAnsi="Times New Roman" w:eastAsia="宋体" w:cs="Times New Roman"/>
          <w:kern w:val="0"/>
          <w:szCs w:val="21"/>
        </w:rPr>
        <w:t>公开05表</w:t>
      </w:r>
    </w:p>
    <w:p>
      <w:pPr>
        <w:widowControl/>
        <w:spacing w:line="360" w:lineRule="exact"/>
        <w:ind w:firstLine="420" w:firstLineChars="200"/>
        <w:jc w:val="left"/>
        <w:rPr>
          <w:rFonts w:ascii="Times New Roman" w:hAnsi="Times New Roman" w:eastAsia="FangSong_GB2312" w:cs="Times New Roman"/>
          <w:kern w:val="0"/>
          <w:szCs w:val="21"/>
        </w:rPr>
      </w:pPr>
      <w:r>
        <w:rPr>
          <w:rFonts w:hint="eastAsia" w:ascii="Times New Roman" w:hAnsi="Times New Roman" w:eastAsia="宋体" w:cs="Times New Roman"/>
          <w:kern w:val="0"/>
          <w:szCs w:val="21"/>
        </w:rPr>
        <w:t xml:space="preserve">部门：浏阳市集里街道办事处  </w:t>
      </w:r>
      <w:r>
        <w:rPr>
          <w:rFonts w:hint="eastAsia" w:ascii="Times New Roman" w:hAnsi="Times New Roman" w:eastAsia="FangSong_GB2312" w:cs="Times New Roman"/>
          <w:kern w:val="0"/>
          <w:szCs w:val="21"/>
        </w:rPr>
        <w:t xml:space="preserve">                                                                                                    </w:t>
      </w:r>
      <w:r>
        <w:rPr>
          <w:rFonts w:hint="eastAsia" w:ascii="Times New Roman" w:hAnsi="Times New Roman" w:eastAsia="宋体" w:cs="Times New Roman"/>
          <w:kern w:val="0"/>
          <w:szCs w:val="21"/>
        </w:rPr>
        <w:t>单位：万元</w:t>
      </w:r>
    </w:p>
    <w:tbl>
      <w:tblPr>
        <w:tblStyle w:val="6"/>
        <w:tblW w:w="14903" w:type="dxa"/>
        <w:jc w:val="center"/>
        <w:tblLayout w:type="fixed"/>
        <w:tblCellMar>
          <w:top w:w="0" w:type="dxa"/>
          <w:left w:w="108" w:type="dxa"/>
          <w:bottom w:w="0" w:type="dxa"/>
          <w:right w:w="108" w:type="dxa"/>
        </w:tblCellMar>
      </w:tblPr>
      <w:tblGrid>
        <w:gridCol w:w="10"/>
        <w:gridCol w:w="1161"/>
        <w:gridCol w:w="4263"/>
        <w:gridCol w:w="2949"/>
        <w:gridCol w:w="2835"/>
        <w:gridCol w:w="2356"/>
        <w:gridCol w:w="1329"/>
      </w:tblGrid>
      <w:tr>
        <w:tblPrEx>
          <w:tblCellMar>
            <w:top w:w="0" w:type="dxa"/>
            <w:left w:w="108" w:type="dxa"/>
            <w:bottom w:w="0" w:type="dxa"/>
            <w:right w:w="108" w:type="dxa"/>
          </w:tblCellMar>
        </w:tblPrEx>
        <w:trPr>
          <w:gridBefore w:val="1"/>
          <w:wBefore w:w="10" w:type="dxa"/>
          <w:trHeight w:val="405" w:hRule="atLeast"/>
          <w:tblHeader/>
          <w:jc w:val="center"/>
        </w:trPr>
        <w:tc>
          <w:tcPr>
            <w:tcW w:w="5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w:t>
            </w:r>
          </w:p>
        </w:tc>
        <w:tc>
          <w:tcPr>
            <w:tcW w:w="946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本年支出</w:t>
            </w:r>
          </w:p>
        </w:tc>
      </w:tr>
      <w:tr>
        <w:tblPrEx>
          <w:tblCellMar>
            <w:top w:w="0" w:type="dxa"/>
            <w:left w:w="108" w:type="dxa"/>
            <w:bottom w:w="0" w:type="dxa"/>
            <w:right w:w="108" w:type="dxa"/>
          </w:tblCellMar>
        </w:tblPrEx>
        <w:trPr>
          <w:gridBefore w:val="1"/>
          <w:wBefore w:w="10" w:type="dxa"/>
          <w:trHeight w:val="780" w:hRule="atLeast"/>
          <w:tblHeader/>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功能分类科目编码</w:t>
            </w:r>
          </w:p>
        </w:tc>
        <w:tc>
          <w:tcPr>
            <w:tcW w:w="42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科目名称</w:t>
            </w:r>
          </w:p>
        </w:tc>
        <w:tc>
          <w:tcPr>
            <w:tcW w:w="294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小计</w:t>
            </w:r>
          </w:p>
        </w:tc>
        <w:tc>
          <w:tcPr>
            <w:tcW w:w="28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基本支出</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项目支出</w:t>
            </w:r>
          </w:p>
        </w:tc>
      </w:tr>
      <w:tr>
        <w:tblPrEx>
          <w:tblCellMar>
            <w:top w:w="0" w:type="dxa"/>
            <w:left w:w="108" w:type="dxa"/>
            <w:bottom w:w="0" w:type="dxa"/>
            <w:right w:w="108" w:type="dxa"/>
          </w:tblCellMar>
        </w:tblPrEx>
        <w:trPr>
          <w:gridBefore w:val="1"/>
          <w:wBefore w:w="10" w:type="dxa"/>
          <w:trHeight w:val="450" w:hRule="atLeast"/>
          <w:tblHeader/>
          <w:jc w:val="center"/>
        </w:trPr>
        <w:tc>
          <w:tcPr>
            <w:tcW w:w="5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栏次</w:t>
            </w:r>
          </w:p>
        </w:tc>
        <w:tc>
          <w:tcPr>
            <w:tcW w:w="294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8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r>
      <w:tr>
        <w:tblPrEx>
          <w:tblCellMar>
            <w:top w:w="0" w:type="dxa"/>
            <w:left w:w="108" w:type="dxa"/>
            <w:bottom w:w="0" w:type="dxa"/>
            <w:right w:w="108" w:type="dxa"/>
          </w:tblCellMar>
        </w:tblPrEx>
        <w:trPr>
          <w:gridBefore w:val="1"/>
          <w:wBefore w:w="10" w:type="dxa"/>
          <w:trHeight w:val="450" w:hRule="atLeast"/>
          <w:jc w:val="center"/>
        </w:trPr>
        <w:tc>
          <w:tcPr>
            <w:tcW w:w="5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9,985.73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2,815.23</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7,170.50</w:t>
            </w:r>
          </w:p>
        </w:tc>
      </w:tr>
      <w:tr>
        <w:tblPrEx>
          <w:tblCellMar>
            <w:top w:w="0" w:type="dxa"/>
            <w:left w:w="108" w:type="dxa"/>
            <w:bottom w:w="0" w:type="dxa"/>
            <w:right w:w="108" w:type="dxa"/>
          </w:tblCellMar>
        </w:tblPrEx>
        <w:trPr>
          <w:gridBefore w:val="1"/>
          <w:wBefore w:w="10" w:type="dxa"/>
          <w:trHeight w:val="300"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一般公共服务支出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3,414.40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1,088.21</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2,326.19</w:t>
            </w:r>
          </w:p>
        </w:tc>
      </w:tr>
      <w:tr>
        <w:tblPrEx>
          <w:tblCellMar>
            <w:top w:w="0" w:type="dxa"/>
            <w:left w:w="108" w:type="dxa"/>
            <w:bottom w:w="0" w:type="dxa"/>
            <w:right w:w="108" w:type="dxa"/>
          </w:tblCellMar>
        </w:tblPrEx>
        <w:trPr>
          <w:gridBefore w:val="1"/>
          <w:wBefore w:w="10" w:type="dxa"/>
          <w:trHeight w:val="300"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人大事务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15.73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13.97</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1.76</w:t>
            </w:r>
          </w:p>
        </w:tc>
      </w:tr>
      <w:tr>
        <w:tblPrEx>
          <w:tblCellMar>
            <w:top w:w="0" w:type="dxa"/>
            <w:left w:w="108" w:type="dxa"/>
            <w:bottom w:w="0" w:type="dxa"/>
            <w:right w:w="108" w:type="dxa"/>
          </w:tblCellMar>
        </w:tblPrEx>
        <w:trPr>
          <w:gridBefore w:val="1"/>
          <w:wBefore w:w="10" w:type="dxa"/>
          <w:trHeight w:val="300"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13.97</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gridBefore w:val="1"/>
          <w:wBefore w:w="10" w:type="dxa"/>
          <w:trHeight w:val="300"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1.70</w:t>
            </w:r>
          </w:p>
        </w:tc>
      </w:tr>
      <w:tr>
        <w:tblPrEx>
          <w:tblCellMar>
            <w:top w:w="0" w:type="dxa"/>
            <w:left w:w="108" w:type="dxa"/>
            <w:bottom w:w="0" w:type="dxa"/>
            <w:right w:w="108" w:type="dxa"/>
          </w:tblCellMar>
        </w:tblPrEx>
        <w:trPr>
          <w:gridBefore w:val="1"/>
          <w:wBefore w:w="10" w:type="dxa"/>
          <w:trHeight w:val="300"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2010108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代表工作</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0.06</w:t>
            </w:r>
          </w:p>
        </w:tc>
      </w:tr>
      <w:tr>
        <w:tblPrEx>
          <w:tblCellMar>
            <w:top w:w="0" w:type="dxa"/>
            <w:left w:w="108" w:type="dxa"/>
            <w:bottom w:w="0" w:type="dxa"/>
            <w:right w:w="108" w:type="dxa"/>
          </w:tblCellMar>
        </w:tblPrEx>
        <w:trPr>
          <w:gridBefore w:val="1"/>
          <w:wBefore w:w="10" w:type="dxa"/>
          <w:trHeight w:val="300"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政协事务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14.77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7.87</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r>
      <w:tr>
        <w:tblPrEx>
          <w:tblCellMar>
            <w:top w:w="0" w:type="dxa"/>
            <w:left w:w="108" w:type="dxa"/>
            <w:bottom w:w="0" w:type="dxa"/>
            <w:right w:w="108" w:type="dxa"/>
          </w:tblCellMar>
        </w:tblPrEx>
        <w:trPr>
          <w:gridBefore w:val="1"/>
          <w:wBefore w:w="10" w:type="dxa"/>
          <w:trHeight w:val="300"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7.87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7.87</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2010202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6.90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政府办公厅（室）及相关机构事务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2,816.77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810.49</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2,006.28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810.49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810.49</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1,895.13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1,895.13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机关服务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107.19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107.19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2010399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其他政府办公厅（室）及相关机构事务支出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发展与改革事务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2010499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其他发展与改革事务支出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统计信息事务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2010507</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专项普查活动</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12.19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财政事务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239.48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227.85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227.85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227.85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2010699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其他财政事务支出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11.63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20113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商贸事务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2011308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招商引资</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27.84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港澳台事务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2012502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档案事务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2012699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其他档案事务支出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群众团体事务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71.03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71.03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工会事务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48.87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48.87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2012999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其他群众团体事务支出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19.72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19.72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党委办公厅（室）及相关机构事务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49.51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28.03</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21.48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28.03</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2013105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专项业务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18.66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18.66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组织事务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57.66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57.66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51.78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51.78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2013299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其他组织事务支出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统战事务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2013402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59.78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其他共产党事务支出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2013699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其他共产党事务支出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市场监督管理事务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20.69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20.69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市场监督管理专项</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2013899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其他市场监督管理事务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15.65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国防支出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国防动员</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兵役征集</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人民防空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国防教育</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预备役部队</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2030607</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民兵</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公共安全支出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130.38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97.40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公安</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7.72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7.72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2040221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特别业务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34.99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34.99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国家安全</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2040399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其他国家安全支出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司法</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40.62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32.98</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2040604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基层司法业务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其他公共安全支出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2049901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其他公共安全支出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教育支出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普通教育</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146.62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初中教育</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2050299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其他普通教育支出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其他科学技术管理事务支出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技术研究与开发</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应用技术研究与开发</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2060499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其他技术研究与开发支出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科学技术普及</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科普活动</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2060799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其他科学技术普及支出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文化旅游体育与传媒支出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73.17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73.17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文化和旅游</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66.67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66.67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2070109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群众文化</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其他文化和旅游支出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广播电视</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2070804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广播</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其他文化体育与传媒支出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2079999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其他文化体育与传媒支出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社会保障和就业支出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846.78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399.16</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447.62</w:t>
            </w:r>
          </w:p>
        </w:tc>
      </w:tr>
      <w:tr>
        <w:tblPrEx>
          <w:tblCellMar>
            <w:top w:w="0" w:type="dxa"/>
            <w:left w:w="108" w:type="dxa"/>
            <w:bottom w:w="0" w:type="dxa"/>
            <w:right w:w="108" w:type="dxa"/>
          </w:tblCellMar>
        </w:tblPrEx>
        <w:trPr>
          <w:gridBefore w:val="1"/>
          <w:wBefore w:w="10" w:type="dxa"/>
          <w:trHeight w:val="34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人力资源和社会保障管理事务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322.16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285.12</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37.04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一般行政管理事务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2080109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社会保险经办机构</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314.56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285.12</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29.44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其他人力资源和社会保障管理事务支出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民政管理事务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2080299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其他民政管理事务支出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行政事业单位离退休</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173.08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114.04</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59.04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归口管理的行政单位离退休</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66.54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66.45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事业单位离退休</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34.38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33.69</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0.69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机关事业单位职业年金缴费支出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13.90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2080599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其他行政事业单位离退休支出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58.26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58.26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抚恤</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2080899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其他优抚支出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252.70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退役安置</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2080905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军队转业干部安置</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社会福利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老年福利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2081099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其他社会福利支出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残疾人事业</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19.39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19.39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残疾人就业和扶贫</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残疾人体育</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其他残疾人事业支出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16.39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16.39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最低生活保障</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2081902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农村最低生活保障金支出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8.85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20820</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临时救助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16.66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16.66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2082001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临时救助支出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16.66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16.66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特困人员救助供养</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2082102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农村特困人员救助供养支出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34.17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退役军人管理事务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2082899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其他退役军人事务管理支出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卫生健康支出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239.72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175.79</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63.93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计划生育事务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218.46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175.79</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2100717</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计划生育服务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26.12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26.12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2100799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其他计划生育事务支出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192.34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175.79</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16.55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行政事业单位医疗</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2101101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行政单位医疗</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医疗救助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2101399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其他医疗救助支出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5.64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其他卫生健康支出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2109901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其他卫生健康支出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节能环保支出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239.16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239.16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环境保护管理事务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生态环境保护宣传</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其他环境保护管理事务支出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0.84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0.84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污染防治</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2110399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其他污染防治支出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自然生态保护</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201.97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201.97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2110402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农村环境保护</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201.97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201.97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21110</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能源节约利用</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2111001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能源节约利用</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1,249.81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267.65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982.16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354.61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267.65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86.96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行政运行</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297.84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267.65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30.19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城管执法</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38.99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38.99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其他城乡社区管理事务支出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17.78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17.78</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城乡社区公共设施</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163.65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163.65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小城镇基础设施建设</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11.71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11.71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2120399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其他城乡社区公共设施支出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151.94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151.94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城乡社区环境卫生</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175.83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175.83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2120501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城乡社区环境卫生</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175.83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175.83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其他城乡社区支出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2129901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其他城乡社区支出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农林水支出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2,449.18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534.96</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1,914.22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农业</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710.80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447.14</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263.66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事业运行</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499.47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447.14</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52.33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病虫害控制</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13.26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2130119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防灾救灾</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2130124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农业组织化与产业化经营</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2130126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农村公益事业</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26.53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26.53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2130142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农村道路建设</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34.00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其他农业支出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114.54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114.54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林业和草原</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159.63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87.82</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71.81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事业机构</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103.72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87.82</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15.90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森林培育</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2130207</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森林资源管理</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2130209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森林生态效益补偿</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6.21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2130234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防灾减灾</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28.50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2130299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其他林业和草原支出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水利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392.04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392.04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水利工程建设</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水利工程运行与维护</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2130314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防汛</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2130316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农田水利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43.55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43.55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2130335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农村人畜饮水</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4.12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2130399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其他水利支出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283.32</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283.32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扶贫</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2130599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其他扶贫支出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79.71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农村综合改革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1,105.21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1,105.21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对村级一事一议的补助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对村民委员会和村党支部的补助</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1,066.01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1,066.01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2130799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其他农村综合改革支出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37.20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37.20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普惠金融发展支出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2130899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其他普惠金融发展支出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其他农林水支出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2139999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其他农林水支出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0.50</w:t>
            </w:r>
          </w:p>
        </w:tc>
      </w:tr>
      <w:tr>
        <w:tblPrEx>
          <w:tblCellMar>
            <w:top w:w="0" w:type="dxa"/>
            <w:left w:w="108" w:type="dxa"/>
            <w:bottom w:w="0" w:type="dxa"/>
            <w:right w:w="108" w:type="dxa"/>
          </w:tblCellMar>
        </w:tblPrEx>
        <w:trPr>
          <w:gridBefore w:val="1"/>
          <w:wBefore w:w="10" w:type="dxa"/>
          <w:trHeight w:val="270"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交通运输支出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232.97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232.97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公路水路运输</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232.34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232.34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公路建设</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64.30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64.30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公路养护</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111.45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111.45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2140112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公路运输管理</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其他公路水路运输支出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54.59</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54.59</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成品油价格改革对交通运输的补贴</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0.63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0.63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对农村道路客运的补贴</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0.27</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0.27</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2140499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成品油价格改革补贴其他支出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资源勘探信息等支出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93.64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93.64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制造业</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2150299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其他制造业支出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42.64</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支持中小企业发展和管理支出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2150805</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中小企业发展专项</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其他资源勘探信息等支出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2159999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其他资源勘探信息等支出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商业服务业等支出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商业流通事务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2160299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其他商业流通事务支出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涉外发展服务支出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2160699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其他涉外发展服务支出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自然资源海洋气象等支出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自然资源事务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19.15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2200110</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国土整治</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2200199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其他自然资源事务支出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14.15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14.15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住房保障支出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保障性安居工程支出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326.51</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公共租赁住房</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35.05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35.05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2210199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其他保障性安居工程支出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291.46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291.46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灾害防治及应急管理支出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456.84</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316.48</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140.36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应急管理事务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438.98</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316.48</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122.50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2240104</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灾害风险防治</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42.75</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42.75</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安全监管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386.90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316.48</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70.42</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2240108</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应急救援</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2240199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其他应急管理支出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4.33</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4.33</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22402</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消防事务</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2240299</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其他消防事务支出</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5.16</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22406</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自然灾害防治</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r>
      <w:tr>
        <w:tblPrEx>
          <w:tblCellMar>
            <w:top w:w="0" w:type="dxa"/>
            <w:left w:w="108" w:type="dxa"/>
            <w:bottom w:w="0" w:type="dxa"/>
            <w:right w:w="108" w:type="dxa"/>
          </w:tblCellMar>
        </w:tblPrEx>
        <w:trPr>
          <w:gridBefore w:val="1"/>
          <w:wBefore w:w="10" w:type="dxa"/>
          <w:trHeight w:val="285" w:hRule="atLeast"/>
          <w:jc w:val="center"/>
        </w:trPr>
        <w:tc>
          <w:tcPr>
            <w:tcW w:w="116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2240601</w:t>
            </w:r>
          </w:p>
        </w:tc>
        <w:tc>
          <w:tcPr>
            <w:tcW w:w="42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地质灾害防治</w:t>
            </w:r>
          </w:p>
        </w:tc>
        <w:tc>
          <w:tcPr>
            <w:tcW w:w="29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c>
          <w:tcPr>
            <w:tcW w:w="28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12.70</w:t>
            </w:r>
          </w:p>
        </w:tc>
      </w:tr>
      <w:tr>
        <w:tblPrEx>
          <w:tblCellMar>
            <w:top w:w="0" w:type="dxa"/>
            <w:left w:w="108" w:type="dxa"/>
            <w:bottom w:w="0" w:type="dxa"/>
            <w:right w:w="108" w:type="dxa"/>
          </w:tblCellMar>
        </w:tblPrEx>
        <w:trPr>
          <w:gridAfter w:val="1"/>
          <w:wAfter w:w="1329" w:type="dxa"/>
          <w:trHeight w:val="645" w:hRule="atLeast"/>
          <w:jc w:val="center"/>
        </w:trPr>
        <w:tc>
          <w:tcPr>
            <w:tcW w:w="13574" w:type="dxa"/>
            <w:gridSpan w:val="6"/>
            <w:tcBorders>
              <w:top w:val="nil"/>
              <w:left w:val="nil"/>
              <w:bottom w:val="nil"/>
              <w:right w:val="nil"/>
            </w:tcBorders>
            <w:shd w:val="clear" w:color="auto" w:fill="auto"/>
            <w:vAlign w:val="center"/>
          </w:tcPr>
          <w:p>
            <w:pPr>
              <w:kinsoku w:val="0"/>
              <w:overflowPunct w:val="0"/>
              <w:spacing w:line="267" w:lineRule="exact"/>
              <w:rPr>
                <w:rFonts w:cs="宋体" w:asciiTheme="minorEastAsia" w:hAnsiTheme="minorEastAsia"/>
                <w:kern w:val="0"/>
                <w:sz w:val="22"/>
              </w:rPr>
            </w:pPr>
            <w:r>
              <w:rPr>
                <w:rFonts w:cs="宋体" w:asciiTheme="minorEastAsia" w:hAnsiTheme="minorEastAsia"/>
                <w:kern w:val="0"/>
                <w:sz w:val="22"/>
              </w:rPr>
              <w:t>注：本表反映部门本年度一般公共预算财政拨款支出情况。</w:t>
            </w:r>
            <w:r>
              <w:rPr>
                <w:rFonts w:hint="eastAsia" w:cs="宋体" w:asciiTheme="minorEastAsia" w:hAnsiTheme="minorEastAsia"/>
                <w:kern w:val="0"/>
                <w:sz w:val="22"/>
              </w:rPr>
              <w:t>本表金额转换为万元时，因四舍五入可能存在尾差。</w:t>
            </w:r>
          </w:p>
          <w:p>
            <w:pPr>
              <w:widowControl/>
              <w:jc w:val="left"/>
              <w:rPr>
                <w:rFonts w:cs="宋体" w:asciiTheme="minorEastAsia" w:hAnsiTheme="minorEastAsia"/>
                <w:kern w:val="0"/>
                <w:sz w:val="22"/>
              </w:rPr>
            </w:pPr>
          </w:p>
          <w:p>
            <w:pPr>
              <w:widowControl/>
              <w:jc w:val="left"/>
              <w:rPr>
                <w:rFonts w:ascii="Times New Roman" w:hAnsi="Times New Roman" w:eastAsia="FangSong_GB2312" w:cs="Times New Roman"/>
                <w:kern w:val="0"/>
                <w:szCs w:val="21"/>
              </w:rPr>
            </w:pPr>
          </w:p>
        </w:tc>
      </w:tr>
    </w:tbl>
    <w:p>
      <w:pPr>
        <w:widowControl/>
        <w:jc w:val="left"/>
        <w:rPr>
          <w:rFonts w:ascii="Times New Roman" w:hAnsi="Times New Roman" w:eastAsia="FangSong_GB2312" w:cs="Times New Roman"/>
          <w:bCs/>
          <w:kern w:val="0"/>
          <w:szCs w:val="21"/>
        </w:rPr>
      </w:pPr>
    </w:p>
    <w:p>
      <w:pPr>
        <w:widowControl/>
        <w:jc w:val="left"/>
        <w:rPr>
          <w:rFonts w:ascii="Times New Roman" w:hAnsi="Times New Roman" w:eastAsia="FangSong_GB2312" w:cs="Times New Roman"/>
          <w:bCs/>
          <w:kern w:val="0"/>
          <w:szCs w:val="21"/>
        </w:rPr>
      </w:pPr>
      <w:r>
        <w:rPr>
          <w:rFonts w:ascii="Times New Roman" w:hAnsi="Times New Roman" w:eastAsia="FangSong_GB2312" w:cs="Times New Roman"/>
          <w:bCs/>
          <w:kern w:val="0"/>
          <w:szCs w:val="21"/>
        </w:rPr>
        <w:br w:type="page"/>
      </w:r>
    </w:p>
    <w:p>
      <w:pPr>
        <w:widowControl/>
        <w:ind w:left="93"/>
        <w:jc w:val="center"/>
        <w:rPr>
          <w:rFonts w:ascii="Times New Roman" w:hAnsi="Times New Roman" w:eastAsia="方正小标宋_GBK" w:cs="Times New Roman"/>
          <w:kern w:val="0"/>
          <w:sz w:val="36"/>
          <w:szCs w:val="21"/>
        </w:rPr>
      </w:pPr>
      <w:bookmarkStart w:id="1" w:name="RANGE!A1:I39"/>
      <w:r>
        <w:rPr>
          <w:rFonts w:ascii="Times New Roman" w:hAnsi="Times New Roman" w:eastAsia="方正小标宋_GBK" w:cs="Times New Roman"/>
          <w:kern w:val="0"/>
          <w:sz w:val="36"/>
          <w:szCs w:val="21"/>
        </w:rPr>
        <w:t>一般公共预算财政拨款基本支出决算表</w:t>
      </w:r>
      <w:bookmarkEnd w:id="1"/>
    </w:p>
    <w:p>
      <w:pPr>
        <w:widowControl/>
        <w:jc w:val="right"/>
        <w:rPr>
          <w:rFonts w:ascii="宋体" w:hAnsi="宋体" w:eastAsia="宋体" w:cs="宋体"/>
          <w:kern w:val="0"/>
          <w:sz w:val="20"/>
          <w:szCs w:val="20"/>
        </w:rPr>
      </w:pPr>
      <w:r>
        <w:rPr>
          <w:rFonts w:hint="eastAsia" w:ascii="宋体" w:hAnsi="宋体" w:eastAsia="宋体" w:cs="宋体"/>
          <w:kern w:val="0"/>
          <w:sz w:val="20"/>
          <w:szCs w:val="20"/>
        </w:rPr>
        <w:t>公开06表</w:t>
      </w:r>
    </w:p>
    <w:p>
      <w:pPr>
        <w:widowControl/>
        <w:jc w:val="center"/>
        <w:rPr>
          <w:rFonts w:ascii="Times New Roman" w:hAnsi="Times New Roman" w:eastAsia="方正小标宋_GBK" w:cs="Times New Roman"/>
          <w:kern w:val="0"/>
          <w:sz w:val="20"/>
          <w:szCs w:val="20"/>
        </w:rPr>
      </w:pPr>
      <w:r>
        <w:rPr>
          <w:rFonts w:hint="eastAsia" w:ascii="宋体" w:hAnsi="宋体" w:eastAsia="宋体" w:cs="宋体"/>
          <w:kern w:val="0"/>
          <w:sz w:val="20"/>
          <w:szCs w:val="20"/>
        </w:rPr>
        <w:t xml:space="preserve">  部门：浏阳市集里街道办事处                                                                                                              单位：万元</w:t>
      </w:r>
    </w:p>
    <w:tbl>
      <w:tblPr>
        <w:tblStyle w:val="6"/>
        <w:tblW w:w="15519" w:type="dxa"/>
        <w:tblInd w:w="95" w:type="dxa"/>
        <w:tblLayout w:type="fixed"/>
        <w:tblCellMar>
          <w:top w:w="0" w:type="dxa"/>
          <w:left w:w="108" w:type="dxa"/>
          <w:bottom w:w="0" w:type="dxa"/>
          <w:right w:w="108" w:type="dxa"/>
        </w:tblCellMar>
      </w:tblPr>
      <w:tblGrid>
        <w:gridCol w:w="1147"/>
        <w:gridCol w:w="3261"/>
        <w:gridCol w:w="1311"/>
        <w:gridCol w:w="1240"/>
        <w:gridCol w:w="2552"/>
        <w:gridCol w:w="992"/>
        <w:gridCol w:w="992"/>
        <w:gridCol w:w="2751"/>
        <w:gridCol w:w="1273"/>
      </w:tblGrid>
      <w:tr>
        <w:tblPrEx>
          <w:tblCellMar>
            <w:top w:w="0" w:type="dxa"/>
            <w:left w:w="108" w:type="dxa"/>
            <w:bottom w:w="0" w:type="dxa"/>
            <w:right w:w="108" w:type="dxa"/>
          </w:tblCellMar>
        </w:tblPrEx>
        <w:trPr>
          <w:trHeight w:val="615" w:hRule="atLeast"/>
          <w:tblHeader/>
        </w:trPr>
        <w:tc>
          <w:tcPr>
            <w:tcW w:w="5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人员经费</w:t>
            </w:r>
          </w:p>
        </w:tc>
        <w:tc>
          <w:tcPr>
            <w:tcW w:w="980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公用经费</w:t>
            </w:r>
          </w:p>
        </w:tc>
      </w:tr>
      <w:tr>
        <w:tblPrEx>
          <w:tblCellMar>
            <w:top w:w="0" w:type="dxa"/>
            <w:left w:w="108" w:type="dxa"/>
            <w:bottom w:w="0" w:type="dxa"/>
            <w:right w:w="108" w:type="dxa"/>
          </w:tblCellMar>
        </w:tblPrEx>
        <w:trPr>
          <w:trHeight w:val="615" w:hRule="atLeast"/>
          <w:tblHeader/>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科目编码</w:t>
            </w:r>
          </w:p>
        </w:tc>
        <w:tc>
          <w:tcPr>
            <w:tcW w:w="32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科目名称</w:t>
            </w:r>
          </w:p>
        </w:tc>
        <w:tc>
          <w:tcPr>
            <w:tcW w:w="13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决算数</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科目编码</w:t>
            </w:r>
          </w:p>
        </w:tc>
        <w:tc>
          <w:tcPr>
            <w:tcW w:w="25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科目名称</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决算数</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科目编码</w:t>
            </w:r>
          </w:p>
        </w:tc>
        <w:tc>
          <w:tcPr>
            <w:tcW w:w="27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科目名称</w:t>
            </w:r>
          </w:p>
        </w:tc>
        <w:tc>
          <w:tcPr>
            <w:tcW w:w="12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决算数</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工资福利支出</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2,603.51</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商品和服务支出</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105.16</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307</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债务利息及费用支出</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30101</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基本工资</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677.52</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30201</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办公费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5.28</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30701</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国内债务付息</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30102</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津贴补贴</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555.75</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30202</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印刷费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5.04</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30702</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国外债务付息</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30103</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奖金</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820.63</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30203</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咨询费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资本性支出</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30106</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伙食补助费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30204</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手续费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31001</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房屋建筑物购建</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30107</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绩效工资</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30205</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水费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1.55</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31002</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办公设备购置</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30108</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机关事业单位基本养老保险缴费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198.88</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30206</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电费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14.27</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31003</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专用设备购置</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30109</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职业年金缴费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45.48</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30207</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邮电费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0.31</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31005</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基础设施建设</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30110</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职工基本医疗保险缴费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90.51</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30208</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取暖费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31006</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大型修缮</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30111</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公务员医疗补助缴费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22.33</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30209</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物业管理费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31007</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信息网络及软件购置更新</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30112</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其他社会保障缴费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16.59</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30211</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差旅费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31008</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物资储备</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30113</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住房公积金</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142.80</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30212</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因公出国（境）费用</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31009</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土地补偿</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30114</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医疗费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30213</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维修（护）费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31010</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安置补助</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30199</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其他工资福利支出</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33.02</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30214</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租赁费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31011</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地上附着物和青苗补偿</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对个人和家庭的补助</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106.56</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30215</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会议费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31012</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拆迁补偿</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30301</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离休费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30216</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培训费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31013</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公务用车购置</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30302</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退休费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72.70</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30217</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公务接待费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31019</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其他交通工具购置</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30303</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退职（役）费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30218</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专用材料费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6.73</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31021</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文物和陈列品购置</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30304</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抚恤金</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14.72</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30224</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被装购置费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31022</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无形资产购置</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30305</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生活补助</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15.46</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30225</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专用燃料费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31099</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其他资本性支出</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30306</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救济费</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30226</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劳务费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30.94</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399</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其他支出</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30307</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医疗费补助</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0.07</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30227</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委托业务费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39906</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赠与</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30308</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助学金</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30228</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工会经费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23.61</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39907</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国家赔偿费用支出</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30309</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奖励金</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1.26</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30229</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福利费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39908</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对民间非营利组织和群众性自治组织补贴</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30310</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个人农业生产补贴</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30231</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公务用车运行维护费</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39999</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其他支出</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30399</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其他对个人和家庭的补助</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2.35</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30239</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其他交通费用</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0.20</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30240</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税金及附加费用</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2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30299</w:t>
            </w:r>
          </w:p>
        </w:tc>
        <w:tc>
          <w:tcPr>
            <w:tcW w:w="255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其他商品和服务支出</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17.23</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7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人员经费合计</w:t>
            </w:r>
          </w:p>
        </w:tc>
        <w:tc>
          <w:tcPr>
            <w:tcW w:w="32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2,710.07</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公用经费合计</w:t>
            </w:r>
          </w:p>
        </w:tc>
        <w:tc>
          <w:tcPr>
            <w:tcW w:w="25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7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105.16</w:t>
            </w:r>
          </w:p>
        </w:tc>
      </w:tr>
      <w:tr>
        <w:tblPrEx>
          <w:tblCellMar>
            <w:top w:w="0" w:type="dxa"/>
            <w:left w:w="108" w:type="dxa"/>
            <w:bottom w:w="0" w:type="dxa"/>
            <w:right w:w="108" w:type="dxa"/>
          </w:tblCellMar>
        </w:tblPrEx>
        <w:trPr>
          <w:trHeight w:val="405" w:hRule="atLeast"/>
        </w:trPr>
        <w:tc>
          <w:tcPr>
            <w:tcW w:w="15519" w:type="dxa"/>
            <w:gridSpan w:val="9"/>
            <w:tcBorders>
              <w:top w:val="nil"/>
              <w:left w:val="nil"/>
              <w:bottom w:val="nil"/>
              <w:right w:val="nil"/>
            </w:tcBorders>
            <w:shd w:val="clear" w:color="auto" w:fill="auto"/>
            <w:vAlign w:val="center"/>
          </w:tcPr>
          <w:p>
            <w:pPr>
              <w:kinsoku w:val="0"/>
              <w:overflowPunct w:val="0"/>
              <w:spacing w:line="267" w:lineRule="exact"/>
              <w:ind w:firstLine="440" w:firstLineChars="200"/>
              <w:rPr>
                <w:rFonts w:cs="宋体" w:asciiTheme="minorEastAsia" w:hAnsiTheme="minorEastAsia"/>
                <w:kern w:val="0"/>
                <w:sz w:val="22"/>
              </w:rPr>
            </w:pPr>
            <w:r>
              <w:rPr>
                <w:rFonts w:hint="eastAsia" w:cs="宋体" w:asciiTheme="minorEastAsia" w:hAnsiTheme="minorEastAsia"/>
                <w:kern w:val="0"/>
                <w:sz w:val="22"/>
              </w:rPr>
              <w:t>注：本表反映部门本年度一般公共预算财政拨款基本支出明细情况。本表金额转换为万元时，因四舍五入可能存在尾差。</w:t>
            </w:r>
          </w:p>
          <w:p>
            <w:pPr>
              <w:autoSpaceDE w:val="0"/>
              <w:autoSpaceDN w:val="0"/>
              <w:adjustRightInd w:val="0"/>
              <w:ind w:left="315" w:leftChars="150"/>
              <w:jc w:val="left"/>
              <w:rPr>
                <w:rFonts w:cs="宋体" w:asciiTheme="minorEastAsia" w:hAnsiTheme="minorEastAsia"/>
                <w:kern w:val="0"/>
                <w:sz w:val="22"/>
              </w:rPr>
            </w:pPr>
          </w:p>
          <w:p>
            <w:pPr>
              <w:widowControl/>
              <w:jc w:val="left"/>
              <w:rPr>
                <w:rFonts w:ascii="宋体" w:hAnsi="宋体" w:eastAsia="宋体" w:cs="宋体"/>
                <w:kern w:val="0"/>
                <w:sz w:val="22"/>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ind w:left="93"/>
        <w:jc w:val="center"/>
        <w:rPr>
          <w:rFonts w:ascii="Times New Roman" w:hAnsi="Times New Roman" w:eastAsia="方正小标宋_GBK" w:cs="Times New Roman"/>
          <w:kern w:val="0"/>
          <w:sz w:val="36"/>
          <w:szCs w:val="21"/>
        </w:rPr>
      </w:pPr>
      <w:r>
        <w:rPr>
          <w:rFonts w:hint="eastAsia" w:ascii="Times New Roman" w:hAnsi="Times New Roman" w:eastAsia="方正小标宋_GBK" w:cs="Times New Roman"/>
          <w:kern w:val="0"/>
          <w:sz w:val="36"/>
          <w:szCs w:val="21"/>
        </w:rPr>
        <w:t>一般公共预算财政拨款“三公”经费支出决算表</w:t>
      </w:r>
    </w:p>
    <w:p>
      <w:pPr>
        <w:widowControl/>
        <w:spacing w:line="360" w:lineRule="exact"/>
        <w:ind w:firstLine="440" w:firstLineChars="200"/>
        <w:jc w:val="left"/>
        <w:rPr>
          <w:rFonts w:cs="Times New Roman" w:asciiTheme="minorEastAsia" w:hAnsiTheme="minorEastAsia"/>
          <w:kern w:val="0"/>
          <w:sz w:val="22"/>
        </w:rPr>
      </w:pPr>
      <w:r>
        <w:rPr>
          <w:rFonts w:cs="Times New Roman" w:asciiTheme="minorEastAsia" w:hAnsiTheme="minorEastAsia"/>
          <w:kern w:val="0"/>
          <w:sz w:val="22"/>
        </w:rPr>
        <w:t xml:space="preserve">                                                                                             </w:t>
      </w:r>
      <w:r>
        <w:rPr>
          <w:rFonts w:hint="eastAsia" w:cs="Times New Roman" w:asciiTheme="minorEastAsia" w:hAnsiTheme="minorEastAsia"/>
          <w:kern w:val="0"/>
          <w:sz w:val="22"/>
        </w:rPr>
        <w:t xml:space="preserve">                    </w:t>
      </w:r>
      <w:r>
        <w:rPr>
          <w:rFonts w:cs="Times New Roman" w:asciiTheme="minorEastAsia" w:hAnsiTheme="minorEastAsia"/>
          <w:kern w:val="0"/>
          <w:sz w:val="22"/>
        </w:rPr>
        <w:t xml:space="preserve">  </w:t>
      </w:r>
      <w:r>
        <w:rPr>
          <w:rFonts w:hint="eastAsia" w:cs="Times New Roman" w:asciiTheme="minorEastAsia" w:hAnsiTheme="minorEastAsia"/>
          <w:kern w:val="0"/>
          <w:sz w:val="22"/>
        </w:rPr>
        <w:t xml:space="preserve">      </w:t>
      </w:r>
      <w:r>
        <w:rPr>
          <w:rFonts w:cs="Times New Roman" w:asciiTheme="minorEastAsia" w:hAnsiTheme="minorEastAsia"/>
          <w:kern w:val="0"/>
          <w:sz w:val="22"/>
        </w:rPr>
        <w:t>公开0</w:t>
      </w:r>
      <w:r>
        <w:rPr>
          <w:rFonts w:hint="eastAsia" w:cs="Times New Roman" w:asciiTheme="minorEastAsia" w:hAnsiTheme="minorEastAsia"/>
          <w:kern w:val="0"/>
          <w:sz w:val="22"/>
        </w:rPr>
        <w:t>7</w:t>
      </w:r>
      <w:r>
        <w:rPr>
          <w:rFonts w:cs="Times New Roman" w:asciiTheme="minorEastAsia" w:hAnsiTheme="minorEastAsia"/>
          <w:kern w:val="0"/>
          <w:sz w:val="22"/>
        </w:rPr>
        <w:t>表</w:t>
      </w:r>
    </w:p>
    <w:p>
      <w:pPr>
        <w:widowControl/>
        <w:spacing w:line="360" w:lineRule="exact"/>
        <w:ind w:right="372" w:firstLine="660" w:firstLineChars="300"/>
        <w:rPr>
          <w:rFonts w:cs="Times New Roman" w:asciiTheme="minorEastAsia" w:hAnsiTheme="minorEastAsia"/>
          <w:kern w:val="0"/>
          <w:sz w:val="22"/>
        </w:rPr>
      </w:pPr>
      <w:r>
        <w:rPr>
          <w:rFonts w:cs="Times New Roman" w:asciiTheme="minorEastAsia" w:hAnsiTheme="minorEastAsia"/>
          <w:kern w:val="0"/>
          <w:sz w:val="22"/>
        </w:rPr>
        <w:t>部门：</w:t>
      </w:r>
      <w:r>
        <w:rPr>
          <w:rFonts w:hint="eastAsia" w:cs="宋体" w:asciiTheme="minorEastAsia" w:hAnsiTheme="minorEastAsia"/>
          <w:kern w:val="0"/>
          <w:sz w:val="22"/>
        </w:rPr>
        <w:t>浏阳市集里街道办事处</w:t>
      </w:r>
      <w:r>
        <w:rPr>
          <w:rFonts w:cs="Times New Roman" w:asciiTheme="minorEastAsia" w:hAnsiTheme="minorEastAsia"/>
          <w:kern w:val="0"/>
          <w:sz w:val="22"/>
        </w:rPr>
        <w:t xml:space="preserve">  </w:t>
      </w:r>
      <w:r>
        <w:rPr>
          <w:rFonts w:hint="eastAsia" w:cs="Times New Roman" w:asciiTheme="minorEastAsia" w:hAnsiTheme="minorEastAsia"/>
          <w:kern w:val="0"/>
          <w:sz w:val="22"/>
        </w:rPr>
        <w:t xml:space="preserve">                                                                                           </w:t>
      </w:r>
      <w:r>
        <w:rPr>
          <w:rFonts w:cs="Times New Roman" w:asciiTheme="minorEastAsia" w:hAnsiTheme="minorEastAsia"/>
          <w:kern w:val="0"/>
          <w:sz w:val="22"/>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公务</w:t>
            </w:r>
          </w:p>
          <w:p>
            <w:pPr>
              <w:widowControl/>
              <w:jc w:val="center"/>
              <w:rPr>
                <w:rFonts w:cs="Times New Roman" w:asciiTheme="minorEastAsia" w:hAnsiTheme="minorEastAsia"/>
                <w:kern w:val="0"/>
                <w:sz w:val="22"/>
              </w:rPr>
            </w:pPr>
            <w:r>
              <w:rPr>
                <w:rFonts w:cs="Times New Roman" w:asciiTheme="minorEastAsia" w:hAnsiTheme="minorEastAsia"/>
                <w:kern w:val="0"/>
                <w:sz w:val="22"/>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公务</w:t>
            </w:r>
          </w:p>
          <w:p>
            <w:pPr>
              <w:widowControl/>
              <w:jc w:val="center"/>
              <w:rPr>
                <w:rFonts w:cs="Times New Roman" w:asciiTheme="minorEastAsia" w:hAnsiTheme="minorEastAsia"/>
                <w:kern w:val="0"/>
                <w:sz w:val="22"/>
              </w:rPr>
            </w:pPr>
            <w:r>
              <w:rPr>
                <w:rFonts w:cs="Times New Roman" w:asciiTheme="minorEastAsia" w:hAnsiTheme="minorEastAsia"/>
                <w:kern w:val="0"/>
                <w:sz w:val="22"/>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cs="Times New Roman" w:asciiTheme="minorEastAsia" w:hAnsiTheme="minorEastAsia"/>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cs="Times New Roman" w:asciiTheme="minorEastAsia" w:hAnsiTheme="minorEastAsia" w:eastAsiaTheme="minorEastAsia"/>
                <w:kern w:val="0"/>
                <w:sz w:val="22"/>
                <w:lang w:eastAsia="zh-CN"/>
              </w:rPr>
            </w:pPr>
            <w:r>
              <w:rPr>
                <w:rFonts w:cs="Times New Roman" w:asciiTheme="minorEastAsia" w:hAnsiTheme="minorEastAsia"/>
                <w:kern w:val="0"/>
                <w:sz w:val="22"/>
              </w:rPr>
              <w:t>公务用车</w:t>
            </w:r>
          </w:p>
          <w:p>
            <w:pPr>
              <w:widowControl/>
              <w:jc w:val="center"/>
              <w:rPr>
                <w:rFonts w:cs="Times New Roman" w:asciiTheme="minorEastAsia" w:hAnsiTheme="minorEastAsia"/>
                <w:kern w:val="0"/>
                <w:sz w:val="22"/>
              </w:rPr>
            </w:pPr>
            <w:r>
              <w:rPr>
                <w:rFonts w:cs="Times New Roman" w:asciiTheme="minorEastAsia" w:hAnsiTheme="minorEastAsia"/>
                <w:kern w:val="0"/>
                <w:sz w:val="22"/>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cs="Times New Roman" w:asciiTheme="minorEastAsia" w:hAnsiTheme="minorEastAsia" w:eastAsiaTheme="minorEastAsia"/>
                <w:kern w:val="0"/>
                <w:sz w:val="22"/>
                <w:lang w:eastAsia="zh-CN"/>
              </w:rPr>
            </w:pPr>
            <w:r>
              <w:rPr>
                <w:rFonts w:cs="Times New Roman" w:asciiTheme="minorEastAsia" w:hAnsiTheme="minorEastAsia"/>
                <w:kern w:val="0"/>
                <w:sz w:val="22"/>
              </w:rPr>
              <w:t>公务用车</w:t>
            </w:r>
          </w:p>
          <w:p>
            <w:pPr>
              <w:widowControl/>
              <w:jc w:val="center"/>
              <w:rPr>
                <w:rFonts w:cs="Times New Roman" w:asciiTheme="minorEastAsia" w:hAnsiTheme="minorEastAsia"/>
                <w:kern w:val="0"/>
                <w:sz w:val="22"/>
              </w:rPr>
            </w:pPr>
            <w:r>
              <w:rPr>
                <w:rFonts w:cs="Times New Roman" w:asciiTheme="minorEastAsia" w:hAnsiTheme="minorEastAsia"/>
                <w:kern w:val="0"/>
                <w:sz w:val="22"/>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sz w:val="22"/>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cs="Times New Roman" w:asciiTheme="minorEastAsia" w:hAnsiTheme="minorEastAsia"/>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cs="Times New Roman" w:asciiTheme="minorEastAsia" w:hAnsiTheme="minorEastAsia" w:eastAsiaTheme="minorEastAsia"/>
                <w:kern w:val="0"/>
                <w:sz w:val="22"/>
                <w:lang w:eastAsia="zh-CN"/>
              </w:rPr>
            </w:pPr>
            <w:r>
              <w:rPr>
                <w:rFonts w:cs="Times New Roman" w:asciiTheme="minorEastAsia" w:hAnsiTheme="minorEastAsia"/>
                <w:kern w:val="0"/>
                <w:sz w:val="22"/>
              </w:rPr>
              <w:t>公务用车</w:t>
            </w:r>
          </w:p>
          <w:p>
            <w:pPr>
              <w:widowControl/>
              <w:jc w:val="center"/>
              <w:rPr>
                <w:rFonts w:cs="Times New Roman" w:asciiTheme="minorEastAsia" w:hAnsiTheme="minorEastAsia"/>
                <w:kern w:val="0"/>
                <w:sz w:val="22"/>
              </w:rPr>
            </w:pPr>
            <w:r>
              <w:rPr>
                <w:rFonts w:cs="Times New Roman" w:asciiTheme="minorEastAsia" w:hAnsiTheme="minorEastAsia"/>
                <w:kern w:val="0"/>
                <w:sz w:val="22"/>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cs="Times New Roman" w:asciiTheme="minorEastAsia" w:hAnsiTheme="minorEastAsia" w:eastAsiaTheme="minorEastAsia"/>
                <w:kern w:val="0"/>
                <w:sz w:val="22"/>
                <w:lang w:eastAsia="zh-CN"/>
              </w:rPr>
            </w:pPr>
            <w:r>
              <w:rPr>
                <w:rFonts w:cs="Times New Roman" w:asciiTheme="minorEastAsia" w:hAnsiTheme="minorEastAsia"/>
                <w:kern w:val="0"/>
                <w:sz w:val="22"/>
              </w:rPr>
              <w:t>公务用车</w:t>
            </w:r>
          </w:p>
          <w:p>
            <w:pPr>
              <w:widowControl/>
              <w:jc w:val="center"/>
              <w:rPr>
                <w:rFonts w:cs="Times New Roman" w:asciiTheme="minorEastAsia" w:hAnsiTheme="minorEastAsia"/>
                <w:kern w:val="0"/>
                <w:sz w:val="22"/>
              </w:rPr>
            </w:pPr>
            <w:r>
              <w:rPr>
                <w:rFonts w:cs="Times New Roman" w:asciiTheme="minorEastAsia" w:hAnsiTheme="minorEastAsia"/>
                <w:kern w:val="0"/>
                <w:sz w:val="22"/>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kern w:val="0"/>
                <w:sz w:val="22"/>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cs="Times New Roman" w:asciiTheme="minorEastAsia" w:hAnsiTheme="minorEastAsia"/>
                <w:kern w:val="0"/>
                <w:sz w:val="22"/>
              </w:rPr>
            </w:pPr>
            <w:r>
              <w:rPr>
                <w:rFonts w:cs="Times New Roman" w:asciiTheme="minorEastAsia" w:hAnsiTheme="minorEastAsia"/>
                <w:kern w:val="0"/>
                <w:sz w:val="22"/>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cs="Times New Roman" w:asciiTheme="minorEastAsia" w:hAnsiTheme="minorEastAsia"/>
                <w:kern w:val="0"/>
                <w:sz w:val="22"/>
              </w:rPr>
            </w:pPr>
            <w:r>
              <w:rPr>
                <w:rFonts w:cs="Times New Roman" w:asciiTheme="minorEastAsia" w:hAnsiTheme="minorEastAsia"/>
                <w:kern w:val="0"/>
                <w:sz w:val="22"/>
              </w:rPr>
              <w:t>　</w:t>
            </w:r>
            <w:r>
              <w:rPr>
                <w:rFonts w:hint="eastAsia" w:cs="Times New Roman" w:asciiTheme="minorEastAsia" w:hAnsiTheme="minorEastAsia"/>
                <w:kern w:val="0"/>
                <w:sz w:val="22"/>
              </w:rPr>
              <w:t>102.75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cs="Times New Roman" w:asciiTheme="minorEastAsia" w:hAnsiTheme="minorEastAsia"/>
                <w:kern w:val="0"/>
                <w:sz w:val="22"/>
              </w:rPr>
            </w:pPr>
            <w:r>
              <w:rPr>
                <w:rFonts w:cs="Times New Roman" w:asciiTheme="minorEastAsia" w:hAnsiTheme="minorEastAsia"/>
                <w:kern w:val="0"/>
                <w:sz w:val="22"/>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cs="Times New Roman" w:asciiTheme="minorEastAsia" w:hAnsiTheme="minorEastAsia"/>
                <w:kern w:val="0"/>
                <w:sz w:val="22"/>
              </w:rPr>
            </w:pPr>
            <w:r>
              <w:rPr>
                <w:rFonts w:cs="Times New Roman" w:asciiTheme="minorEastAsia" w:hAnsiTheme="minorEastAsia"/>
                <w:kern w:val="0"/>
                <w:sz w:val="22"/>
              </w:rPr>
              <w:t>　</w:t>
            </w:r>
            <w:r>
              <w:rPr>
                <w:rFonts w:hint="eastAsia" w:cs="Times New Roman" w:asciiTheme="minorEastAsia" w:hAnsiTheme="minorEastAsia"/>
                <w:kern w:val="0"/>
                <w:sz w:val="22"/>
              </w:rPr>
              <w:t>20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cs="Times New Roman" w:asciiTheme="minorEastAsia" w:hAnsiTheme="minorEastAsia"/>
                <w:kern w:val="0"/>
                <w:sz w:val="22"/>
              </w:rPr>
            </w:pPr>
            <w:r>
              <w:rPr>
                <w:rFonts w:cs="Times New Roman" w:asciiTheme="minorEastAsia" w:hAnsiTheme="minorEastAsia"/>
                <w:kern w:val="0"/>
                <w:sz w:val="22"/>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cs="Times New Roman" w:asciiTheme="minorEastAsia" w:hAnsiTheme="minorEastAsia"/>
                <w:kern w:val="0"/>
                <w:sz w:val="22"/>
              </w:rPr>
            </w:pPr>
            <w:r>
              <w:rPr>
                <w:rFonts w:cs="Times New Roman" w:asciiTheme="minorEastAsia" w:hAnsiTheme="minorEastAsia"/>
                <w:kern w:val="0"/>
                <w:sz w:val="22"/>
              </w:rPr>
              <w:t>　</w:t>
            </w:r>
            <w:r>
              <w:rPr>
                <w:rFonts w:hint="eastAsia" w:cs="Times New Roman" w:asciiTheme="minorEastAsia" w:hAnsiTheme="minorEastAsia"/>
                <w:kern w:val="0"/>
                <w:sz w:val="22"/>
              </w:rPr>
              <w:t>20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cs="Times New Roman" w:asciiTheme="minorEastAsia" w:hAnsiTheme="minorEastAsia"/>
                <w:kern w:val="0"/>
                <w:sz w:val="22"/>
              </w:rPr>
            </w:pPr>
            <w:r>
              <w:rPr>
                <w:rFonts w:cs="Times New Roman" w:asciiTheme="minorEastAsia" w:hAnsiTheme="minorEastAsia"/>
                <w:kern w:val="0"/>
                <w:sz w:val="22"/>
              </w:rPr>
              <w:t>　</w:t>
            </w:r>
            <w:r>
              <w:rPr>
                <w:rFonts w:hint="eastAsia" w:cs="Times New Roman" w:asciiTheme="minorEastAsia" w:hAnsiTheme="minorEastAsia"/>
                <w:kern w:val="0"/>
                <w:sz w:val="22"/>
              </w:rPr>
              <w:t>82.75</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cs="宋体" w:asciiTheme="minorEastAsia" w:hAnsiTheme="minorEastAsia"/>
                <w:kern w:val="0"/>
                <w:sz w:val="22"/>
              </w:rPr>
            </w:pPr>
            <w:r>
              <w:rPr>
                <w:rFonts w:hint="eastAsia" w:cs="宋体" w:asciiTheme="minorEastAsia" w:hAnsiTheme="minorEastAsia"/>
                <w:kern w:val="0"/>
                <w:sz w:val="22"/>
              </w:rPr>
              <w:t>1.82</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cs="宋体" w:asciiTheme="minorEastAsia" w:hAnsiTheme="minorEastAsia"/>
                <w:kern w:val="0"/>
                <w:sz w:val="22"/>
              </w:rPr>
            </w:pPr>
            <w:r>
              <w:rPr>
                <w:rFonts w:hint="eastAsia" w:cs="宋体" w:asciiTheme="minorEastAsia" w:hAnsiTheme="minorEastAsia"/>
                <w:kern w:val="0"/>
                <w:sz w:val="22"/>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cs="宋体" w:asciiTheme="minorEastAsia" w:hAnsiTheme="minorEastAsia"/>
                <w:kern w:val="0"/>
                <w:sz w:val="22"/>
              </w:rPr>
            </w:pPr>
            <w:r>
              <w:rPr>
                <w:rFonts w:hint="eastAsia" w:cs="宋体" w:asciiTheme="minorEastAsia" w:hAnsiTheme="minorEastAsia"/>
                <w:kern w:val="0"/>
                <w:sz w:val="22"/>
              </w:rPr>
              <w:t>0.82</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cs="宋体" w:asciiTheme="minorEastAsia" w:hAnsiTheme="minorEastAsia"/>
                <w:kern w:val="0"/>
                <w:sz w:val="22"/>
              </w:rPr>
            </w:pPr>
            <w:r>
              <w:rPr>
                <w:rFonts w:hint="eastAsia" w:cs="宋体" w:asciiTheme="minorEastAsia" w:hAnsiTheme="minorEastAsia"/>
                <w:kern w:val="0"/>
                <w:sz w:val="22"/>
              </w:rPr>
              <w:t>　</w:t>
            </w:r>
          </w:p>
        </w:tc>
        <w:tc>
          <w:tcPr>
            <w:tcW w:w="1220" w:type="dxa"/>
            <w:tcBorders>
              <w:top w:val="nil"/>
              <w:left w:val="nil"/>
              <w:bottom w:val="single" w:color="auto" w:sz="8" w:space="0"/>
              <w:right w:val="nil"/>
            </w:tcBorders>
            <w:shd w:val="clear" w:color="auto" w:fill="auto"/>
            <w:vAlign w:val="center"/>
          </w:tcPr>
          <w:p>
            <w:pPr>
              <w:widowControl/>
              <w:jc w:val="right"/>
              <w:rPr>
                <w:rFonts w:cs="宋体" w:asciiTheme="minorEastAsia" w:hAnsiTheme="minorEastAsia"/>
                <w:kern w:val="0"/>
                <w:sz w:val="22"/>
              </w:rPr>
            </w:pPr>
            <w:r>
              <w:rPr>
                <w:rFonts w:hint="eastAsia" w:cs="宋体" w:asciiTheme="minorEastAsia" w:hAnsiTheme="minorEastAsia"/>
                <w:kern w:val="0"/>
                <w:sz w:val="22"/>
              </w:rPr>
              <w:t>0.82</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rPr>
                <w:rFonts w:cs="宋体" w:asciiTheme="minorEastAsia" w:hAnsiTheme="minorEastAsia"/>
                <w:kern w:val="0"/>
                <w:sz w:val="22"/>
              </w:rPr>
            </w:pPr>
            <w:r>
              <w:rPr>
                <w:rFonts w:hint="eastAsia" w:cs="宋体" w:asciiTheme="minorEastAsia" w:hAnsiTheme="minorEastAsia"/>
                <w:kern w:val="0"/>
                <w:sz w:val="22"/>
              </w:rPr>
              <w:t>1.00</w:t>
            </w:r>
          </w:p>
        </w:tc>
      </w:tr>
    </w:tbl>
    <w:p>
      <w:pPr>
        <w:autoSpaceDE w:val="0"/>
        <w:autoSpaceDN w:val="0"/>
        <w:adjustRightInd w:val="0"/>
        <w:ind w:left="315" w:leftChars="150"/>
        <w:jc w:val="left"/>
        <w:rPr>
          <w:rFonts w:cs="宋体" w:asciiTheme="minorEastAsia" w:hAnsiTheme="minorEastAsia"/>
          <w:kern w:val="0"/>
          <w:sz w:val="22"/>
        </w:rPr>
      </w:pPr>
      <w:r>
        <w:rPr>
          <w:rFonts w:hint="eastAsia" w:cs="宋体" w:asciiTheme="minorEastAsia" w:hAnsiTheme="minorEastAsia"/>
          <w:kern w:val="0"/>
          <w:sz w:val="22"/>
        </w:rPr>
        <w:t>注：本表反映部门本年度“三公”经费支出预决算情况。其中，预算数为“三公”经费全年预算数，反映按规定程序调整后的预算数；决算</w:t>
      </w:r>
    </w:p>
    <w:p>
      <w:pPr>
        <w:kinsoku w:val="0"/>
        <w:overflowPunct w:val="0"/>
        <w:spacing w:line="267" w:lineRule="exact"/>
        <w:ind w:firstLine="440" w:firstLineChars="200"/>
        <w:rPr>
          <w:rFonts w:cs="宋体" w:asciiTheme="minorEastAsia" w:hAnsiTheme="minorEastAsia"/>
          <w:kern w:val="0"/>
          <w:sz w:val="22"/>
        </w:rPr>
      </w:pPr>
      <w:r>
        <w:rPr>
          <w:rFonts w:hint="eastAsia" w:cs="宋体" w:asciiTheme="minorEastAsia" w:hAnsiTheme="minorEastAsia"/>
          <w:kern w:val="0"/>
          <w:sz w:val="22"/>
        </w:rPr>
        <w:t>数是包括当年一般公共预算财政拨款和以前年度结转资金安排的实际支出。本表金额转换为万元时，因四舍五入可能存在尾差。</w:t>
      </w:r>
    </w:p>
    <w:p>
      <w:pPr>
        <w:autoSpaceDE w:val="0"/>
        <w:autoSpaceDN w:val="0"/>
        <w:adjustRightInd w:val="0"/>
        <w:ind w:left="315" w:leftChars="150"/>
        <w:jc w:val="left"/>
        <w:rPr>
          <w:rFonts w:cs="宋体" w:asciiTheme="minorEastAsia" w:hAnsiTheme="minorEastAsia"/>
          <w:kern w:val="0"/>
          <w:sz w:val="22"/>
        </w:rPr>
      </w:pP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ind w:left="93"/>
        <w:jc w:val="center"/>
        <w:rPr>
          <w:rFonts w:ascii="Times New Roman" w:hAnsi="Times New Roman" w:eastAsia="方正小标宋_GBK" w:cs="Times New Roman"/>
          <w:kern w:val="0"/>
          <w:sz w:val="36"/>
          <w:szCs w:val="21"/>
        </w:rPr>
      </w:pPr>
      <w:r>
        <w:rPr>
          <w:rFonts w:ascii="Times New Roman" w:hAnsi="Times New Roman" w:eastAsia="方正小标宋_GBK" w:cs="Times New Roman"/>
          <w:kern w:val="0"/>
          <w:sz w:val="36"/>
          <w:szCs w:val="21"/>
        </w:rPr>
        <w:t>政府性基金预算财政拨款收入支出决算表</w:t>
      </w:r>
    </w:p>
    <w:tbl>
      <w:tblPr>
        <w:tblStyle w:val="6"/>
        <w:tblW w:w="15020" w:type="dxa"/>
        <w:jc w:val="center"/>
        <w:tblLayout w:type="fixed"/>
        <w:tblCellMar>
          <w:top w:w="0" w:type="dxa"/>
          <w:left w:w="108" w:type="dxa"/>
          <w:bottom w:w="0" w:type="dxa"/>
          <w:right w:w="108" w:type="dxa"/>
        </w:tblCellMar>
      </w:tblPr>
      <w:tblGrid>
        <w:gridCol w:w="1229"/>
        <w:gridCol w:w="5245"/>
        <w:gridCol w:w="1417"/>
        <w:gridCol w:w="1559"/>
        <w:gridCol w:w="1418"/>
        <w:gridCol w:w="1276"/>
        <w:gridCol w:w="1417"/>
        <w:gridCol w:w="1459"/>
      </w:tblGrid>
      <w:tr>
        <w:tblPrEx>
          <w:tblCellMar>
            <w:top w:w="0" w:type="dxa"/>
            <w:left w:w="108" w:type="dxa"/>
            <w:bottom w:w="0" w:type="dxa"/>
            <w:right w:w="108" w:type="dxa"/>
          </w:tblCellMar>
        </w:tblPrEx>
        <w:trPr>
          <w:trHeight w:val="222" w:hRule="atLeast"/>
          <w:jc w:val="center"/>
        </w:trPr>
        <w:tc>
          <w:tcPr>
            <w:tcW w:w="122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245"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1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18"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1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5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公开08表</w:t>
            </w:r>
          </w:p>
        </w:tc>
      </w:tr>
      <w:tr>
        <w:tblPrEx>
          <w:tblCellMar>
            <w:top w:w="0" w:type="dxa"/>
            <w:left w:w="108" w:type="dxa"/>
            <w:bottom w:w="0" w:type="dxa"/>
            <w:right w:w="108" w:type="dxa"/>
          </w:tblCellMar>
        </w:tblPrEx>
        <w:trPr>
          <w:trHeight w:val="300" w:hRule="atLeast"/>
          <w:jc w:val="center"/>
        </w:trPr>
        <w:tc>
          <w:tcPr>
            <w:tcW w:w="6474"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部门：浏阳市集里街道办事处</w:t>
            </w:r>
          </w:p>
        </w:tc>
        <w:tc>
          <w:tcPr>
            <w:tcW w:w="1417"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18"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1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5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510" w:hRule="atLeast"/>
          <w:jc w:val="center"/>
        </w:trPr>
        <w:tc>
          <w:tcPr>
            <w:tcW w:w="6474" w:type="dxa"/>
            <w:gridSpan w:val="2"/>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kern w:val="0"/>
                <w:sz w:val="22"/>
              </w:rPr>
              <w:t xml:space="preserve">   </w:t>
            </w:r>
            <w:r>
              <w:rPr>
                <w:rFonts w:hint="eastAsia" w:ascii="宋体" w:hAnsi="宋体" w:eastAsia="宋体" w:cs="宋体"/>
                <w:kern w:val="0"/>
                <w:sz w:val="24"/>
                <w:szCs w:val="24"/>
              </w:rPr>
              <w:t>目</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年初结转和结余</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本年收入</w:t>
            </w:r>
          </w:p>
        </w:tc>
        <w:tc>
          <w:tcPr>
            <w:tcW w:w="4111"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c>
          <w:tcPr>
            <w:tcW w:w="1459"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年末结转和结余</w:t>
            </w:r>
          </w:p>
        </w:tc>
      </w:tr>
      <w:tr>
        <w:tblPrEx>
          <w:tblCellMar>
            <w:top w:w="0" w:type="dxa"/>
            <w:left w:w="108" w:type="dxa"/>
            <w:bottom w:w="0" w:type="dxa"/>
            <w:right w:w="108" w:type="dxa"/>
          </w:tblCellMar>
        </w:tblPrEx>
        <w:trPr>
          <w:trHeight w:val="540" w:hRule="atLeast"/>
          <w:jc w:val="center"/>
        </w:trPr>
        <w:tc>
          <w:tcPr>
            <w:tcW w:w="1229"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52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小计</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459"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jc w:val="center"/>
        </w:trPr>
        <w:tc>
          <w:tcPr>
            <w:tcW w:w="1229"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2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59"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jc w:val="center"/>
        </w:trPr>
        <w:tc>
          <w:tcPr>
            <w:tcW w:w="1229"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2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59"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jc w:val="center"/>
        </w:trPr>
        <w:tc>
          <w:tcPr>
            <w:tcW w:w="6474"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1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jc w:val="center"/>
        </w:trPr>
        <w:tc>
          <w:tcPr>
            <w:tcW w:w="6474"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57.98</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57.98</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57.98</w:t>
            </w:r>
          </w:p>
        </w:tc>
        <w:tc>
          <w:tcPr>
            <w:tcW w:w="1459"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w:t>
            </w:r>
          </w:p>
        </w:tc>
        <w:tc>
          <w:tcPr>
            <w:tcW w:w="52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城乡社区支出</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459"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21208</w:t>
            </w:r>
          </w:p>
        </w:tc>
        <w:tc>
          <w:tcPr>
            <w:tcW w:w="52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国有土地使用权出让收入及对应专项债务收入安排的支出</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459"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2120804</w:t>
            </w:r>
          </w:p>
        </w:tc>
        <w:tc>
          <w:tcPr>
            <w:tcW w:w="52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农村基础设施建设支出</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10.98</w:t>
            </w:r>
          </w:p>
        </w:tc>
        <w:tc>
          <w:tcPr>
            <w:tcW w:w="1459"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w:t>
            </w:r>
          </w:p>
        </w:tc>
        <w:tc>
          <w:tcPr>
            <w:tcW w:w="52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其他支出</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459"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22960</w:t>
            </w:r>
          </w:p>
        </w:tc>
        <w:tc>
          <w:tcPr>
            <w:tcW w:w="52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彩票公益金安排的支出</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459"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2296002</w:t>
            </w:r>
          </w:p>
        </w:tc>
        <w:tc>
          <w:tcPr>
            <w:tcW w:w="52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用于社会福利的彩票公益金支出</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47.00</w:t>
            </w:r>
          </w:p>
        </w:tc>
        <w:tc>
          <w:tcPr>
            <w:tcW w:w="1459" w:type="dxa"/>
            <w:tcBorders>
              <w:top w:val="nil"/>
              <w:left w:val="nil"/>
              <w:bottom w:val="single" w:color="auto" w:sz="4" w:space="0"/>
              <w:right w:val="single" w:color="000000"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59"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59"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jc w:val="center"/>
        </w:trPr>
        <w:tc>
          <w:tcPr>
            <w:tcW w:w="1229"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24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8"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59"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kinsoku w:val="0"/>
        <w:overflowPunct w:val="0"/>
        <w:spacing w:line="267" w:lineRule="exact"/>
        <w:ind w:firstLine="440" w:firstLineChars="200"/>
        <w:rPr>
          <w:rFonts w:cs="宋体" w:asciiTheme="minorEastAsia" w:hAnsiTheme="minorEastAsia"/>
          <w:kern w:val="0"/>
          <w:sz w:val="22"/>
        </w:rPr>
      </w:pPr>
      <w:r>
        <w:rPr>
          <w:rFonts w:cs="宋体" w:asciiTheme="minorEastAsia" w:hAnsiTheme="minorEastAsia"/>
          <w:kern w:val="0"/>
          <w:sz w:val="22"/>
        </w:rPr>
        <w:t>注：本表反映部门本年度政府性基金预算财政拨款收入、支出及结转和结余情况。</w:t>
      </w:r>
      <w:r>
        <w:rPr>
          <w:rFonts w:hint="eastAsia" w:cs="宋体" w:asciiTheme="minorEastAsia" w:hAnsiTheme="minorEastAsia"/>
          <w:kern w:val="0"/>
          <w:sz w:val="22"/>
        </w:rPr>
        <w:t>本表金额转换为万元时，因四舍五入可能存在尾差。</w:t>
      </w:r>
    </w:p>
    <w:p>
      <w:pPr>
        <w:autoSpaceDE w:val="0"/>
        <w:autoSpaceDN w:val="0"/>
        <w:adjustRightInd w:val="0"/>
        <w:ind w:left="315" w:leftChars="150"/>
        <w:jc w:val="left"/>
        <w:rPr>
          <w:rFonts w:cs="宋体" w:asciiTheme="minorEastAsia" w:hAnsiTheme="minorEastAsia"/>
          <w:kern w:val="0"/>
          <w:sz w:val="22"/>
        </w:rPr>
      </w:pPr>
    </w:p>
    <w:p>
      <w:pPr>
        <w:widowControl/>
        <w:jc w:val="left"/>
        <w:rPr>
          <w:rFonts w:ascii="Times New Roman" w:hAnsi="Times New Roman" w:eastAsia="FangSong_GB2312" w:cs="Times New Roman"/>
          <w:kern w:val="0"/>
          <w:szCs w:val="21"/>
        </w:rPr>
      </w:pPr>
    </w:p>
    <w:p>
      <w:pPr>
        <w:widowControl/>
        <w:jc w:val="left"/>
        <w:rPr>
          <w:rFonts w:ascii="黑体" w:hAnsi="黑体" w:eastAsia="黑体"/>
          <w:szCs w:val="21"/>
        </w:rPr>
      </w:pPr>
      <w:r>
        <w:rPr>
          <w:rFonts w:ascii="黑体" w:hAnsi="黑体" w:eastAsia="黑体"/>
          <w:szCs w:val="21"/>
        </w:rPr>
        <w:br w:type="page"/>
      </w:r>
    </w:p>
    <w:p>
      <w:pPr>
        <w:pStyle w:val="12"/>
        <w:rPr>
          <w:color w:val="auto"/>
          <w:sz w:val="72"/>
          <w:szCs w:val="72"/>
        </w:rPr>
        <w:sectPr>
          <w:pgSz w:w="16838" w:h="11906" w:orient="landscape"/>
          <w:pgMar w:top="720" w:right="720" w:bottom="720" w:left="720" w:header="851" w:footer="992" w:gutter="0"/>
          <w:cols w:space="425" w:num="1"/>
          <w:docGrid w:type="lines" w:linePitch="312" w:charSpace="0"/>
        </w:sectPr>
      </w:pPr>
    </w:p>
    <w:p>
      <w:pPr>
        <w:pStyle w:val="12"/>
        <w:rPr>
          <w:color w:val="auto"/>
          <w:sz w:val="72"/>
          <w:szCs w:val="72"/>
        </w:rPr>
      </w:pPr>
    </w:p>
    <w:p>
      <w:pPr>
        <w:pStyle w:val="12"/>
        <w:rPr>
          <w:color w:val="auto"/>
          <w:sz w:val="72"/>
          <w:szCs w:val="72"/>
        </w:rPr>
      </w:pPr>
    </w:p>
    <w:p>
      <w:pPr>
        <w:pStyle w:val="12"/>
        <w:rPr>
          <w:color w:val="auto"/>
          <w:sz w:val="72"/>
          <w:szCs w:val="72"/>
        </w:rPr>
      </w:pPr>
    </w:p>
    <w:p>
      <w:pPr>
        <w:pStyle w:val="12"/>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80"/>
          <w:szCs w:val="80"/>
        </w:rPr>
      </w:pPr>
      <w:r>
        <w:rPr>
          <w:rFonts w:hint="eastAsia"/>
          <w:color w:val="auto"/>
          <w:sz w:val="80"/>
          <w:szCs w:val="80"/>
        </w:rPr>
        <w:t>第三部分</w:t>
      </w:r>
    </w:p>
    <w:p>
      <w:pPr>
        <w:pStyle w:val="12"/>
        <w:jc w:val="center"/>
        <w:rPr>
          <w:color w:val="auto"/>
          <w:sz w:val="80"/>
          <w:szCs w:val="80"/>
        </w:rPr>
      </w:pPr>
    </w:p>
    <w:p>
      <w:pPr>
        <w:pStyle w:val="12"/>
        <w:jc w:val="center"/>
        <w:rPr>
          <w:color w:val="auto"/>
          <w:sz w:val="80"/>
          <w:szCs w:val="80"/>
        </w:rPr>
      </w:pPr>
      <w:r>
        <w:rPr>
          <w:color w:val="auto"/>
          <w:sz w:val="80"/>
          <w:szCs w:val="80"/>
        </w:rPr>
        <w:t>2019</w:t>
      </w:r>
      <w:r>
        <w:rPr>
          <w:rFonts w:hint="eastAsia"/>
          <w:color w:val="auto"/>
          <w:sz w:val="80"/>
          <w:szCs w:val="80"/>
        </w:rPr>
        <w:t>年度部门决算情况说明</w:t>
      </w:r>
    </w:p>
    <w:p>
      <w:pPr>
        <w:widowControl/>
        <w:jc w:val="left"/>
        <w:rPr>
          <w:rFonts w:ascii="黑体" w:eastAsia="黑体" w:cs="黑体"/>
          <w:kern w:val="0"/>
          <w:sz w:val="70"/>
          <w:szCs w:val="70"/>
        </w:rPr>
      </w:pPr>
      <w:r>
        <w:rPr>
          <w:sz w:val="70"/>
          <w:szCs w:val="70"/>
        </w:rPr>
        <w:br w:type="page"/>
      </w:r>
    </w:p>
    <w:p>
      <w:pPr>
        <w:pStyle w:val="12"/>
        <w:overflowPunct w:val="0"/>
        <w:spacing w:line="600" w:lineRule="exact"/>
        <w:ind w:firstLine="640" w:firstLineChars="200"/>
        <w:jc w:val="both"/>
        <w:rPr>
          <w:rFonts w:hAnsi="黑体"/>
          <w:color w:val="auto"/>
          <w:sz w:val="32"/>
          <w:szCs w:val="32"/>
        </w:rPr>
      </w:pPr>
      <w:r>
        <w:rPr>
          <w:rFonts w:hint="eastAsia" w:hAnsi="黑体"/>
          <w:color w:val="auto"/>
          <w:sz w:val="32"/>
          <w:szCs w:val="32"/>
        </w:rPr>
        <w:t>一、收入支出决算总体情况说明</w:t>
      </w:r>
    </w:p>
    <w:p>
      <w:pPr>
        <w:pStyle w:val="12"/>
        <w:overflowPunct w:val="0"/>
        <w:spacing w:line="600" w:lineRule="exact"/>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2019年度总收入10928.27万元，总支出10928.27万元。与2018年相比，减少4460.32万元，减少28.98%，主要是因为财政拨款收入及其他收入有减少。</w:t>
      </w:r>
    </w:p>
    <w:p>
      <w:pPr>
        <w:pStyle w:val="12"/>
        <w:overflowPunct w:val="0"/>
        <w:spacing w:line="600" w:lineRule="exact"/>
        <w:ind w:firstLine="640" w:firstLineChars="200"/>
        <w:jc w:val="both"/>
        <w:rPr>
          <w:rFonts w:hAnsi="黑体"/>
          <w:color w:val="auto"/>
          <w:sz w:val="32"/>
          <w:szCs w:val="32"/>
        </w:rPr>
      </w:pPr>
      <w:r>
        <w:rPr>
          <w:rFonts w:hint="eastAsia" w:hAnsi="黑体"/>
          <w:color w:val="auto"/>
          <w:sz w:val="32"/>
          <w:szCs w:val="32"/>
        </w:rPr>
        <w:t>二、收入决算情况说明</w:t>
      </w:r>
    </w:p>
    <w:p>
      <w:pPr>
        <w:overflowPunct w:val="0"/>
        <w:spacing w:line="600" w:lineRule="exact"/>
        <w:ind w:firstLine="640" w:firstLineChars="200"/>
        <w:rPr>
          <w:rFonts w:ascii="宋体" w:hAnsi="宋体" w:eastAsia="宋体" w:cs="宋体"/>
          <w:b/>
          <w:bCs/>
          <w:kern w:val="0"/>
          <w:sz w:val="22"/>
        </w:rPr>
      </w:pPr>
      <w:r>
        <w:rPr>
          <w:rFonts w:hint="eastAsia" w:asciiTheme="minorEastAsia" w:hAnsiTheme="minorEastAsia"/>
          <w:sz w:val="32"/>
          <w:szCs w:val="32"/>
        </w:rPr>
        <w:t>本年收入合计10928.27万元，其中：财政拨款收入10043.71万元，占91.91%；上级补助收入0万元，占0%；事业收入0万元，占0%；经营收入0万元，占0%；附属单位上缴收入0万元，占0%；其他收入884.56万元，占8.09%。</w:t>
      </w:r>
    </w:p>
    <w:p>
      <w:pPr>
        <w:pStyle w:val="12"/>
        <w:overflowPunct w:val="0"/>
        <w:spacing w:line="600" w:lineRule="exact"/>
        <w:ind w:firstLine="640" w:firstLineChars="200"/>
        <w:jc w:val="both"/>
        <w:rPr>
          <w:rFonts w:hAnsi="黑体"/>
          <w:color w:val="auto"/>
          <w:sz w:val="32"/>
          <w:szCs w:val="32"/>
        </w:rPr>
      </w:pPr>
      <w:r>
        <w:rPr>
          <w:rFonts w:hint="eastAsia" w:hAnsi="黑体"/>
          <w:color w:val="auto"/>
          <w:sz w:val="32"/>
          <w:szCs w:val="32"/>
        </w:rPr>
        <w:t>三、支出决算情况说明</w:t>
      </w:r>
    </w:p>
    <w:p>
      <w:pPr>
        <w:overflowPunct w:val="0"/>
        <w:spacing w:line="600" w:lineRule="exact"/>
        <w:ind w:firstLine="640" w:firstLineChars="200"/>
        <w:rPr>
          <w:rFonts w:ascii="宋体" w:hAnsi="宋体" w:eastAsia="宋体" w:cs="宋体"/>
          <w:b/>
          <w:bCs/>
          <w:kern w:val="0"/>
          <w:sz w:val="22"/>
        </w:rPr>
      </w:pPr>
      <w:r>
        <w:rPr>
          <w:rFonts w:hint="eastAsia" w:asciiTheme="minorEastAsia" w:hAnsiTheme="minorEastAsia"/>
          <w:sz w:val="32"/>
          <w:szCs w:val="32"/>
        </w:rPr>
        <w:t>本年支出合计10928.27万元，其中：基本支出2,818.82万元，占25.79%；项目支出8109.45万元，占74.21%；上缴上级支出0万元，占0%；经营支出0万元，占0%；对附属单位补助支出0万元，占0%。</w:t>
      </w:r>
    </w:p>
    <w:p>
      <w:pPr>
        <w:pStyle w:val="12"/>
        <w:overflowPunct w:val="0"/>
        <w:spacing w:line="600" w:lineRule="exact"/>
        <w:ind w:firstLine="640" w:firstLineChars="200"/>
        <w:jc w:val="both"/>
        <w:rPr>
          <w:rFonts w:hAnsi="黑体"/>
          <w:color w:val="auto"/>
          <w:sz w:val="32"/>
          <w:szCs w:val="32"/>
        </w:rPr>
      </w:pPr>
      <w:r>
        <w:rPr>
          <w:rFonts w:hint="eastAsia" w:hAnsi="黑体"/>
          <w:color w:val="auto"/>
          <w:sz w:val="32"/>
          <w:szCs w:val="32"/>
        </w:rPr>
        <w:t>四、财政拨款收入支出决算总体情况说明</w:t>
      </w:r>
    </w:p>
    <w:p>
      <w:pPr>
        <w:overflowPunct w:val="0"/>
        <w:spacing w:line="600" w:lineRule="exact"/>
        <w:ind w:firstLine="640" w:firstLineChars="200"/>
        <w:rPr>
          <w:rFonts w:ascii="宋体" w:hAnsi="宋体" w:eastAsia="宋体" w:cs="宋体"/>
          <w:kern w:val="0"/>
          <w:sz w:val="22"/>
        </w:rPr>
      </w:pPr>
      <w:r>
        <w:rPr>
          <w:rFonts w:hint="eastAsia" w:asciiTheme="minorEastAsia" w:hAnsiTheme="minorEastAsia"/>
          <w:sz w:val="32"/>
          <w:szCs w:val="32"/>
        </w:rPr>
        <w:t>2019年度财政拨款收入总计10043.71万元，支出总计10043.71万元，与2018年相比，减少1926.32万元,减少16.09%，主要是因为一般公共预算财政拨款与政府性基金财政预算拨款收入减少。</w:t>
      </w:r>
    </w:p>
    <w:p>
      <w:pPr>
        <w:pStyle w:val="12"/>
        <w:overflowPunct w:val="0"/>
        <w:spacing w:line="600" w:lineRule="exact"/>
        <w:ind w:firstLine="640" w:firstLineChars="200"/>
        <w:jc w:val="both"/>
        <w:rPr>
          <w:rFonts w:hAnsi="黑体"/>
          <w:color w:val="auto"/>
          <w:sz w:val="32"/>
          <w:szCs w:val="32"/>
        </w:rPr>
      </w:pPr>
      <w:r>
        <w:rPr>
          <w:rFonts w:hint="eastAsia" w:hAnsi="黑体"/>
          <w:color w:val="auto"/>
          <w:sz w:val="32"/>
          <w:szCs w:val="32"/>
        </w:rPr>
        <w:t>五、一般公共预算财政拨款支出决算情况说明</w:t>
      </w:r>
    </w:p>
    <w:p>
      <w:pPr>
        <w:pStyle w:val="12"/>
        <w:overflowPunct w:val="0"/>
        <w:spacing w:line="600" w:lineRule="exact"/>
        <w:ind w:firstLine="640" w:firstLineChars="200"/>
        <w:jc w:val="both"/>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overflowPunct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2019年度财政拨款支出9985.73万元，占本年支出合计的91.37%，与2018年相比，财政拨款支出减少1841.3万元，减少15.57%，主要是因为一般公共预算财政拨款收入减少。</w:t>
      </w:r>
    </w:p>
    <w:p>
      <w:pPr>
        <w:pStyle w:val="12"/>
        <w:overflowPunct w:val="0"/>
        <w:spacing w:line="600" w:lineRule="exact"/>
        <w:ind w:firstLine="640" w:firstLineChars="200"/>
        <w:jc w:val="both"/>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overflowPunct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2019年度财政拨款支出9985.73万元，主要用于以下方面：一般公</w:t>
      </w:r>
    </w:p>
    <w:p>
      <w:pPr>
        <w:overflowPunct w:val="0"/>
        <w:spacing w:line="600" w:lineRule="exact"/>
        <w:rPr>
          <w:rFonts w:asciiTheme="minorEastAsia" w:hAnsiTheme="minorEastAsia"/>
          <w:sz w:val="32"/>
          <w:szCs w:val="32"/>
        </w:rPr>
      </w:pPr>
      <w:r>
        <w:rPr>
          <w:rFonts w:hint="eastAsia" w:asciiTheme="minorEastAsia" w:hAnsiTheme="minorEastAsia"/>
          <w:sz w:val="32"/>
          <w:szCs w:val="32"/>
        </w:rPr>
        <w:t>共服务（类）支出3414.4万元，占34.19%；国防（类）支出23.4万元，占0.23%；公共安全（类）支出</w:t>
      </w:r>
      <w:r>
        <w:rPr>
          <w:rFonts w:asciiTheme="minorEastAsia" w:hAnsiTheme="minorEastAsia"/>
          <w:sz w:val="32"/>
          <w:szCs w:val="32"/>
        </w:rPr>
        <w:t>130.38</w:t>
      </w:r>
      <w:r>
        <w:rPr>
          <w:rFonts w:hint="eastAsia" w:asciiTheme="minorEastAsia" w:hAnsiTheme="minorEastAsia"/>
          <w:sz w:val="32"/>
          <w:szCs w:val="32"/>
        </w:rPr>
        <w:t>万元，占1.31%；教育（类）支出</w:t>
      </w:r>
      <w:r>
        <w:rPr>
          <w:rFonts w:asciiTheme="minorEastAsia" w:hAnsiTheme="minorEastAsia"/>
          <w:sz w:val="32"/>
          <w:szCs w:val="32"/>
        </w:rPr>
        <w:t>146.62</w:t>
      </w:r>
      <w:r>
        <w:rPr>
          <w:rFonts w:hint="eastAsia" w:asciiTheme="minorEastAsia" w:hAnsiTheme="minorEastAsia"/>
          <w:sz w:val="32"/>
          <w:szCs w:val="32"/>
        </w:rPr>
        <w:t>万元，占1.47%；科学技术（类）支出37万元，占0.37%；文化旅游体育与传媒（类）支出73.17万元，占0.73%；社会保障和就业（类）支出846.78万元，占8.48%；卫生健康（类）支出239.72万元，占2.4%；节能环保（类）支出239.16万元，占2.4%；城乡社区（类）支出1249.81万元，占12.52%；农林水（类）支出2449.18万元，占24.53%；交通运输（类）支出232.97万元，占2.33%；资源勘探信息（类）支出93.64万元，占0.94%；商业服务业（类）支出7万元，占0.07%；自然资源海洋气象（类）支出19.15万元，占0.19%；住房保障（类）支出326.51万元，占3.27%；灾害防治及应急管理（类）支出456.84万元，占4.57%</w:t>
      </w:r>
      <w:r>
        <w:rPr>
          <w:rFonts w:asciiTheme="minorEastAsia" w:hAnsiTheme="minorEastAsia"/>
          <w:sz w:val="32"/>
          <w:szCs w:val="32"/>
        </w:rPr>
        <w:t>。</w:t>
      </w:r>
    </w:p>
    <w:p>
      <w:pPr>
        <w:overflowPunct w:val="0"/>
        <w:spacing w:line="600" w:lineRule="exact"/>
        <w:ind w:firstLine="640" w:firstLineChars="200"/>
        <w:rPr>
          <w:rFonts w:asciiTheme="minorEastAsia" w:hAnsiTheme="minorEastAsia"/>
          <w:b/>
          <w:sz w:val="32"/>
          <w:szCs w:val="32"/>
        </w:rPr>
      </w:pPr>
      <w:r>
        <w:rPr>
          <w:rFonts w:hint="eastAsia" w:asciiTheme="minorEastAsia" w:hAnsiTheme="minorEastAsia"/>
          <w:b/>
          <w:sz w:val="32"/>
          <w:szCs w:val="32"/>
        </w:rPr>
        <w:t>（三）财政拨款支出决算具体情况</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2019年度财政拨款支出年初预算数为8724.11万元，支出决算数为9985.73万元，完成年初预算数的114.46%。预决算差额原因主要是：财政根据政策及实际工作需要在年中追加了部分工作经费。2019年度一般公共预算财政拨款支出具体情况如下：</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1.一般公共服务支出（类）年初预算数5059.46万元，支出决算数3414.4万元，完成年初预算数的67.49%。其中：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（1）、人大事务（款）-- 行政运行（项）决算数为13.97万元，年初无预算，主要为年中追加了人员经费。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（2）、人大事务（款）--一般行政管理事务（项）决算数为1.7万元，年初无预算，主要为人大活动室经费。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（3）、人大事务（款）--代表工作（项）决算数为0.06万元，年初无预算，主要为人大活动经费。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（4）、政协事务（款）--行政运行（项）决算数为7.87万元，年初无预算，主要为年中追加了人员经费。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（5）、政协事务（款）--一般行政管理事务（项）决算数为6.9万元，年初无预算，主要为政协活动经费。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（6）、政府办公厅（室）及相关机构事务（款）--行政运行（项）决算数为810.49万元，年初预算数为880.71万元，完成年初预算的92.02%，决算数小于年初预算数的主要原因是：年中预算调减了人员经费及公用经费。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政府办公厅（室）及相关机构事务（款）--一般行政管理事务（项）决算数为1895.13万元，年初预算数为3935万元，完成年初预算的48.16%，决算数小于年初预算数的主要原因是：年中预算调减了人员经费及公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（8）、政府办公厅（室）及相关机构事务（款）--机关服务（项）决算数为107.19万元，年初无预算，主要为年中追加了机关食堂支出。</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（9）、政府办公厅（室）及相关机构事务（款）--其他政府办公厅（室）及相关机构事务（项）决算数为3.96万元，年初无预算，主要为七一党建主题活动经费。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（10）、发展与改革事务（款）--其他发展与改革事务支出（项）决算数为10万元，年初无预算，主要为生态农业基地建设经费。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（11）、统计信息事务（款）--专项普查活动（项）决算数为12.19万元，年初无预算，主要为统计经费、第四次全国经济普查两员经费。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（12）、财政事务（款）--行政运行（项）决算数为227.85万元，年初预算数为243.74万元，完成年初预算的93.48%，决算数小于年初预算数的主要原因是：年中预算调减人员经费及公用经费。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（13）、财政事务（款）--其他财政事务支出（项）决算数为11.63万元，年初无预算，主要为财政所工作经费。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（14）、商贸事务（款）--招商引资（项）决算数为27.84万元，年初无预算，主要为招商引资费用。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（15）、港澳台事务（款）--一般行政管理事务（项）决算数为2万元，年初无预算，主要为社区侨务工作经费。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（16）、档案事务（款）--其他档案事务（项）决算数为1.26万元，年初无预算，主要为档案整理费用。</w:t>
      </w:r>
    </w:p>
    <w:p>
      <w:pPr>
        <w:overflowPunct w:val="0"/>
        <w:spacing w:line="600" w:lineRule="exact"/>
        <w:ind w:firstLine="848" w:firstLineChars="265"/>
        <w:rPr>
          <w:rFonts w:ascii="宋体" w:hAnsi="宋体" w:eastAsia="宋体" w:cs="宋体"/>
          <w:kern w:val="0"/>
          <w:sz w:val="22"/>
        </w:rPr>
      </w:pPr>
      <w:r>
        <w:rPr>
          <w:rFonts w:hint="eastAsia" w:asciiTheme="minorEastAsia" w:hAnsiTheme="minorEastAsia"/>
          <w:sz w:val="32"/>
          <w:szCs w:val="32"/>
        </w:rPr>
        <w:t>（17）、群众团体事务（款）--一般行政管理事务（项）决算数为2.44万元，年初无预算，主要为团基层工作经费。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（18）、</w:t>
      </w:r>
      <w:r>
        <w:rPr>
          <w:rFonts w:hint="eastAsia" w:asciiTheme="minorEastAsia" w:hAnsiTheme="minorEastAsia" w:eastAsiaTheme="minorEastAsia" w:cstheme="minorBidi"/>
          <w:color w:val="auto"/>
          <w:kern w:val="2"/>
          <w:sz w:val="32"/>
          <w:szCs w:val="32"/>
        </w:rPr>
        <w:t>群众团体事务</w:t>
      </w:r>
      <w:r>
        <w:rPr>
          <w:rFonts w:hint="eastAsia" w:asciiTheme="minorEastAsia" w:hAnsiTheme="minorEastAsia" w:eastAsiaTheme="minorEastAsia"/>
          <w:color w:val="auto"/>
          <w:sz w:val="32"/>
          <w:szCs w:val="32"/>
        </w:rPr>
        <w:t>（款）--工会事务（项）决算数为48.87万元，年初无预算，主要为机关工会2018、2019年经费。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（19）、</w:t>
      </w:r>
      <w:r>
        <w:rPr>
          <w:rFonts w:hint="eastAsia" w:asciiTheme="minorEastAsia" w:hAnsiTheme="minorEastAsia" w:eastAsiaTheme="minorEastAsia" w:cstheme="minorBidi"/>
          <w:color w:val="auto"/>
          <w:kern w:val="2"/>
          <w:sz w:val="32"/>
          <w:szCs w:val="32"/>
        </w:rPr>
        <w:t>群众团体事务</w:t>
      </w:r>
      <w:r>
        <w:rPr>
          <w:rFonts w:hint="eastAsia" w:asciiTheme="minorEastAsia" w:hAnsiTheme="minorEastAsia" w:eastAsiaTheme="minorEastAsia"/>
          <w:color w:val="auto"/>
          <w:sz w:val="32"/>
          <w:szCs w:val="32"/>
        </w:rPr>
        <w:t>（款）--其他</w:t>
      </w:r>
      <w:r>
        <w:rPr>
          <w:rFonts w:hint="eastAsia" w:asciiTheme="minorEastAsia" w:hAnsiTheme="minorEastAsia" w:eastAsiaTheme="minorEastAsia" w:cstheme="minorBidi"/>
          <w:color w:val="auto"/>
          <w:kern w:val="2"/>
          <w:sz w:val="32"/>
          <w:szCs w:val="32"/>
        </w:rPr>
        <w:t>群众团体事务支出</w:t>
      </w:r>
      <w:r>
        <w:rPr>
          <w:rFonts w:hint="eastAsia" w:asciiTheme="minorEastAsia" w:hAnsiTheme="minorEastAsia" w:eastAsiaTheme="minorEastAsia"/>
          <w:color w:val="auto"/>
          <w:sz w:val="32"/>
          <w:szCs w:val="32"/>
        </w:rPr>
        <w:t>（项）决算数为19.72万元，年初无预算，主要为工青妇支出。</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（20）、党委办公厅（室）及相关机构事务（款）--行政运行（项）决算数为28.03万元，年初无预算，主要为年中追加了人员经费。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（21）、党委办公厅（室）及相关机构事务（款）--一般行政管理事务（项）决算数为2.82万元，年初无预算，主要为以奖代补资金。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（22）、党委办公厅（室）及相关机构事务（款）--专项事务（项）决算数为18.66万元，年初无预算，主要为春节团拜节目选调、舞龙大赛、教师节晚会费用等。</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（23）、组织事务（款）--一般行政管理事务（项）决算数为51.78万元，年初无预算，主要为商圈党群服务中心建设、社区两新组织经费、党员教育经费、义工联合会困难补助。</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（24）、组织事务（款）--其他组织事务支出（项）决算数为5.88万元，年初无预算，主要为七一表彰费用。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（25）、统战事务（款）--一般行政管理事务（项）决算数为59.78万元，年初无预算，主要为新阶层人士实践创新基地建设经费。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（26）、其他共产党事务支出（款）--其他共产党事务支出（项）决算数为15.69万元，年初无预算，主要为党建工作经费。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（27）、市场监督管理事务（款）--市场监督管理专项（项）决算数为5.04万元，年初无预算，主要为食品安全协管员经费。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（28）、市场监督管理事务（款）--其他市场监督管理事务（项）决算数为15.65万元，年初无预算，主要为食品安全协管员经费。</w:t>
      </w:r>
    </w:p>
    <w:p>
      <w:pPr>
        <w:pStyle w:val="12"/>
        <w:overflowPunct w:val="0"/>
        <w:spacing w:line="600" w:lineRule="exact"/>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2.国防支出（类）支出决算数23.4万元。其中：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（1）、国防动员（款）--兵役征集（项）决算数为4.42万元，年初无预算，主要为征兵费用。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（2）、国防动员（款）--人民防空（项）决算数为13万元，年初无预算，主要为社区人防经费。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（3）、国防动员（款）--国防教育（项）决算数为2.34万元，年初无预算，主要为国防教育经费。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（4）、国防动员（款）--预备役部队（项）决算数为3.26万元，年初无预算，主要为预备役工兵营人员应急训练费用。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（5）、国防动员（款）--民兵（项）决算数为0.38万元，年初无预算，主要为民兵应急集训费用。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3.公共安全支出（类）年初预算数35.39万元，支出决算数130.38万元，完成年初预算数的368.41%。其中：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（1）、公安（款）--一般行政管理事务（项）决算数为7.72万元，年初无预算，主要为戒毒中心工作站示范点创建经费、戒毒康复示范点创建经费。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（2）、公安（款）--特别业务（项）决算数为34.99万元，年初无预算，主要为扫黑除恶宣传、打传费用。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（3）、国家安全（款）--其他国家安全支出（项）决算数为5.85万元，年初无预算，主要为国家安全反恐宣传费用。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（4）、司法（款）-行政运行（项）决算数为32.98万元，年初预算数为35.39万元，完成年初预算的93.19%，决算数小于年初预算数的主要原因是：年中预算调减了人员经费。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（5）、司法（款）--基层司法业务（项）决算数为7.64万元，年初无预算，主要为综治工作经费。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（6）、其他公共安全支出（款）--其他公共安全支出（项）决算数为41.2万元，年初无预算，主要为综治维稳、综治中心建设等费用。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4.教育支出（类）支出决算数146.62万元。其中：</w:t>
      </w:r>
    </w:p>
    <w:p>
      <w:pPr>
        <w:pStyle w:val="12"/>
        <w:overflowPunct w:val="0"/>
        <w:spacing w:line="600" w:lineRule="exact"/>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（1）、普通教育（款）--初中教育（项）决算数为14万元，年初无预算，主要为社区校车线路安防经费。</w:t>
      </w:r>
    </w:p>
    <w:p>
      <w:pPr>
        <w:pStyle w:val="12"/>
        <w:overflowPunct w:val="0"/>
        <w:spacing w:line="600" w:lineRule="exact"/>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（2）、普通教育（款）--其他普通教育支出（项）决算数为132.62万元，年初无预算，主要为社区校车线路安防、教师节慰问、学校提质改造经费。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5.科学技术支出（类）支出决算数37万元。其中：</w:t>
      </w:r>
    </w:p>
    <w:p>
      <w:pPr>
        <w:pStyle w:val="12"/>
        <w:overflowPunct w:val="0"/>
        <w:spacing w:line="600" w:lineRule="exact"/>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（1）、科学技术管理事务（款）--其他科学技术管理事务支出（项）决算数为4万元，年初无预算，主要为环境整治费用。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（2）、技术研究与开发（款）--应用技术研究与开发支出（项）决算数为13万元，年初无预算，主要为三力医用公司科技研发经费。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（3）、技术研究与开发（款）--其他技术研究与开发支出（项）决算数为15万元，年初无预算，主要为花炮集群产业扶持、社区文明创建经费。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（4）、科学技术普及（款）--科普活动（项）决算数为2万元，年初无预算，主要为科普日活动费用。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（5）、科学技术普及（款）--其他科学技术普及支出（项）决算数为3万元，年初无预算，主要为科普广场建设及科技普及资金。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w:t>
      </w:r>
      <w:r>
        <w:rPr>
          <w:rFonts w:hint="eastAsia"/>
          <w:color w:val="auto"/>
        </w:rPr>
        <w:t xml:space="preserve"> </w:t>
      </w:r>
      <w:r>
        <w:rPr>
          <w:rFonts w:hint="eastAsia" w:asciiTheme="minorEastAsia" w:hAnsiTheme="minorEastAsia" w:eastAsiaTheme="minorEastAsia"/>
          <w:color w:val="auto"/>
          <w:sz w:val="32"/>
          <w:szCs w:val="32"/>
        </w:rPr>
        <w:t>文化旅游体育与传媒支出（类）支出决算数73.17万元。其中：</w:t>
      </w:r>
    </w:p>
    <w:p>
      <w:pPr>
        <w:pStyle w:val="12"/>
        <w:overflowPunct w:val="0"/>
        <w:spacing w:line="600" w:lineRule="exact"/>
        <w:ind w:firstLine="960" w:firstLineChars="3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（1）、文化和旅游（款）--群众文化（项）决算数为2.67万元，年初无预算，主要为综合文化站建设、文艺下乡演出费用。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（2）、文化和旅游（款）--其他文化和旅游支出（项）决算数为64万元，年初无预算，主要为社区文明创建工作经费、面对面活动经费、文化服务中心建设资金。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（3）、广播电视（款）--广播（项）决算数为0.5万元，年初无预算，主要为“村村响”广播维修费用。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（4）、其他文化旅游体育与传媒支出（款）--其他文化旅游体育与传媒支出（项）决算数为6万元，年初无预算，主要为社区公共文化服务经费、文化中心建设、未成年人心理健康辅导经费。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w:t>
      </w:r>
      <w:r>
        <w:rPr>
          <w:rFonts w:hint="eastAsia"/>
          <w:color w:val="auto"/>
        </w:rPr>
        <w:t xml:space="preserve"> </w:t>
      </w:r>
      <w:r>
        <w:rPr>
          <w:rFonts w:hint="eastAsia" w:asciiTheme="minorEastAsia" w:hAnsiTheme="minorEastAsia" w:eastAsiaTheme="minorEastAsia"/>
          <w:color w:val="auto"/>
          <w:sz w:val="32"/>
          <w:szCs w:val="32"/>
        </w:rPr>
        <w:t>社会保障和就业支出（类）年初预算数409.44万元，支出决算数846.78万元，完成年初预算数的206.81%。其中：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（1）、人力资源和社会保障管理事务（款）--一般行政管理事务（项）决算数为3万元，年初无预算，主要为社区社会保障业务经费。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人力资源和社会保障管理事务（款）--社会保险经办机构（项）决算数为314.56万元，年初预算数为340.47万元，完成年初预算的92.37%，决算数小于年初预算数的主要原因是：年中预算调减了人员经费及公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（3）、人力资源和社会保障管理事务（款）--其他人力资源和社会保障管理事务支出（项）决算数为4.6万元，年初无预算，主要为社会救助资金、退休人员社会化管理服务费用。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（4）、民政管理事务（款）--其他民政管理事务支出（项）决算数为7.9万元，年初无预算，主要为殡葬改革费用。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行政事业单位离退休（款）--归口管理的行政单位离退休（项）决算数为66.54万元，年初预算数为50.85万元，完成年初预算的130.85%，决算数大于年初预算数的主要原因是：上级追加了行政退休人员一次性生活补助。</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（6）、行政事业单位离退休（款）--事业单位离退休（项）决算数为34.38万元，年初预算数为18.12万元，完成年初预算的189.73%，决算数大于年初预算数的主要原因是：上级追加了事业退休人员一次性生活补助。</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（7）、行政事业单位离退休（款）--机关事业单位职业年金缴费支出（项）决算数为13.9万元，年初无预算，主要为行政退休人员单位职业年金补缴支出。</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（8）、行政事业单位离退休（款）--其他行政事业单位离退休支出（项）决算数为58.26万元，年初无预算，主要为机关退休人员年终生活补助、春节及重阳节慰问经费。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（9）、抚恤（款）--其他优抚支出（项）决算数为252.7万元，年初无预算，主要为部分退役人员再就业扶持、重点优抚对象费用、退役服务中心费用。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（10）、退役安置（款）--军队干部专业安置（项）决算数为0.56万元，年初无预算，主要为部分退役人员再就业扶持。</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（11）、社会福利（款）--老年福利（项）决算数为4.63万元，年初无预算，主要为养老服务中心建设、敬老院运行经费。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（12）、社会福利（款）--其他社会福利支出（项）决算数为3万元，年初无预算，主要为社区村民政经费。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（13）、残疾人事业（款）--残疾人就业和扶贫（项）决算数为1万元，年初无预算，主要为残疾人阳光增收计划。</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（14）、残疾人事业（款）-- 残疾人体育（项）决算数为2万元，年初无预算，主要为危房重建救助资金。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（15）、残疾人事业（款）--其他残疾人事业支出（项）决算数为16.39万元，年初无预算，主要为无障碍改造、金明星社区经费、危房重建救助、春节慰问、残疾人信息调查经费。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（16）、最低生活保障（款）--农村最低生活保障金支出（项）决算数为8.85万元，年初无预算，主要为农村集中供养对象资金。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（17）、临时救助（款）--临时救助支出（项）决算数为16.66万元，年初无预算，主要为暖心工程慰问、特殊困难群体帮扶、临时救助资金。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（18）、特困人员救助供养（款）--农村特困人员救助供养支出（项）决算数为34.17万元，年初无预算，主要为农村集中供养对象资金、敬老院特护区建设经费。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（19）、退役军人管理事务（款）--其他退役军人事务管理支出（项）决算数为3.68万元，年初无预算，主要为部分退役人员断档养老保险补缴资金。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8.</w:t>
      </w:r>
      <w:r>
        <w:rPr>
          <w:rFonts w:hint="eastAsia"/>
          <w:color w:val="auto"/>
        </w:rPr>
        <w:t xml:space="preserve"> </w:t>
      </w:r>
      <w:r>
        <w:rPr>
          <w:rFonts w:hint="eastAsia" w:asciiTheme="minorEastAsia" w:hAnsiTheme="minorEastAsia" w:eastAsiaTheme="minorEastAsia"/>
          <w:color w:val="auto"/>
          <w:sz w:val="32"/>
          <w:szCs w:val="32"/>
        </w:rPr>
        <w:t>卫生健康支出（类）年初预算数195.83万元，支出决算数239.72万元，完成年初预算数的122.41%。其中：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（1）、计划生育事务（款）--计划生育服务（项）决算数为26.12万元，年初无预算，主要为计育关怀对象慰问、计育工作经费、手术并发症人员补助。</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（2）、计划生育事务（款）--其他计划生育事务支出（项）决算数为192.34万元，年初预算数为195.83万元，完成年初预算的98.22%，决算数小于年初预算数的主要原因是：年中预算调减了人员经费。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（3）、行政事业单位医疗（款）--行政单位医疗（项）决算数为3万元，年初无预算，主要为干部困难医药费补助。</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（4）、医疗补助（款）--其他医疗补助支出（项）决算数为5.64万元，年初无预算，主要为敬老院特困人员门诊医疗金补助、精准扶贫补助费用。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（5）、其他卫生健康支出（款）--其他卫生健康支出（项）决算数为12.62万元，年初无预算，主要为健康阵地建设费用。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9.</w:t>
      </w:r>
      <w:r>
        <w:rPr>
          <w:rFonts w:hint="eastAsia"/>
          <w:color w:val="auto"/>
        </w:rPr>
        <w:t xml:space="preserve"> </w:t>
      </w:r>
      <w:r>
        <w:rPr>
          <w:rFonts w:hint="eastAsia" w:asciiTheme="minorEastAsia" w:hAnsiTheme="minorEastAsia" w:eastAsiaTheme="minorEastAsia"/>
          <w:color w:val="auto"/>
          <w:sz w:val="32"/>
          <w:szCs w:val="32"/>
        </w:rPr>
        <w:t>节能环保支出（类）年初预算数1100万元，支出决算数239.16万元，完成年初预算数的21.74%。其中：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（1）、环境保护管理事务（款）--生态环境保护宣传（项）决算数为4.75万元，年初无预算，主要为去第二次全国污染普查宣传费用。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（2）、环境保护管理事务（款）--其他环境保护管理事务支出（项）决算数为0.84万元，年初无预算，主要为蓝天碧水工作经费。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（3）、污染防治（款）--其他污染防治支出（项）决算数为8.6万元，年初预算数为500万元，完成年初预算1.72%，决算数小于年初预算数的主要原因是：年中预算调减了生态污染环境治理经费。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自然生态保护（款）--农村环境保护（项）决算数为201.97万元，年初预算数为600万元，完成年初预算33.66%，决算数小于年初预算数的主要原因是：年中预算调减了环境整治经费、水系恢复、村级河道清淤、污水处理厂建设等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（5）、能源节约利用（款）--能源节约利用（项）决算数为23万元，年初无预算，主要为社区、村节能综合建设费用。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10.</w:t>
      </w:r>
      <w:r>
        <w:rPr>
          <w:rFonts w:hint="eastAsia"/>
          <w:color w:val="auto"/>
        </w:rPr>
        <w:t xml:space="preserve"> </w:t>
      </w:r>
      <w:r>
        <w:rPr>
          <w:rFonts w:hint="eastAsia" w:asciiTheme="minorEastAsia" w:hAnsiTheme="minorEastAsia" w:eastAsiaTheme="minorEastAsia"/>
          <w:color w:val="auto"/>
          <w:sz w:val="32"/>
          <w:szCs w:val="32"/>
        </w:rPr>
        <w:t>城乡社区支出（类）年初预算数392.43万元，支出决算数1249.81万元，完成年初预算数的318.48%。其中：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（1）、城乡社区管理事务（款）--行政运行（项）决算数为297.84万元，年初预算数为195.83万元，完成年初预算152.09%，决算数大于年初预算数的主要原因是：年中预算追加了人员经费。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（2）、城乡社区管理事务（款）--城管执法（项）决算数为38.99万元，年初预算数为80万元，完成年初预算48.73%，决算数小于年初预算数的主要原因是：年中预算调减了城管中队公用经费、拆违工作经费。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（3）、城乡社区管理事务（款）--其他城乡社区管理事务支出（项）决算数为17.78万元，年初无预算，主要为城建、拆迁、综合执法工作经费、欧式构件拆除费用。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（4）、城乡社区公共设施（款）--小城镇基础设施建设（项）决算数为11.71万元，年初无预算，主要为村级公路提质改造、集镇路灯安装费用。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（5）、城乡社区公共设施（款）--其他城乡社区公共设施支出（项）决算数为151.94万元，年初无预算，主要为社区、村提质提档改造、小型基建补助、人居环境改造、城管拆违等费用。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（6）、城乡社区环境卫生（款）--城乡社区环境卫生（项）决算数为175.83万元，年初无预算，主要为村级改厕、环境整治及垃圾分类经费。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（7）、其他城乡社区支出（款）--其他城乡社区支出（项）决算数为555.72万元，年初无预算，主要为基础设施建设、铁路前期工作经费和保障住房经费。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11.</w:t>
      </w:r>
      <w:r>
        <w:rPr>
          <w:rFonts w:hint="eastAsia"/>
          <w:color w:val="auto"/>
        </w:rPr>
        <w:t xml:space="preserve"> </w:t>
      </w:r>
      <w:r>
        <w:rPr>
          <w:rFonts w:hint="eastAsia" w:asciiTheme="minorEastAsia" w:hAnsiTheme="minorEastAsia" w:eastAsiaTheme="minorEastAsia"/>
          <w:color w:val="auto"/>
          <w:sz w:val="32"/>
          <w:szCs w:val="32"/>
        </w:rPr>
        <w:t>农林水支出（类）年初预算数1175.91万元，支出决算数2449.18万元，完成年初预算数的208.28%。其中：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（1）、农业（款）--事业运行（项）决算数为499.47万元，年初预算数为482.59万元，完成年初预算103.5%，决算数大于年初预算数的主要原因是：年中预算追加了人员及公用经费。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（2）、农业（款）--病虫害控制（项）决算数为13.26万元，年初无预算，主要为非洲猪瘟防控、病虫害防控和动物防疫工作经费。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（3）、农业（款）--防灾救灾（项）决算数为7万元，年初无预算，主要为合作社扶持资金及农业发展资金。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（4）、农业（款）--农业组织化与产业化经营（项）决算数为16万元，年初无预算，主要为合作社扶持资金、集体经济发展奖励资金。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（5）、农业（款）--农村公益事业（项）决算数为26.53万元，年初无预算，主要为自来水厂建设资金、村级基础设施建设、美丽乡村建设资金。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（6）、农业（款）--农村道路建设（项）决算数为34万元，年初无预算，主要为村级道路建设资金。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（7）、农业（款）--其他农业支出（项）决算数为114.54万元，年初无预算，主要为基础设施建设、合作社扶持、涉农整合资金和农业工作经费。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（8）、林业和草原（款）--事业机构（项）决算数为103.72万元，年初预算数为93.32万元，完成年初预算111.14%，决算数大于年初预算数的主要原因是：年中预算追加了人员及公用经费。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（9）、林业和草原（款）--森林培育（项）决算数为10万元，年初无预算，主要为绿化经费、林区森林防火经费。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（10）、林业和草原（款）--森林资源管理（项）决算数为6.2万元，年初无预算，主要为松材线虫病虫害除治经费。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（11）、林业和草原（款）--森林生态效益补偿（项）决算数为6.21万元，年初无预算，主要为生态效益林补偿管护支出。</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（12）、林业和草原（款）--防灾减灾（项）决算数为28.5万元，年初无预算，主要为松材线虫病虫害防控经费。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（13）、林业和草原（款）--其他林业和草原支出（项）决算数为5万元，年初无预算，主要为绿化建设资金。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（14）、水利（款）--水利工程建设（项）决算数为54万元，年初无预算，主要为社区村水损工程经费。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（15）、水利（款）--水利工程运行与维护（项）决算数为3万元，年初无预算，主要为村级水利修复经费。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（16）、水利（款）--防汛（项）决算数为4.05万元，年初无预算，主要为防汛支出。</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（17）、水利（款）--农田水利（项）决算数为43.55万元，年初无预算，主要为高标准农田建设奖补资金、水利基础设施建设。</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（18）、水利（款）--农村人畜饮水（项）决算数为4.12万元，年初无预算，主要为农村安全饮水资金、自来水厂托管经费。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（19）、水利（款）--其他水利支出（项）决算数为283.32万元，年初无预算，主要为畜禽养殖退养、水利设施建设、水管站工作经费。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（20）、扶贫（款）--其他扶贫支出（项）决算数为79.71万元，年初无预算，主要为财政产业就业扶贫资金。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（21）、农村综合改革（款）--对村级一事一议的补助（项）决算数为2万元，年初无预算，主要为唐家园村一事一议补助。</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22）、农村综合改革（款）--对村民委员会和村党支部的补助（项）决算数为1066.01万元，年初预算数为600万元，完成年初预算177.67%，决算数大于年初预算数的主要原因是：年中预算追加了村级运行、一卡通工资、社区惠民资金、及村级土地整理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（23）、农村综合改革（款）--其他农村综合改革支出（项）决算数为37.2万元，年初无预算，主要为涉农资金整合、集镇提质改造公益事业奖补。</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（24）、普惠金融发展支出（款）--其他普惠金融发展支出（项）决算数为1.29万元，年初无预算，主要为扶贫小额贷款奖励。</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（25）、其他农林水支出（款）--其他农林水支出（项）决算数为0.5万元，年初无预算，主要为太平桥豆豉厂科研经费。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12.</w:t>
      </w:r>
      <w:r>
        <w:rPr>
          <w:rFonts w:hint="eastAsia"/>
          <w:color w:val="auto"/>
        </w:rPr>
        <w:t xml:space="preserve"> </w:t>
      </w:r>
      <w:r>
        <w:rPr>
          <w:rFonts w:hint="eastAsia" w:asciiTheme="minorEastAsia" w:hAnsiTheme="minorEastAsia" w:eastAsiaTheme="minorEastAsia"/>
          <w:color w:val="auto"/>
          <w:sz w:val="32"/>
          <w:szCs w:val="32"/>
        </w:rPr>
        <w:t>交通运输支出（类）支出决算数232.97万元，其中：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（1）、公路水路运输（款）--公路建设（项）决算数为64.3万元，年初无预算，主要为公路建设经费。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（2）、公路水路运输（款）--公路养护（项）决算数为111.45万元，年初无预算，主要为路长制经费、灾情处置处突费用和社区村公路硬化资金。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（3）、公路水路运输（款）--公路运输管理（项）决算数为2万元，年初无预算，主要为社区维稳工作经费。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（4）、公路水路运输（款）--其他公路水路运输支出（项）决算数为54.59万元，年初无预算，主要为交通安全支出。</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（5）、成品油价格改革对交通运输的补贴（款）--对农村道路客运的补贴（项）决算数为0.27万元，年初无预算，主要为韩家港渡口经费。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（6）、成品油价格改革对交通运输的补贴（款）--成品油价格改革补贴其他支出（项）决算数为0.36万元，年初无预算，主要为韩家港水路油价补贴支出。</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13.</w:t>
      </w:r>
      <w:r>
        <w:rPr>
          <w:rFonts w:hint="eastAsia"/>
          <w:color w:val="auto"/>
        </w:rPr>
        <w:t xml:space="preserve"> </w:t>
      </w:r>
      <w:r>
        <w:rPr>
          <w:rFonts w:hint="eastAsia" w:asciiTheme="minorEastAsia" w:hAnsiTheme="minorEastAsia" w:eastAsiaTheme="minorEastAsia"/>
          <w:color w:val="auto"/>
          <w:sz w:val="32"/>
          <w:szCs w:val="32"/>
        </w:rPr>
        <w:t>资源勘探信息等支出（类）支出决算数93.64万元，其中：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（1）、制造业（款）--其他制造业支出（项）决算数为42.64元，年初无预算，主要为公共服务平台建设、科技研发资金。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（2）、支持中小企业发展和管理支出（款）--中小企业发展专项（项）决算数为23万元，年初无预算，主要为企业发展专项资金。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（3）、其他资源勘探信息等支出（款）--其他资源勘探信息等支出（项）决算数为28万元，年初无预算，主要为落后</w:t>
      </w:r>
      <w:r>
        <w:rPr>
          <w:rFonts w:hint="eastAsia" w:asciiTheme="minorEastAsia" w:hAnsiTheme="minorEastAsia" w:eastAsiaTheme="minorEastAsia"/>
          <w:color w:val="auto"/>
          <w:sz w:val="32"/>
          <w:szCs w:val="32"/>
          <w:lang w:eastAsia="zh-CN"/>
        </w:rPr>
        <w:t>烟花</w:t>
      </w:r>
      <w:r>
        <w:rPr>
          <w:rFonts w:hint="eastAsia" w:asciiTheme="minorEastAsia" w:hAnsiTheme="minorEastAsia" w:eastAsiaTheme="minorEastAsia"/>
          <w:color w:val="auto"/>
          <w:sz w:val="32"/>
          <w:szCs w:val="32"/>
        </w:rPr>
        <w:t>爆竹</w:t>
      </w:r>
      <w:r>
        <w:rPr>
          <w:rFonts w:hint="eastAsia" w:asciiTheme="minorEastAsia" w:hAnsiTheme="minorEastAsia" w:eastAsiaTheme="minorEastAsia"/>
          <w:color w:val="auto"/>
          <w:sz w:val="32"/>
          <w:szCs w:val="32"/>
          <w:lang w:eastAsia="zh-CN"/>
        </w:rPr>
        <w:t>企业</w:t>
      </w:r>
      <w:r>
        <w:rPr>
          <w:rFonts w:hint="eastAsia" w:asciiTheme="minorEastAsia" w:hAnsiTheme="minorEastAsia" w:eastAsiaTheme="minorEastAsia"/>
          <w:color w:val="auto"/>
          <w:sz w:val="32"/>
          <w:szCs w:val="32"/>
        </w:rPr>
        <w:t>退出工作经费。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14.</w:t>
      </w:r>
      <w:r>
        <w:rPr>
          <w:rFonts w:hint="eastAsia"/>
          <w:color w:val="auto"/>
        </w:rPr>
        <w:t xml:space="preserve"> </w:t>
      </w:r>
      <w:r>
        <w:rPr>
          <w:rFonts w:hint="eastAsia" w:asciiTheme="minorEastAsia" w:hAnsiTheme="minorEastAsia" w:eastAsiaTheme="minorEastAsia"/>
          <w:color w:val="auto"/>
          <w:sz w:val="32"/>
          <w:szCs w:val="32"/>
        </w:rPr>
        <w:t>商业服务业等支出（类）支出决算数7万元，其中：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（1）、商业流通事务（款）--其他商业流通事务支出（项）决算数为3万元，年初无预算，主要为生猪防疫经费。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（2）、涉外发展服务支出（款）--其他涉外发展服务支出（项）决算数为4万元，年初无预算，主要为村级外经发展经费。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15.</w:t>
      </w:r>
      <w:r>
        <w:rPr>
          <w:rFonts w:hint="eastAsia"/>
          <w:color w:val="auto"/>
        </w:rPr>
        <w:t xml:space="preserve"> </w:t>
      </w:r>
      <w:r>
        <w:rPr>
          <w:rFonts w:hint="eastAsia" w:asciiTheme="minorEastAsia" w:hAnsiTheme="minorEastAsia" w:eastAsiaTheme="minorEastAsia"/>
          <w:color w:val="auto"/>
          <w:sz w:val="32"/>
          <w:szCs w:val="32"/>
        </w:rPr>
        <w:t>自然资源海洋气象支出（类）支出决算数19.15万元，其中：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（1）、自然资源事务（款）--国土整治（项）决算数为5万元，年初无预算，主要为合盛村土地整理遗留问题补助。</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（2）、自然资源事务（款）--其他自然资源事务支出（项）决算数为14.15万元，年初无预算，主要为卫片执法工作经费。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16.</w:t>
      </w:r>
      <w:r>
        <w:rPr>
          <w:rFonts w:hint="eastAsia"/>
          <w:color w:val="auto"/>
        </w:rPr>
        <w:t xml:space="preserve"> </w:t>
      </w:r>
      <w:r>
        <w:rPr>
          <w:rFonts w:hint="eastAsia" w:asciiTheme="minorEastAsia" w:hAnsiTheme="minorEastAsia" w:eastAsiaTheme="minorEastAsia"/>
          <w:color w:val="auto"/>
          <w:sz w:val="32"/>
          <w:szCs w:val="32"/>
        </w:rPr>
        <w:t>住房保障支出（类）支出决算数326.51万元，其中：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（1）、保障性安居工程支出（款）--公共租赁住房（项）决算数为35.05万元，年初无预算，主要为马鞍山公租房小区改造经费。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（2）、保障性安居工程支出（款）--其他保障性安居工程支出（项）决算数为291.46万元，年初无预算，主要为棚改配套基础设施建设资金。</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17.</w:t>
      </w:r>
      <w:r>
        <w:rPr>
          <w:rFonts w:hint="eastAsia"/>
          <w:color w:val="auto"/>
        </w:rPr>
        <w:t xml:space="preserve"> </w:t>
      </w:r>
      <w:r>
        <w:rPr>
          <w:rFonts w:hint="eastAsia" w:asciiTheme="minorEastAsia" w:hAnsiTheme="minorEastAsia" w:eastAsiaTheme="minorEastAsia"/>
          <w:color w:val="auto"/>
          <w:sz w:val="32"/>
          <w:szCs w:val="32"/>
        </w:rPr>
        <w:t>灾害防治及应急管理支出（类）年初预算数355.65万元，支出决算数456.84万元，完成年初预算数的128.45%。其中：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（1）、应急管理事务（款）--灾害风险防治（项）决算数为42.75万元，年初无预算，主要为基层安监工作经费。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（2）、应急管理事务（款）--安全监管（项）年初预算数为355.65万元，支出决算数386.9万元，完成年初预算108.79%，决算数大于年初预算数的主要原因是：年中预算追加了人员及公用经费。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（3）、应急管理事务（款）--应急救援（项）决算数为5万元，年初无预算，主要为应急救援物资费用。</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（4）、应急管理事务（款）--其他应急管理支出（项）决算数为4.33万元，年初无预算，主要为安全工作经费。</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（5）、消防事务（款）--其他消防事务支出（项）决算数为5.16万元，年初无预算，主要为消防支出。</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（6）、自然灾害防治（款）--地质灾害防治（项）决算数为12.7万元，年初无预算，主要为社区村地质灾害应急处理资金。</w:t>
      </w:r>
    </w:p>
    <w:p>
      <w:pPr>
        <w:pStyle w:val="12"/>
        <w:overflowPunct w:val="0"/>
        <w:spacing w:line="600" w:lineRule="exact"/>
        <w:ind w:firstLine="800" w:firstLineChars="250"/>
        <w:jc w:val="both"/>
        <w:rPr>
          <w:rFonts w:hAnsi="黑体"/>
          <w:color w:val="auto"/>
          <w:sz w:val="32"/>
          <w:szCs w:val="32"/>
        </w:rPr>
      </w:pPr>
      <w:r>
        <w:rPr>
          <w:rFonts w:hint="eastAsia" w:hAnsi="黑体"/>
          <w:color w:val="auto"/>
          <w:sz w:val="32"/>
          <w:szCs w:val="32"/>
        </w:rPr>
        <w:t>六、一般公共预算财政拨款基本支出决算情况说明</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2019年度财政拨款基本支出2815.23万元，其中：人员经费2710.07万元，占基本支出的96.26%,主要包括基本工资、津贴补贴、奖金、机关事业单位基本养老保险缴费、职业年金缴费、职工基本医疗保险缴费、公务员医疗补助缴费</w:t>
      </w:r>
      <w:r>
        <w:rPr>
          <w:rFonts w:hint="eastAsia" w:asciiTheme="minorEastAsia" w:hAnsiTheme="minorEastAsia" w:eastAsiaTheme="minorEastAsia"/>
          <w:color w:val="auto"/>
          <w:sz w:val="32"/>
          <w:szCs w:val="32"/>
        </w:rPr>
        <w:tab/>
      </w:r>
      <w:r>
        <w:rPr>
          <w:rFonts w:hint="eastAsia" w:asciiTheme="minorEastAsia" w:hAnsiTheme="minorEastAsia" w:eastAsiaTheme="minorEastAsia"/>
          <w:color w:val="auto"/>
          <w:sz w:val="32"/>
          <w:szCs w:val="32"/>
        </w:rPr>
        <w:t>、其他社会保障缴费</w:t>
      </w:r>
      <w:r>
        <w:rPr>
          <w:rFonts w:hint="eastAsia" w:asciiTheme="minorEastAsia" w:hAnsiTheme="minorEastAsia" w:eastAsiaTheme="minorEastAsia"/>
          <w:color w:val="auto"/>
          <w:sz w:val="32"/>
          <w:szCs w:val="32"/>
        </w:rPr>
        <w:tab/>
      </w:r>
      <w:r>
        <w:rPr>
          <w:rFonts w:hint="eastAsia" w:asciiTheme="minorEastAsia" w:hAnsiTheme="minorEastAsia" w:eastAsiaTheme="minorEastAsia"/>
          <w:color w:val="auto"/>
          <w:sz w:val="32"/>
          <w:szCs w:val="32"/>
        </w:rPr>
        <w:t>、住房公积金、其他工资福利支出、退休费</w:t>
      </w:r>
      <w:r>
        <w:rPr>
          <w:rFonts w:hint="eastAsia" w:asciiTheme="minorEastAsia" w:hAnsiTheme="minorEastAsia" w:eastAsiaTheme="minorEastAsia"/>
          <w:color w:val="auto"/>
          <w:sz w:val="32"/>
          <w:szCs w:val="32"/>
        </w:rPr>
        <w:tab/>
      </w:r>
      <w:r>
        <w:rPr>
          <w:rFonts w:hint="eastAsia" w:asciiTheme="minorEastAsia" w:hAnsiTheme="minorEastAsia" w:eastAsiaTheme="minorEastAsia"/>
          <w:color w:val="auto"/>
          <w:sz w:val="32"/>
          <w:szCs w:val="32"/>
        </w:rPr>
        <w:t>、抚恤金、生活补助</w:t>
      </w:r>
      <w:r>
        <w:rPr>
          <w:rFonts w:hint="eastAsia" w:asciiTheme="minorEastAsia" w:hAnsiTheme="minorEastAsia" w:eastAsiaTheme="minorEastAsia"/>
          <w:color w:val="auto"/>
          <w:sz w:val="32"/>
          <w:szCs w:val="32"/>
        </w:rPr>
        <w:tab/>
      </w:r>
      <w:r>
        <w:rPr>
          <w:rFonts w:hint="eastAsia" w:asciiTheme="minorEastAsia" w:hAnsiTheme="minorEastAsia" w:eastAsiaTheme="minorEastAsia"/>
          <w:color w:val="auto"/>
          <w:sz w:val="32"/>
          <w:szCs w:val="32"/>
        </w:rPr>
        <w:t>、医疗费补助、奖励金、其他对个人和家庭的补助；公用经费105.16万元，占基本支出的3.74%，主要包括办公费、印刷费、水费、电费、</w:t>
      </w:r>
      <w:r>
        <w:rPr>
          <w:rFonts w:hint="eastAsia" w:asciiTheme="minorEastAsia" w:hAnsiTheme="minorEastAsia" w:eastAsiaTheme="minorEastAsia"/>
          <w:color w:val="auto"/>
          <w:sz w:val="32"/>
          <w:szCs w:val="32"/>
        </w:rPr>
        <w:tab/>
      </w:r>
      <w:r>
        <w:rPr>
          <w:rFonts w:hint="eastAsia" w:asciiTheme="minorEastAsia" w:hAnsiTheme="minorEastAsia" w:eastAsiaTheme="minorEastAsia"/>
          <w:color w:val="auto"/>
          <w:sz w:val="32"/>
          <w:szCs w:val="32"/>
        </w:rPr>
        <w:t>邮电费、专用材料费、劳务费、工会经费、其他交通费用、</w:t>
      </w:r>
    </w:p>
    <w:p>
      <w:pPr>
        <w:overflowPunct w:val="0"/>
        <w:spacing w:line="600" w:lineRule="exact"/>
        <w:rPr>
          <w:rFonts w:asciiTheme="minorEastAsia" w:hAnsiTheme="minorEastAsia"/>
          <w:sz w:val="32"/>
          <w:szCs w:val="32"/>
        </w:rPr>
      </w:pPr>
      <w:r>
        <w:rPr>
          <w:rFonts w:hint="eastAsia" w:asciiTheme="minorEastAsia" w:hAnsiTheme="minorEastAsia"/>
          <w:sz w:val="32"/>
          <w:szCs w:val="32"/>
        </w:rPr>
        <w:t>其他商品和服务支出。</w:t>
      </w:r>
    </w:p>
    <w:p>
      <w:pPr>
        <w:overflowPunct w:val="0"/>
        <w:spacing w:line="600" w:lineRule="exact"/>
        <w:ind w:firstLine="640" w:firstLineChars="200"/>
        <w:rPr>
          <w:rFonts w:hAnsi="黑体"/>
          <w:b/>
          <w:sz w:val="32"/>
          <w:szCs w:val="32"/>
        </w:rPr>
      </w:pPr>
      <w:r>
        <w:rPr>
          <w:rFonts w:hint="eastAsia" w:hAnsi="黑体"/>
          <w:b/>
          <w:sz w:val="32"/>
          <w:szCs w:val="32"/>
        </w:rPr>
        <w:t>七、一般公共预算财政拨款三公经费支出决算情况说明</w:t>
      </w:r>
    </w:p>
    <w:p>
      <w:pPr>
        <w:overflowPunct w:val="0"/>
        <w:spacing w:line="600" w:lineRule="exact"/>
        <w:ind w:firstLine="640" w:firstLineChars="200"/>
        <w:rPr>
          <w:rFonts w:asciiTheme="minorEastAsia" w:hAnsiTheme="minorEastAsia"/>
          <w:b/>
          <w:sz w:val="32"/>
          <w:szCs w:val="32"/>
        </w:rPr>
      </w:pPr>
      <w:r>
        <w:rPr>
          <w:rFonts w:hint="eastAsia" w:asciiTheme="minorEastAsia" w:hAnsiTheme="minorEastAsia"/>
          <w:b/>
          <w:sz w:val="32"/>
          <w:szCs w:val="32"/>
        </w:rPr>
        <w:t>（一）“三公”经费财政拨款支出决算总体情况说明</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“三公”经费财政拨款支出预算为102.75万元，支出决算为1.82万元，完成预算的1.77%，其中：</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因公出国（境）费支出预算为0万元，支出决算为0万元。与上年相比减少（增加）0万元。</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公务接待费支出预算为82.75万元，支出决算为1万元，完成预算的1.21%，决算数小于年初预算数的主要原因是严格实行厉行节约制度，公务接待费用减少，与上年相比减少0.34万元，减少25.37%,减少的主要原因是：</w:t>
      </w:r>
      <w:r>
        <w:rPr>
          <w:rFonts w:asciiTheme="minorEastAsia" w:hAnsiTheme="minorEastAsia" w:eastAsiaTheme="minorEastAsia"/>
          <w:color w:val="auto"/>
          <w:sz w:val="32"/>
          <w:szCs w:val="32"/>
        </w:rPr>
        <w:t>规范国内公务接待行为，严格审批控制</w:t>
      </w:r>
      <w:r>
        <w:rPr>
          <w:rFonts w:hint="eastAsia" w:asciiTheme="minorEastAsia" w:hAnsiTheme="minorEastAsia" w:eastAsiaTheme="minorEastAsia"/>
          <w:color w:val="auto"/>
          <w:sz w:val="32"/>
          <w:szCs w:val="32"/>
        </w:rPr>
        <w:t>接待活动，公务接待费用明显减少。</w:t>
      </w:r>
    </w:p>
    <w:p>
      <w:pPr>
        <w:pStyle w:val="12"/>
        <w:overflowPunct w:val="0"/>
        <w:spacing w:line="600" w:lineRule="exact"/>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及运行维护费支出预算为20万元，支出决算为0.82万元，完成预算的4.1%，决算数小于年初预算数的主要原因是公务用车运行维护费减少，与上年相比减少0.63万元，减少43.45%,减少的主要原因是：公车改革之后，公务用车使用频次减少，公务用车运行维护费明显减少。</w:t>
      </w:r>
    </w:p>
    <w:p>
      <w:pPr>
        <w:pStyle w:val="12"/>
        <w:overflowPunct w:val="0"/>
        <w:spacing w:line="600" w:lineRule="exact"/>
        <w:ind w:firstLine="640" w:firstLineChars="200"/>
        <w:jc w:val="both"/>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12"/>
        <w:overflowPunct w:val="0"/>
        <w:spacing w:line="600" w:lineRule="exact"/>
        <w:ind w:firstLine="640" w:firstLineChars="20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2019年度“三公”经费财政拨款支出决算中，公务接待费支出决算1万元，占54.95%,因公出国（境）费支出决算0万元，占0%,公务用车购置费及运行维护费支出决算0.82万元，占45.05%。其中：</w:t>
      </w:r>
    </w:p>
    <w:p>
      <w:pPr>
        <w:pStyle w:val="12"/>
        <w:overflowPunct w:val="0"/>
        <w:spacing w:line="600" w:lineRule="exact"/>
        <w:ind w:firstLine="640" w:firstLineChars="200"/>
        <w:jc w:val="both"/>
        <w:rPr>
          <w:rFonts w:asciiTheme="minorEastAsia" w:hAnsiTheme="minorEastAsia" w:eastAsiaTheme="minorEastAsia"/>
          <w:b/>
          <w:color w:val="auto"/>
          <w:sz w:val="32"/>
          <w:szCs w:val="32"/>
        </w:rPr>
      </w:pPr>
      <w:r>
        <w:rPr>
          <w:rFonts w:hint="eastAsia" w:asciiTheme="minorEastAsia" w:hAnsiTheme="minorEastAsia" w:eastAsiaTheme="minorEastAsia"/>
          <w:color w:val="auto"/>
          <w:sz w:val="32"/>
          <w:szCs w:val="32"/>
        </w:rPr>
        <w:t>1、因公出国（境）费支出决算为0万元，全年安排因公出国（境）团组0个，累计0人次。</w:t>
      </w:r>
    </w:p>
    <w:p>
      <w:pPr>
        <w:pStyle w:val="12"/>
        <w:overflowPunct w:val="0"/>
        <w:spacing w:line="600" w:lineRule="exact"/>
        <w:ind w:firstLine="800" w:firstLineChars="250"/>
        <w:jc w:val="both"/>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2、公务接待费支出决算为1万元，全年共接待来访团组40个、来宾262人次，主要是高铁选址发生的接待支出。</w:t>
      </w:r>
    </w:p>
    <w:p>
      <w:pPr>
        <w:overflowPunct w:val="0"/>
        <w:spacing w:line="600" w:lineRule="exact"/>
        <w:ind w:firstLine="800" w:firstLineChars="250"/>
        <w:rPr>
          <w:rFonts w:asciiTheme="minorEastAsia" w:hAnsiTheme="minorEastAsia"/>
          <w:sz w:val="32"/>
          <w:szCs w:val="32"/>
        </w:rPr>
      </w:pPr>
      <w:r>
        <w:rPr>
          <w:rFonts w:hint="eastAsia" w:asciiTheme="minorEastAsia" w:hAnsiTheme="minorEastAsia"/>
          <w:sz w:val="32"/>
          <w:szCs w:val="32"/>
        </w:rPr>
        <w:t>3、公务用车购置费及运行维护费支出决算为0.82万元，其中：公务用车购置费0万元，单位本级或某二级机构更新公务用车0辆。公务用车运行维护费0.82万元，主要是公车年检、维修及车辆保险费用支出，</w:t>
      </w:r>
      <w:r>
        <w:rPr>
          <w:rFonts w:hint="eastAsia" w:asciiTheme="minorEastAsia" w:hAnsiTheme="minorEastAsia"/>
          <w:sz w:val="32"/>
          <w:szCs w:val="32"/>
          <w:lang w:eastAsia="zh-CN"/>
        </w:rPr>
        <w:t>截至</w:t>
      </w:r>
      <w:r>
        <w:rPr>
          <w:rFonts w:hint="eastAsia" w:asciiTheme="minorEastAsia" w:hAnsiTheme="minorEastAsia"/>
          <w:sz w:val="32"/>
          <w:szCs w:val="32"/>
        </w:rPr>
        <w:t>2019年12月31日，我单位开支财政拨款的公务用车保有量为2辆，仅有使用权。</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八、政府性基金预算收入支出决算情况</w:t>
      </w:r>
    </w:p>
    <w:p>
      <w:pPr>
        <w:overflowPunct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2019年度政府性基金预算财政拨款收入57.98万元；年初结转和结余0万元；支出57.98万元，其中基本支出0万元，项目支出57.98万元；年末结转和结余0万元。</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九、关于2019年度预算绩效情况说明</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（一）本部门预算绩效管理开展情况</w:t>
      </w:r>
    </w:p>
    <w:p>
      <w:pPr>
        <w:pStyle w:val="12"/>
        <w:overflowPunct w:val="0"/>
        <w:spacing w:line="600" w:lineRule="exact"/>
        <w:ind w:firstLine="640" w:firstLineChars="200"/>
        <w:jc w:val="both"/>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为进一步规范财政资金管理，强化绩效和责任意识，切实提高财政资金使用效益，根据《浏阳市财政局关于开展</w:t>
      </w:r>
      <w:r>
        <w:rPr>
          <w:rFonts w:asciiTheme="minorEastAsia" w:hAnsiTheme="minorEastAsia" w:eastAsiaTheme="minorEastAsia" w:cstheme="minorBidi"/>
          <w:color w:val="auto"/>
          <w:kern w:val="2"/>
          <w:sz w:val="32"/>
          <w:szCs w:val="32"/>
        </w:rPr>
        <w:t>2019</w:t>
      </w:r>
      <w:r>
        <w:rPr>
          <w:rFonts w:hint="eastAsia" w:asciiTheme="minorEastAsia" w:hAnsiTheme="minorEastAsia" w:eastAsiaTheme="minorEastAsia" w:cstheme="minorBidi"/>
          <w:color w:val="auto"/>
          <w:kern w:val="2"/>
          <w:sz w:val="32"/>
          <w:szCs w:val="32"/>
        </w:rPr>
        <w:t>年度部门整体支出绩效自评和</w:t>
      </w:r>
      <w:r>
        <w:rPr>
          <w:rFonts w:asciiTheme="minorEastAsia" w:hAnsiTheme="minorEastAsia" w:eastAsiaTheme="minorEastAsia" w:cstheme="minorBidi"/>
          <w:color w:val="auto"/>
          <w:kern w:val="2"/>
          <w:sz w:val="32"/>
          <w:szCs w:val="32"/>
        </w:rPr>
        <w:t>2020</w:t>
      </w:r>
      <w:r>
        <w:rPr>
          <w:rFonts w:hint="eastAsia" w:asciiTheme="minorEastAsia" w:hAnsiTheme="minorEastAsia" w:eastAsiaTheme="minorEastAsia" w:cstheme="minorBidi"/>
          <w:color w:val="auto"/>
          <w:kern w:val="2"/>
          <w:sz w:val="32"/>
          <w:szCs w:val="32"/>
        </w:rPr>
        <w:t>年度绩效监控工作的通知》（浏财函〔</w:t>
      </w:r>
      <w:r>
        <w:rPr>
          <w:rFonts w:asciiTheme="minorEastAsia" w:hAnsiTheme="minorEastAsia" w:eastAsiaTheme="minorEastAsia" w:cstheme="minorBidi"/>
          <w:color w:val="auto"/>
          <w:kern w:val="2"/>
          <w:sz w:val="32"/>
          <w:szCs w:val="32"/>
        </w:rPr>
        <w:t>2020</w:t>
      </w:r>
      <w:r>
        <w:rPr>
          <w:rFonts w:hint="eastAsia" w:asciiTheme="minorEastAsia" w:hAnsiTheme="minorEastAsia" w:eastAsiaTheme="minorEastAsia" w:cstheme="minorBidi"/>
          <w:color w:val="auto"/>
          <w:kern w:val="2"/>
          <w:sz w:val="32"/>
          <w:szCs w:val="32"/>
        </w:rPr>
        <w:t>〕</w:t>
      </w:r>
      <w:r>
        <w:rPr>
          <w:rFonts w:asciiTheme="minorEastAsia" w:hAnsiTheme="minorEastAsia" w:eastAsiaTheme="minorEastAsia" w:cstheme="minorBidi"/>
          <w:color w:val="auto"/>
          <w:kern w:val="2"/>
          <w:sz w:val="32"/>
          <w:szCs w:val="32"/>
        </w:rPr>
        <w:t>5</w:t>
      </w:r>
      <w:r>
        <w:rPr>
          <w:rFonts w:hint="eastAsia" w:asciiTheme="minorEastAsia" w:hAnsiTheme="minorEastAsia" w:eastAsiaTheme="minorEastAsia" w:cstheme="minorBidi"/>
          <w:color w:val="auto"/>
          <w:kern w:val="2"/>
          <w:sz w:val="32"/>
          <w:szCs w:val="32"/>
        </w:rPr>
        <w:t>号）要求，我单位对</w:t>
      </w:r>
      <w:r>
        <w:rPr>
          <w:rFonts w:asciiTheme="minorEastAsia" w:hAnsiTheme="minorEastAsia" w:eastAsiaTheme="minorEastAsia" w:cstheme="minorBidi"/>
          <w:color w:val="auto"/>
          <w:kern w:val="2"/>
          <w:sz w:val="32"/>
          <w:szCs w:val="32"/>
        </w:rPr>
        <w:t>2019</w:t>
      </w:r>
      <w:r>
        <w:rPr>
          <w:rFonts w:hint="eastAsia" w:asciiTheme="minorEastAsia" w:hAnsiTheme="minorEastAsia" w:eastAsiaTheme="minorEastAsia" w:cstheme="minorBidi"/>
          <w:color w:val="auto"/>
          <w:kern w:val="2"/>
          <w:sz w:val="32"/>
          <w:szCs w:val="32"/>
        </w:rPr>
        <w:t>年部门整体支出情况开展了绩效自评，形成了自评报告（详见附件）。</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（二）部门整体支出绩效自评结果</w:t>
      </w:r>
    </w:p>
    <w:p>
      <w:pPr>
        <w:overflowPunct w:val="0"/>
        <w:spacing w:line="600" w:lineRule="exact"/>
        <w:ind w:firstLine="640" w:firstLineChars="200"/>
        <w:rPr>
          <w:rFonts w:asciiTheme="minorEastAsia" w:hAnsiTheme="minorEastAsia"/>
          <w:sz w:val="32"/>
          <w:szCs w:val="32"/>
        </w:rPr>
      </w:pPr>
      <w:r>
        <w:rPr>
          <w:rFonts w:asciiTheme="minorEastAsia" w:hAnsiTheme="minorEastAsia"/>
          <w:sz w:val="32"/>
          <w:szCs w:val="32"/>
        </w:rPr>
        <w:t>2019年度财政拨款支出</w:t>
      </w:r>
      <w:r>
        <w:rPr>
          <w:rFonts w:hint="eastAsia" w:asciiTheme="minorEastAsia" w:hAnsiTheme="minorEastAsia"/>
          <w:sz w:val="32"/>
          <w:szCs w:val="32"/>
        </w:rPr>
        <w:t>10043.71</w:t>
      </w:r>
      <w:r>
        <w:rPr>
          <w:rFonts w:asciiTheme="minorEastAsia" w:hAnsiTheme="minorEastAsia"/>
          <w:sz w:val="32"/>
          <w:szCs w:val="32"/>
        </w:rPr>
        <w:t xml:space="preserve">万元，占本年支出合计的 </w:t>
      </w:r>
      <w:r>
        <w:rPr>
          <w:rFonts w:hint="eastAsia" w:asciiTheme="minorEastAsia" w:hAnsiTheme="minorEastAsia"/>
          <w:sz w:val="32"/>
          <w:szCs w:val="32"/>
        </w:rPr>
        <w:t>91.9</w:t>
      </w:r>
      <w:r>
        <w:rPr>
          <w:rFonts w:asciiTheme="minorEastAsia" w:hAnsiTheme="minorEastAsia"/>
          <w:sz w:val="32"/>
          <w:szCs w:val="32"/>
        </w:rPr>
        <w:t xml:space="preserve"> %，与2018年相比，财政拨款支出</w:t>
      </w:r>
      <w:r>
        <w:rPr>
          <w:rFonts w:hint="eastAsia" w:asciiTheme="minorEastAsia" w:hAnsiTheme="minorEastAsia"/>
          <w:sz w:val="32"/>
          <w:szCs w:val="32"/>
        </w:rPr>
        <w:t>减少1926.32</w:t>
      </w:r>
      <w:r>
        <w:rPr>
          <w:rFonts w:asciiTheme="minorEastAsia" w:hAnsiTheme="minorEastAsia"/>
          <w:sz w:val="32"/>
          <w:szCs w:val="32"/>
        </w:rPr>
        <w:t>万元，降</w:t>
      </w:r>
      <w:r>
        <w:rPr>
          <w:rFonts w:hint="eastAsia" w:asciiTheme="minorEastAsia" w:hAnsiTheme="minorEastAsia"/>
          <w:sz w:val="32"/>
          <w:szCs w:val="32"/>
        </w:rPr>
        <w:t>低16.09</w:t>
      </w:r>
      <w:r>
        <w:rPr>
          <w:rFonts w:asciiTheme="minorEastAsia" w:hAnsiTheme="minorEastAsia"/>
          <w:sz w:val="32"/>
          <w:szCs w:val="32"/>
        </w:rPr>
        <w:t xml:space="preserve"> %，完成了年初预算的 </w:t>
      </w:r>
      <w:r>
        <w:rPr>
          <w:rFonts w:hint="eastAsia" w:asciiTheme="minorEastAsia" w:hAnsiTheme="minorEastAsia"/>
          <w:sz w:val="32"/>
          <w:szCs w:val="32"/>
        </w:rPr>
        <w:t>115.12</w:t>
      </w:r>
      <w:r>
        <w:rPr>
          <w:rFonts w:asciiTheme="minorEastAsia" w:hAnsiTheme="minorEastAsia"/>
          <w:sz w:val="32"/>
          <w:szCs w:val="32"/>
        </w:rPr>
        <w:t xml:space="preserve"> %，完成了预算绩效目标。</w:t>
      </w:r>
      <w:r>
        <w:rPr>
          <w:rFonts w:hint="eastAsia" w:asciiTheme="minorEastAsia" w:hAnsiTheme="minorEastAsia"/>
          <w:sz w:val="32"/>
          <w:szCs w:val="32"/>
        </w:rPr>
        <w:t>根据部门整体支出绩效评价指标，部门整体支出绩效自评得分95分，等级为“优”。从评价情况来看，预算执行情况较好，完成情况较好，预算绩效目标达成情况较好。2019年我街道一般公共预算财政拨款项目支出年初预算为5715万元，支出决算为7170.5万元，</w:t>
      </w:r>
      <w:r>
        <w:rPr>
          <w:rFonts w:asciiTheme="minorEastAsia" w:hAnsiTheme="minorEastAsia"/>
          <w:sz w:val="32"/>
          <w:szCs w:val="32"/>
        </w:rPr>
        <w:t xml:space="preserve">完成了年初预算的 </w:t>
      </w:r>
      <w:r>
        <w:rPr>
          <w:rFonts w:hint="eastAsia" w:asciiTheme="minorEastAsia" w:hAnsiTheme="minorEastAsia"/>
          <w:sz w:val="32"/>
          <w:szCs w:val="32"/>
        </w:rPr>
        <w:t>125.47</w:t>
      </w:r>
      <w:r>
        <w:rPr>
          <w:rFonts w:asciiTheme="minorEastAsia" w:hAnsiTheme="minorEastAsia"/>
          <w:sz w:val="32"/>
          <w:szCs w:val="32"/>
        </w:rPr>
        <w:t xml:space="preserve"> %，</w:t>
      </w:r>
      <w:r>
        <w:rPr>
          <w:rFonts w:hint="eastAsia" w:asciiTheme="minorEastAsia" w:hAnsiTheme="minorEastAsia"/>
          <w:sz w:val="32"/>
          <w:szCs w:val="32"/>
        </w:rPr>
        <w:t>涉及项目14个，全部纳入了项目整体绩效目标管理。如：征拆项目年初预算为</w:t>
      </w:r>
      <w:r>
        <w:rPr>
          <w:rFonts w:asciiTheme="minorEastAsia" w:hAnsiTheme="minorEastAsia"/>
          <w:sz w:val="32"/>
          <w:szCs w:val="32"/>
        </w:rPr>
        <w:t>900</w:t>
      </w:r>
      <w:r>
        <w:rPr>
          <w:rFonts w:hint="eastAsia" w:asciiTheme="minorEastAsia" w:hAnsiTheme="minorEastAsia"/>
          <w:sz w:val="32"/>
          <w:szCs w:val="32"/>
        </w:rPr>
        <w:t>万元，2019年支出573.25万元，主要用于全街道征地拆迁工作的开展，推进重点拆迁项目高效有序进行，为整个城市发展建设提供有力的服务和支持。</w:t>
      </w:r>
      <w:r>
        <w:rPr>
          <w:rFonts w:asciiTheme="minorEastAsia" w:hAnsiTheme="minorEastAsia"/>
          <w:sz w:val="32"/>
          <w:szCs w:val="32"/>
        </w:rPr>
        <w:t>2</w:t>
      </w:r>
      <w:r>
        <w:rPr>
          <w:rFonts w:hint="eastAsia" w:asciiTheme="minorEastAsia" w:hAnsiTheme="minorEastAsia"/>
          <w:sz w:val="32"/>
          <w:szCs w:val="32"/>
        </w:rPr>
        <w:t>、文明创建项目年初预算为</w:t>
      </w:r>
      <w:r>
        <w:rPr>
          <w:rFonts w:asciiTheme="minorEastAsia" w:hAnsiTheme="minorEastAsia"/>
          <w:sz w:val="32"/>
          <w:szCs w:val="32"/>
        </w:rPr>
        <w:t>400</w:t>
      </w:r>
      <w:r>
        <w:rPr>
          <w:rFonts w:hint="eastAsia" w:asciiTheme="minorEastAsia" w:hAnsiTheme="minorEastAsia"/>
          <w:sz w:val="32"/>
          <w:szCs w:val="32"/>
        </w:rPr>
        <w:t>万元，2019年支出154.35万元，主要用于建设全国文明城市、提高社会文明程度等，推动经济与社会的协调发展，让全辖区人民生活在一个安宁祥和的美好环境中。</w:t>
      </w:r>
      <w:r>
        <w:rPr>
          <w:rFonts w:asciiTheme="minorEastAsia" w:hAnsiTheme="minorEastAsia"/>
          <w:sz w:val="32"/>
          <w:szCs w:val="32"/>
        </w:rPr>
        <w:t>3</w:t>
      </w:r>
      <w:r>
        <w:rPr>
          <w:rFonts w:hint="eastAsia" w:asciiTheme="minorEastAsia" w:hAnsiTheme="minorEastAsia"/>
          <w:sz w:val="32"/>
          <w:szCs w:val="32"/>
        </w:rPr>
        <w:t>、安全生产项目年初预算为</w:t>
      </w:r>
      <w:r>
        <w:rPr>
          <w:rFonts w:asciiTheme="minorEastAsia" w:hAnsiTheme="minorEastAsia"/>
          <w:sz w:val="32"/>
          <w:szCs w:val="32"/>
        </w:rPr>
        <w:t>120</w:t>
      </w:r>
      <w:r>
        <w:rPr>
          <w:rFonts w:hint="eastAsia" w:asciiTheme="minorEastAsia" w:hAnsiTheme="minorEastAsia"/>
          <w:sz w:val="32"/>
          <w:szCs w:val="32"/>
        </w:rPr>
        <w:t>万元，2019年支出151.31万元，用于全街道安全生产工作，促进安全生产与经济社会的协调发展，实现经济增长、事故下降的目标。</w:t>
      </w:r>
      <w:r>
        <w:rPr>
          <w:rFonts w:asciiTheme="minorEastAsia" w:hAnsiTheme="minorEastAsia"/>
          <w:sz w:val="32"/>
          <w:szCs w:val="32"/>
        </w:rPr>
        <w:t>4</w:t>
      </w:r>
      <w:r>
        <w:rPr>
          <w:rFonts w:hint="eastAsia" w:asciiTheme="minorEastAsia" w:hAnsiTheme="minorEastAsia"/>
          <w:sz w:val="32"/>
          <w:szCs w:val="32"/>
        </w:rPr>
        <w:t>、维稳工作项目年初预算为</w:t>
      </w:r>
      <w:r>
        <w:rPr>
          <w:rFonts w:asciiTheme="minorEastAsia" w:hAnsiTheme="minorEastAsia"/>
          <w:sz w:val="32"/>
          <w:szCs w:val="32"/>
        </w:rPr>
        <w:t>300</w:t>
      </w:r>
      <w:r>
        <w:rPr>
          <w:rFonts w:hint="eastAsia" w:asciiTheme="minorEastAsia" w:hAnsiTheme="minorEastAsia"/>
          <w:sz w:val="32"/>
          <w:szCs w:val="32"/>
        </w:rPr>
        <w:t>万元，2019年支出388.03万元，让全辖区人民生活在安宁祥和的美好环境中，人民生活得更加幸福、更有尊严，社会更加公正、更加和谐。</w:t>
      </w:r>
      <w:r>
        <w:rPr>
          <w:rFonts w:asciiTheme="minorEastAsia" w:hAnsiTheme="minorEastAsia"/>
          <w:sz w:val="32"/>
          <w:szCs w:val="32"/>
        </w:rPr>
        <w:t>5</w:t>
      </w:r>
      <w:r>
        <w:rPr>
          <w:rFonts w:hint="eastAsia" w:asciiTheme="minorEastAsia" w:hAnsiTheme="minorEastAsia"/>
          <w:sz w:val="32"/>
          <w:szCs w:val="32"/>
        </w:rPr>
        <w:t>、民政项目年初预算为</w:t>
      </w:r>
      <w:r>
        <w:rPr>
          <w:rFonts w:asciiTheme="minorEastAsia" w:hAnsiTheme="minorEastAsia"/>
          <w:sz w:val="32"/>
          <w:szCs w:val="32"/>
        </w:rPr>
        <w:t>150</w:t>
      </w:r>
      <w:r>
        <w:rPr>
          <w:rFonts w:hint="eastAsia" w:asciiTheme="minorEastAsia" w:hAnsiTheme="minorEastAsia"/>
          <w:sz w:val="32"/>
          <w:szCs w:val="32"/>
        </w:rPr>
        <w:t>万元，2019年支出52.04万元，通过建立完善的社会救助体系，扶贫济困，促进社会公平，增加社会就业，确保各项惠民政策落实到位。</w:t>
      </w:r>
      <w:r>
        <w:rPr>
          <w:rFonts w:asciiTheme="minorEastAsia" w:hAnsiTheme="minorEastAsia"/>
          <w:sz w:val="32"/>
          <w:szCs w:val="32"/>
        </w:rPr>
        <w:t>6</w:t>
      </w:r>
      <w:r>
        <w:rPr>
          <w:rFonts w:hint="eastAsia" w:asciiTheme="minorEastAsia" w:hAnsiTheme="minorEastAsia"/>
          <w:sz w:val="32"/>
          <w:szCs w:val="32"/>
        </w:rPr>
        <w:t>、党建工作项目年初预算为</w:t>
      </w:r>
      <w:r>
        <w:rPr>
          <w:rFonts w:asciiTheme="minorEastAsia" w:hAnsiTheme="minorEastAsia"/>
          <w:sz w:val="32"/>
          <w:szCs w:val="32"/>
        </w:rPr>
        <w:t>300</w:t>
      </w:r>
      <w:r>
        <w:rPr>
          <w:rFonts w:hint="eastAsia" w:asciiTheme="minorEastAsia" w:hAnsiTheme="minorEastAsia"/>
          <w:sz w:val="32"/>
          <w:szCs w:val="32"/>
        </w:rPr>
        <w:t>万元，2019年支出124.78万元，主要用于打造学习型、服务型、创新型的党组织，为人民群众办实事，解难事。</w:t>
      </w:r>
      <w:r>
        <w:rPr>
          <w:rFonts w:asciiTheme="minorEastAsia" w:hAnsiTheme="minorEastAsia"/>
          <w:sz w:val="32"/>
          <w:szCs w:val="32"/>
        </w:rPr>
        <w:t>7</w:t>
      </w:r>
      <w:r>
        <w:rPr>
          <w:rFonts w:hint="eastAsia" w:asciiTheme="minorEastAsia" w:hAnsiTheme="minorEastAsia"/>
          <w:sz w:val="32"/>
          <w:szCs w:val="32"/>
        </w:rPr>
        <w:t>、城管项目年初预算为</w:t>
      </w:r>
      <w:r>
        <w:rPr>
          <w:rFonts w:asciiTheme="minorEastAsia" w:hAnsiTheme="minorEastAsia"/>
          <w:sz w:val="32"/>
          <w:szCs w:val="32"/>
        </w:rPr>
        <w:t>80</w:t>
      </w:r>
      <w:r>
        <w:rPr>
          <w:rFonts w:hint="eastAsia" w:asciiTheme="minorEastAsia" w:hAnsiTheme="minorEastAsia"/>
          <w:sz w:val="32"/>
          <w:szCs w:val="32"/>
        </w:rPr>
        <w:t>万元，2019年支出111.7万元，主要用于不断提升城市管理效能，服务于广大群众，确保城管部门维护好城市的环境秩序。</w:t>
      </w:r>
      <w:r>
        <w:rPr>
          <w:rFonts w:asciiTheme="minorEastAsia" w:hAnsiTheme="minorEastAsia"/>
          <w:sz w:val="32"/>
          <w:szCs w:val="32"/>
        </w:rPr>
        <w:t>8</w:t>
      </w:r>
      <w:r>
        <w:rPr>
          <w:rFonts w:hint="eastAsia" w:asciiTheme="minorEastAsia" w:hAnsiTheme="minorEastAsia"/>
          <w:sz w:val="32"/>
          <w:szCs w:val="32"/>
        </w:rPr>
        <w:t>、提质提档项目年初预算为600万元，2019年支出596.31万元，主要用于对羊角湾、淮洲河两岸、龚家桥小区等</w:t>
      </w:r>
      <w:r>
        <w:rPr>
          <w:rFonts w:asciiTheme="minorEastAsia" w:hAnsiTheme="minorEastAsia"/>
          <w:sz w:val="32"/>
          <w:szCs w:val="32"/>
        </w:rPr>
        <w:t>13</w:t>
      </w:r>
      <w:r>
        <w:rPr>
          <w:rFonts w:hint="eastAsia" w:asciiTheme="minorEastAsia" w:hAnsiTheme="minorEastAsia"/>
          <w:sz w:val="32"/>
          <w:szCs w:val="32"/>
        </w:rPr>
        <w:t>个项目进行提质提档改造，更好地为群众服务，优化社区服务阵地，打造品质高端、服务优质化、居民幸福感明显提升的新集里。</w:t>
      </w:r>
      <w:r>
        <w:rPr>
          <w:rFonts w:asciiTheme="minorEastAsia" w:hAnsiTheme="minorEastAsia"/>
          <w:sz w:val="32"/>
          <w:szCs w:val="32"/>
        </w:rPr>
        <w:t>9</w:t>
      </w:r>
      <w:r>
        <w:rPr>
          <w:rFonts w:hint="eastAsia" w:asciiTheme="minorEastAsia" w:hAnsiTheme="minorEastAsia"/>
          <w:sz w:val="32"/>
          <w:szCs w:val="32"/>
        </w:rPr>
        <w:t>、文教卫项目年初预算</w:t>
      </w:r>
      <w:r>
        <w:rPr>
          <w:rFonts w:asciiTheme="minorEastAsia" w:hAnsiTheme="minorEastAsia"/>
          <w:sz w:val="32"/>
          <w:szCs w:val="32"/>
        </w:rPr>
        <w:t>286</w:t>
      </w:r>
      <w:r>
        <w:rPr>
          <w:rFonts w:hint="eastAsia" w:asciiTheme="minorEastAsia" w:hAnsiTheme="minorEastAsia"/>
          <w:sz w:val="32"/>
          <w:szCs w:val="32"/>
        </w:rPr>
        <w:t>万元，2019年支出197.99万元，为学校、医院、文化站提供更好的环境，形成适应现代经济生活的观念态度和行为方式，为经济的持续发展提供良好的背景。</w:t>
      </w:r>
      <w:r>
        <w:rPr>
          <w:rFonts w:asciiTheme="minorEastAsia" w:hAnsiTheme="minorEastAsia"/>
          <w:sz w:val="32"/>
          <w:szCs w:val="32"/>
        </w:rPr>
        <w:t>10</w:t>
      </w:r>
      <w:r>
        <w:rPr>
          <w:rFonts w:hint="eastAsia" w:asciiTheme="minorEastAsia" w:hAnsiTheme="minorEastAsia"/>
          <w:sz w:val="32"/>
          <w:szCs w:val="32"/>
        </w:rPr>
        <w:t>、村级运行项目年初预算为</w:t>
      </w:r>
      <w:r>
        <w:rPr>
          <w:rFonts w:asciiTheme="minorEastAsia" w:hAnsiTheme="minorEastAsia"/>
          <w:sz w:val="32"/>
          <w:szCs w:val="32"/>
        </w:rPr>
        <w:t>600</w:t>
      </w:r>
      <w:r>
        <w:rPr>
          <w:rFonts w:hint="eastAsia" w:asciiTheme="minorEastAsia" w:hAnsiTheme="minorEastAsia"/>
          <w:sz w:val="32"/>
          <w:szCs w:val="32"/>
        </w:rPr>
        <w:t>万元，2019年支出539.8万元，确保全街道社区村工作正常运转，促进社区村经济进一步快速发展，做到令群众满意。</w:t>
      </w:r>
      <w:r>
        <w:rPr>
          <w:rFonts w:asciiTheme="minorEastAsia" w:hAnsiTheme="minorEastAsia"/>
          <w:sz w:val="32"/>
          <w:szCs w:val="32"/>
        </w:rPr>
        <w:t>11</w:t>
      </w:r>
      <w:r>
        <w:rPr>
          <w:rFonts w:hint="eastAsia" w:asciiTheme="minorEastAsia" w:hAnsiTheme="minorEastAsia"/>
          <w:sz w:val="32"/>
          <w:szCs w:val="32"/>
        </w:rPr>
        <w:t>、环境整治项目年初预算为</w:t>
      </w:r>
      <w:r>
        <w:rPr>
          <w:rFonts w:asciiTheme="minorEastAsia" w:hAnsiTheme="minorEastAsia"/>
          <w:sz w:val="32"/>
          <w:szCs w:val="32"/>
        </w:rPr>
        <w:t>600</w:t>
      </w:r>
      <w:r>
        <w:rPr>
          <w:rFonts w:hint="eastAsia" w:asciiTheme="minorEastAsia" w:hAnsiTheme="minorEastAsia"/>
          <w:sz w:val="32"/>
          <w:szCs w:val="32"/>
        </w:rPr>
        <w:t>万元，2019年支出439.8万元，对</w:t>
      </w:r>
      <w:r>
        <w:rPr>
          <w:rFonts w:asciiTheme="minorEastAsia" w:hAnsiTheme="minorEastAsia"/>
          <w:sz w:val="32"/>
          <w:szCs w:val="32"/>
        </w:rPr>
        <w:t>7</w:t>
      </w:r>
      <w:r>
        <w:rPr>
          <w:rFonts w:hint="eastAsia" w:asciiTheme="minorEastAsia" w:hAnsiTheme="minorEastAsia"/>
          <w:sz w:val="32"/>
          <w:szCs w:val="32"/>
        </w:rPr>
        <w:t>个社区</w:t>
      </w:r>
      <w:r>
        <w:rPr>
          <w:rFonts w:asciiTheme="minorEastAsia" w:hAnsiTheme="minorEastAsia"/>
          <w:sz w:val="32"/>
          <w:szCs w:val="32"/>
        </w:rPr>
        <w:t>7</w:t>
      </w:r>
      <w:r>
        <w:rPr>
          <w:rFonts w:hint="eastAsia" w:asciiTheme="minorEastAsia" w:hAnsiTheme="minorEastAsia"/>
          <w:sz w:val="32"/>
          <w:szCs w:val="32"/>
        </w:rPr>
        <w:t>个村进行绿化、立面改造和环境整治，确保全街道社区村经济进一步快速发展，打造幸福家园。</w:t>
      </w:r>
      <w:r>
        <w:rPr>
          <w:rFonts w:asciiTheme="minorEastAsia" w:hAnsiTheme="minorEastAsia"/>
          <w:sz w:val="32"/>
          <w:szCs w:val="32"/>
        </w:rPr>
        <w:t>12</w:t>
      </w:r>
      <w:r>
        <w:rPr>
          <w:rFonts w:hint="eastAsia" w:asciiTheme="minorEastAsia" w:hAnsiTheme="minorEastAsia"/>
          <w:sz w:val="32"/>
          <w:szCs w:val="32"/>
        </w:rPr>
        <w:t>、精准扶贫项目年初预算为</w:t>
      </w:r>
      <w:r>
        <w:rPr>
          <w:rFonts w:asciiTheme="minorEastAsia" w:hAnsiTheme="minorEastAsia"/>
          <w:sz w:val="32"/>
          <w:szCs w:val="32"/>
        </w:rPr>
        <w:t>500</w:t>
      </w:r>
      <w:r>
        <w:rPr>
          <w:rFonts w:hint="eastAsia" w:asciiTheme="minorEastAsia" w:hAnsiTheme="minorEastAsia"/>
          <w:sz w:val="32"/>
          <w:szCs w:val="32"/>
        </w:rPr>
        <w:t>万元，2019年支出40.48万元，主要用于解决各社区村贫困户的实际困难，帮助街道辖区贫困户全力脱贫。</w:t>
      </w:r>
      <w:r>
        <w:rPr>
          <w:rFonts w:asciiTheme="minorEastAsia" w:hAnsiTheme="minorEastAsia"/>
          <w:sz w:val="32"/>
          <w:szCs w:val="32"/>
        </w:rPr>
        <w:t>13</w:t>
      </w:r>
      <w:r>
        <w:rPr>
          <w:rFonts w:hint="eastAsia" w:asciiTheme="minorEastAsia" w:hAnsiTheme="minorEastAsia"/>
          <w:sz w:val="32"/>
          <w:szCs w:val="32"/>
        </w:rPr>
        <w:t>、污染防治项目年初预算为</w:t>
      </w:r>
      <w:r>
        <w:rPr>
          <w:rFonts w:asciiTheme="minorEastAsia" w:hAnsiTheme="minorEastAsia"/>
          <w:sz w:val="32"/>
          <w:szCs w:val="32"/>
        </w:rPr>
        <w:t>500</w:t>
      </w:r>
      <w:r>
        <w:rPr>
          <w:rFonts w:hint="eastAsia" w:asciiTheme="minorEastAsia" w:hAnsiTheme="minorEastAsia"/>
          <w:sz w:val="32"/>
          <w:szCs w:val="32"/>
        </w:rPr>
        <w:t>万元，2019年支出149.87万元，确保打赢蓝天保卫战、打好碧水保卫战，推进净土保卫战，满足全街道人民群众日益增长的优美生态环境需要。</w:t>
      </w:r>
      <w:r>
        <w:rPr>
          <w:rFonts w:asciiTheme="minorEastAsia" w:hAnsiTheme="minorEastAsia"/>
          <w:sz w:val="32"/>
          <w:szCs w:val="32"/>
        </w:rPr>
        <w:t>14</w:t>
      </w:r>
      <w:r>
        <w:rPr>
          <w:rFonts w:hint="eastAsia" w:asciiTheme="minorEastAsia" w:hAnsiTheme="minorEastAsia"/>
          <w:sz w:val="32"/>
          <w:szCs w:val="32"/>
        </w:rPr>
        <w:t>、政府工作项目年初预算为</w:t>
      </w:r>
      <w:r>
        <w:rPr>
          <w:rFonts w:asciiTheme="minorEastAsia" w:hAnsiTheme="minorEastAsia"/>
          <w:sz w:val="32"/>
          <w:szCs w:val="32"/>
        </w:rPr>
        <w:t>379</w:t>
      </w:r>
      <w:r>
        <w:rPr>
          <w:rFonts w:hint="eastAsia" w:asciiTheme="minorEastAsia" w:hAnsiTheme="minorEastAsia"/>
          <w:sz w:val="32"/>
          <w:szCs w:val="32"/>
        </w:rPr>
        <w:t>万元，2019年支出1387.29万元，主要用于进一步加强资金保障、人员保障，确保办事处各项重点工作正常开展，确保全街道各项工作稳步进行，确保各项惠民政策落实到位。</w:t>
      </w:r>
    </w:p>
    <w:p>
      <w:pPr>
        <w:pStyle w:val="12"/>
        <w:overflowPunct w:val="0"/>
        <w:spacing w:line="600" w:lineRule="exact"/>
        <w:ind w:firstLine="800" w:firstLineChars="250"/>
        <w:jc w:val="both"/>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十、其他重要事项情况说明</w:t>
      </w:r>
    </w:p>
    <w:p>
      <w:pPr>
        <w:overflowPunct w:val="0"/>
        <w:spacing w:line="600" w:lineRule="exact"/>
        <w:ind w:firstLine="480" w:firstLineChars="150"/>
        <w:rPr>
          <w:rFonts w:asciiTheme="minorEastAsia" w:hAnsiTheme="minorEastAsia"/>
          <w:sz w:val="32"/>
          <w:szCs w:val="32"/>
        </w:rPr>
      </w:pPr>
      <w:r>
        <w:rPr>
          <w:rFonts w:hint="eastAsia" w:asciiTheme="minorEastAsia" w:hAnsiTheme="minorEastAsia"/>
          <w:sz w:val="32"/>
          <w:szCs w:val="32"/>
        </w:rPr>
        <w:t>（一）机关运行经费支出情况</w:t>
      </w:r>
    </w:p>
    <w:p>
      <w:pPr>
        <w:overflowPunct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本部门2019年度机关运行经费支出105.16万元，比年初预算数减少262.84万元，减少71.42%。主要原因是：机关办公经费、印刷费、劳务费等支出减少。</w:t>
      </w:r>
    </w:p>
    <w:p>
      <w:pPr>
        <w:overflowPunct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（二）一般性支出情况</w:t>
      </w:r>
    </w:p>
    <w:p>
      <w:pPr>
        <w:overflowPunct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2019年本部门会议费年初无预算，决算支出数为62.11万元，全部为用体制分成安排的支出。主要召开了2018年度经济工作表彰会议、三八妇女节活动会议、教师节表彰大会和七一党建主题活动大会。内容为：资料打印费、会务布置费、伙食费以及舞台设备租赁费。培训费年初无预算，决算支出数为13.82万元，全部为用体制分成安排的支出。内容为：机关青年干部成长培训、专职干部专题培训、党员冬春训培训、森林防火安全培训以及安全监管安全培训等。</w:t>
      </w:r>
    </w:p>
    <w:p>
      <w:pPr>
        <w:overflowPunct w:val="0"/>
        <w:spacing w:line="600" w:lineRule="exact"/>
        <w:ind w:firstLine="640" w:firstLineChars="200"/>
        <w:rPr>
          <w:rFonts w:cs="黑体" w:asciiTheme="minorEastAsia" w:hAnsiTheme="minorEastAsia"/>
          <w:b/>
          <w:kern w:val="0"/>
          <w:sz w:val="32"/>
          <w:szCs w:val="32"/>
        </w:rPr>
      </w:pPr>
      <w:r>
        <w:rPr>
          <w:rFonts w:hint="eastAsia" w:cs="黑体" w:asciiTheme="minorEastAsia" w:hAnsiTheme="minorEastAsia"/>
          <w:b/>
          <w:kern w:val="0"/>
          <w:sz w:val="32"/>
          <w:szCs w:val="32"/>
        </w:rPr>
        <w:t>（三）政府采购支出情况</w:t>
      </w:r>
    </w:p>
    <w:p>
      <w:pPr>
        <w:overflowPunct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本部门2019年度政府采购支出总额4584.98万元，其中：政府采购货物支出174.59万元、政府采购工程支出4287.77万元、政府采购服务支出122.62万元。授予中小企业合同金额4584.98万元，占政府采购支出总额的100%，其中：授予小微企业合同金额938.34万元，占政府采购支出总额的20.46%。</w:t>
      </w:r>
    </w:p>
    <w:p>
      <w:pPr>
        <w:overflowPunct w:val="0"/>
        <w:spacing w:line="600" w:lineRule="exact"/>
        <w:ind w:firstLine="480" w:firstLineChars="150"/>
        <w:rPr>
          <w:rFonts w:cs="黑体" w:asciiTheme="minorEastAsia" w:hAnsiTheme="minorEastAsia"/>
          <w:b/>
          <w:kern w:val="0"/>
          <w:sz w:val="32"/>
          <w:szCs w:val="32"/>
        </w:rPr>
      </w:pPr>
      <w:r>
        <w:rPr>
          <w:rFonts w:hint="eastAsia" w:cs="黑体" w:asciiTheme="minorEastAsia" w:hAnsiTheme="minorEastAsia"/>
          <w:b/>
          <w:kern w:val="0"/>
          <w:sz w:val="32"/>
          <w:szCs w:val="32"/>
        </w:rPr>
        <w:t>（四）国有资产占用情况</w:t>
      </w:r>
    </w:p>
    <w:p>
      <w:pPr>
        <w:overflowPunct w:val="0"/>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截至2019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overflowPunct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br w:type="page"/>
      </w:r>
    </w:p>
    <w:p>
      <w:pPr>
        <w:ind w:firstLine="640" w:firstLineChars="200"/>
        <w:rPr>
          <w:rFonts w:cs="黑体" w:asciiTheme="minorEastAsia" w:hAnsiTheme="minorEastAsia"/>
          <w:kern w:val="0"/>
          <w:sz w:val="32"/>
          <w:szCs w:val="3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80"/>
          <w:szCs w:val="80"/>
        </w:rPr>
      </w:pPr>
      <w:r>
        <w:rPr>
          <w:rFonts w:hint="eastAsia"/>
          <w:color w:val="auto"/>
          <w:sz w:val="80"/>
          <w:szCs w:val="80"/>
        </w:rPr>
        <w:t>第四部分</w:t>
      </w:r>
    </w:p>
    <w:p>
      <w:pPr>
        <w:jc w:val="center"/>
        <w:rPr>
          <w:rFonts w:ascii="黑体" w:eastAsia="黑体" w:cs="黑体"/>
          <w:kern w:val="0"/>
          <w:sz w:val="80"/>
          <w:szCs w:val="80"/>
        </w:rPr>
      </w:pPr>
    </w:p>
    <w:p>
      <w:pPr>
        <w:jc w:val="center"/>
        <w:rPr>
          <w:rFonts w:ascii="黑体" w:eastAsia="黑体" w:cs="黑体"/>
          <w:kern w:val="0"/>
          <w:sz w:val="80"/>
          <w:szCs w:val="80"/>
        </w:rPr>
      </w:pPr>
      <w:r>
        <w:rPr>
          <w:rFonts w:hint="eastAsia" w:ascii="黑体" w:eastAsia="黑体" w:cs="黑体"/>
          <w:kern w:val="0"/>
          <w:sz w:val="80"/>
          <w:szCs w:val="80"/>
        </w:rPr>
        <w:t>名词解释</w:t>
      </w:r>
    </w:p>
    <w:p>
      <w:pPr>
        <w:widowControl/>
        <w:jc w:val="left"/>
        <w:rPr>
          <w:rFonts w:ascii="黑体" w:eastAsia="黑体" w:cs="黑体"/>
          <w:kern w:val="0"/>
          <w:sz w:val="70"/>
          <w:szCs w:val="70"/>
        </w:rPr>
      </w:pPr>
      <w:r>
        <w:rPr>
          <w:rFonts w:ascii="黑体" w:eastAsia="黑体" w:cs="黑体"/>
          <w:kern w:val="0"/>
          <w:sz w:val="70"/>
          <w:szCs w:val="70"/>
        </w:rPr>
        <w:br w:type="page"/>
      </w:r>
    </w:p>
    <w:p>
      <w:pPr>
        <w:ind w:firstLine="640" w:firstLineChars="200"/>
        <w:jc w:val="left"/>
        <w:rPr>
          <w:rFonts w:cs="黑体" w:asciiTheme="minorEastAsia" w:hAnsiTheme="minorEastAsia"/>
          <w:kern w:val="0"/>
          <w:sz w:val="32"/>
          <w:szCs w:val="32"/>
        </w:rPr>
      </w:pPr>
    </w:p>
    <w:p>
      <w:pPr>
        <w:overflowPunct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一、财政拨款收入</w:t>
      </w:r>
      <w:r>
        <w:rPr>
          <w:rFonts w:hint="eastAsia" w:ascii="仿宋_GB2312" w:hAnsi="仿宋_GB2312" w:eastAsia="仿宋_GB2312" w:cs="仿宋_GB2312"/>
          <w:kern w:val="0"/>
          <w:sz w:val="32"/>
          <w:szCs w:val="32"/>
        </w:rPr>
        <w:t>：是指单位从同级财政部门取得的财政预算资金。</w:t>
      </w:r>
    </w:p>
    <w:p>
      <w:pPr>
        <w:overflowPunct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二、基本支出</w:t>
      </w:r>
      <w:r>
        <w:rPr>
          <w:rFonts w:hint="eastAsia" w:ascii="仿宋_GB2312" w:hAnsi="仿宋_GB2312" w:eastAsia="仿宋_GB2312" w:cs="仿宋_GB2312"/>
          <w:kern w:val="0"/>
          <w:sz w:val="32"/>
          <w:szCs w:val="32"/>
        </w:rPr>
        <w:t>：指为保障机构正常运转、完成日常工作任务而发生的各项支出，包括人员支出和公用支出。</w:t>
      </w:r>
    </w:p>
    <w:p>
      <w:pPr>
        <w:overflowPunct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三、项目支出</w:t>
      </w:r>
      <w:r>
        <w:rPr>
          <w:rFonts w:hint="eastAsia" w:ascii="仿宋_GB2312" w:hAnsi="仿宋_GB2312" w:eastAsia="仿宋_GB2312" w:cs="仿宋_GB2312"/>
          <w:kern w:val="0"/>
          <w:sz w:val="32"/>
          <w:szCs w:val="32"/>
        </w:rPr>
        <w:t>：指在基本支出以外为完成相关行政任务和事业发展目标所发生的各项支出。</w:t>
      </w:r>
    </w:p>
    <w:p>
      <w:pPr>
        <w:overflowPunct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四、“三公经费”</w:t>
      </w:r>
      <w:r>
        <w:rPr>
          <w:rFonts w:hint="eastAsia" w:ascii="仿宋_GB2312" w:hAnsi="仿宋_GB2312" w:eastAsia="仿宋_GB2312" w:cs="仿宋_GB2312"/>
          <w:kern w:val="0"/>
          <w:sz w:val="32"/>
          <w:szCs w:val="32"/>
        </w:rPr>
        <w:t>：指通过财政拨款资金安排的因公出国（境）、公务用车购置及运行费和公务接待费支出。</w:t>
      </w:r>
    </w:p>
    <w:p>
      <w:pPr>
        <w:overflowPunct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五、机关运行经费</w:t>
      </w:r>
      <w:r>
        <w:rPr>
          <w:rFonts w:hint="eastAsia" w:ascii="仿宋_GB2312" w:hAnsi="仿宋_GB2312" w:eastAsia="仿宋_GB2312" w:cs="仿宋_GB2312"/>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及其他费用。</w:t>
      </w:r>
    </w:p>
    <w:p>
      <w:pPr>
        <w:overflowPunct w:val="0"/>
        <w:spacing w:line="600" w:lineRule="exact"/>
        <w:jc w:val="left"/>
        <w:rPr>
          <w:rFonts w:asciiTheme="minorEastAsia" w:hAnsiTheme="minorEastAsia"/>
          <w:i/>
          <w:sz w:val="32"/>
          <w:szCs w:val="32"/>
        </w:rPr>
      </w:pPr>
      <w:r>
        <w:rPr>
          <w:rFonts w:asciiTheme="minorEastAsia" w:hAnsiTheme="minorEastAsia"/>
          <w:i/>
          <w:sz w:val="32"/>
          <w:szCs w:val="32"/>
        </w:rPr>
        <w:br w:type="page"/>
      </w: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80"/>
          <w:szCs w:val="80"/>
        </w:rPr>
      </w:pPr>
      <w:r>
        <w:rPr>
          <w:rFonts w:hint="eastAsia"/>
          <w:color w:val="auto"/>
          <w:sz w:val="80"/>
          <w:szCs w:val="80"/>
        </w:rPr>
        <w:t>第五部分</w:t>
      </w:r>
    </w:p>
    <w:p>
      <w:pPr>
        <w:jc w:val="center"/>
        <w:rPr>
          <w:rFonts w:ascii="黑体" w:eastAsia="黑体" w:cs="黑体"/>
          <w:kern w:val="0"/>
          <w:sz w:val="80"/>
          <w:szCs w:val="80"/>
        </w:rPr>
      </w:pPr>
    </w:p>
    <w:p>
      <w:pPr>
        <w:jc w:val="center"/>
        <w:rPr>
          <w:rFonts w:ascii="黑体" w:eastAsia="黑体" w:cs="黑体"/>
          <w:kern w:val="0"/>
          <w:sz w:val="80"/>
          <w:szCs w:val="80"/>
        </w:rPr>
      </w:pPr>
      <w:r>
        <w:rPr>
          <w:rFonts w:hint="eastAsia" w:ascii="黑体" w:eastAsia="黑体" w:cs="黑体"/>
          <w:kern w:val="0"/>
          <w:sz w:val="80"/>
          <w:szCs w:val="80"/>
        </w:rPr>
        <w:t>附件</w:t>
      </w:r>
    </w:p>
    <w:p>
      <w:pPr>
        <w:widowControl/>
        <w:jc w:val="left"/>
        <w:rPr>
          <w:rFonts w:ascii="黑体" w:eastAsia="黑体" w:cs="黑体"/>
          <w:kern w:val="0"/>
          <w:sz w:val="80"/>
          <w:szCs w:val="80"/>
        </w:rPr>
      </w:pPr>
      <w:r>
        <w:rPr>
          <w:rFonts w:ascii="黑体" w:eastAsia="黑体" w:cs="黑体"/>
          <w:kern w:val="0"/>
          <w:sz w:val="80"/>
          <w:szCs w:val="80"/>
        </w:rPr>
        <w:br w:type="page"/>
      </w:r>
    </w:p>
    <w:p>
      <w:pPr>
        <w:jc w:val="center"/>
        <w:rPr>
          <w:rFonts w:ascii="黑体" w:eastAsia="黑体" w:cs="黑体"/>
          <w:kern w:val="0"/>
          <w:sz w:val="70"/>
          <w:szCs w:val="70"/>
        </w:rPr>
      </w:pPr>
    </w:p>
    <w:p>
      <w:pPr>
        <w:pStyle w:val="5"/>
        <w:spacing w:before="0" w:beforeAutospacing="0" w:after="0" w:afterAutospacing="0" w:line="570" w:lineRule="atLeast"/>
        <w:jc w:val="center"/>
        <w:rPr>
          <w:rFonts w:hint="eastAsia" w:ascii="方正小标宋简体" w:hAnsi="方正小标宋简体" w:eastAsia="方正小标宋简体" w:cs="方正小标宋简体"/>
          <w:b/>
          <w:bCs/>
          <w:color w:val="333333"/>
          <w:sz w:val="44"/>
          <w:szCs w:val="44"/>
        </w:rPr>
      </w:pPr>
      <w:r>
        <w:rPr>
          <w:rFonts w:hint="eastAsia" w:ascii="方正小标宋简体" w:hAnsi="方正小标宋简体" w:eastAsia="方正小标宋简体" w:cs="方正小标宋简体"/>
          <w:b/>
          <w:bCs/>
          <w:color w:val="333333"/>
          <w:sz w:val="44"/>
          <w:szCs w:val="44"/>
        </w:rPr>
        <w:t>浏阳市集里街道办事处</w:t>
      </w:r>
    </w:p>
    <w:p>
      <w:pPr>
        <w:pStyle w:val="5"/>
        <w:spacing w:before="0" w:beforeAutospacing="0" w:after="0" w:afterAutospacing="0" w:line="570" w:lineRule="atLeast"/>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b/>
          <w:bCs/>
          <w:color w:val="333333"/>
          <w:sz w:val="44"/>
          <w:szCs w:val="44"/>
        </w:rPr>
        <w:t>2019年部门整体支出绩效自评报告</w:t>
      </w:r>
    </w:p>
    <w:p>
      <w:pPr>
        <w:pStyle w:val="5"/>
        <w:widowControl w:val="0"/>
        <w:overflowPunct w:val="0"/>
        <w:spacing w:before="0" w:beforeAutospacing="0" w:after="0" w:afterAutospacing="0" w:line="600" w:lineRule="exact"/>
        <w:jc w:val="both"/>
        <w:rPr>
          <w:rFonts w:ascii="仿宋" w:hAnsi="仿宋" w:eastAsia="仿宋" w:cs="Times New Roman"/>
          <w:b/>
          <w:bCs/>
          <w:color w:val="333333"/>
          <w:sz w:val="32"/>
          <w:szCs w:val="32"/>
        </w:rPr>
      </w:pPr>
    </w:p>
    <w:p>
      <w:pPr>
        <w:pStyle w:val="5"/>
        <w:widowControl w:val="0"/>
        <w:overflowPunct w:val="0"/>
        <w:spacing w:before="0" w:beforeAutospacing="0" w:after="0" w:afterAutospacing="0" w:line="600" w:lineRule="exact"/>
        <w:ind w:firstLine="627" w:firstLineChars="196"/>
        <w:jc w:val="both"/>
        <w:rPr>
          <w:rFonts w:hint="eastAsia" w:ascii="黑体" w:hAnsi="黑体" w:eastAsia="黑体" w:cs="黑体"/>
          <w:color w:val="333333"/>
          <w:sz w:val="21"/>
          <w:szCs w:val="21"/>
        </w:rPr>
      </w:pPr>
      <w:r>
        <w:rPr>
          <w:rFonts w:hint="eastAsia" w:ascii="黑体" w:hAnsi="黑体" w:eastAsia="黑体" w:cs="黑体"/>
          <w:b/>
          <w:bCs/>
          <w:color w:val="333333"/>
          <w:sz w:val="32"/>
          <w:szCs w:val="32"/>
        </w:rPr>
        <w:t>一、部门概况</w:t>
      </w:r>
    </w:p>
    <w:p>
      <w:pPr>
        <w:pStyle w:val="5"/>
        <w:widowControl w:val="0"/>
        <w:overflowPunct w:val="0"/>
        <w:spacing w:before="0" w:beforeAutospacing="0" w:after="0" w:afterAutospacing="0" w:line="600" w:lineRule="exact"/>
        <w:ind w:firstLine="640"/>
        <w:jc w:val="both"/>
        <w:rPr>
          <w:rFonts w:hint="eastAsia" w:ascii="黑体" w:hAnsi="黑体" w:eastAsia="黑体" w:cs="黑体"/>
          <w:b/>
          <w:color w:val="333333"/>
          <w:sz w:val="32"/>
          <w:szCs w:val="32"/>
        </w:rPr>
      </w:pPr>
      <w:r>
        <w:rPr>
          <w:rFonts w:hint="eastAsia" w:ascii="黑体" w:hAnsi="黑体" w:eastAsia="黑体" w:cs="黑体"/>
          <w:b/>
          <w:color w:val="333333"/>
          <w:sz w:val="32"/>
          <w:szCs w:val="32"/>
        </w:rPr>
        <w:t>（一）基本情况</w:t>
      </w:r>
    </w:p>
    <w:p>
      <w:pPr>
        <w:pStyle w:val="5"/>
        <w:widowControl w:val="0"/>
        <w:overflowPunct w:val="0"/>
        <w:spacing w:before="0" w:beforeAutospacing="0" w:after="0" w:afterAutospacing="0" w:line="600" w:lineRule="exact"/>
        <w:ind w:firstLine="640"/>
        <w:jc w:val="both"/>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rPr>
        <w:t>浏阳市集里街道办事处为独立核算的行政单位，属一级预算单位。根据编委核定，我单位内设机构6个：党政综合办公室、基层党建办公室、经济发展办公室、农业农村办公室、自然资源和生态环境办公室、公共安全和应急管理办公室。以办事处为主的事业单位5个：政务服务中心、社会事业综合服务中心、重点项目建设服务中心（加挂城镇建设服务中心牌子）、综合行政执法大队以及退役军人服务站。2019年末单位编制人数198人，年末在职人员实有人数198人。</w:t>
      </w:r>
    </w:p>
    <w:p>
      <w:pPr>
        <w:pStyle w:val="5"/>
        <w:widowControl w:val="0"/>
        <w:overflowPunct w:val="0"/>
        <w:spacing w:before="0" w:beforeAutospacing="0" w:after="0" w:afterAutospacing="0" w:line="600" w:lineRule="exact"/>
        <w:ind w:firstLine="640"/>
        <w:jc w:val="both"/>
        <w:rPr>
          <w:rFonts w:hint="eastAsia" w:ascii="黑体" w:hAnsi="黑体" w:eastAsia="黑体" w:cs="黑体"/>
          <w:b/>
          <w:color w:val="333333"/>
          <w:sz w:val="21"/>
          <w:szCs w:val="21"/>
        </w:rPr>
      </w:pPr>
      <w:r>
        <w:rPr>
          <w:rFonts w:hint="eastAsia" w:ascii="黑体" w:hAnsi="黑体" w:eastAsia="黑体" w:cs="黑体"/>
          <w:b/>
          <w:color w:val="333333"/>
          <w:sz w:val="32"/>
          <w:szCs w:val="32"/>
        </w:rPr>
        <w:t>（二）2019年本单位财政拨款收入支出情况</w:t>
      </w:r>
    </w:p>
    <w:p>
      <w:pPr>
        <w:pStyle w:val="5"/>
        <w:widowControl w:val="0"/>
        <w:overflowPunct w:val="0"/>
        <w:spacing w:before="0" w:beforeAutospacing="0" w:after="0" w:afterAutospacing="0" w:line="600" w:lineRule="exact"/>
        <w:ind w:firstLine="64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1、2019年本单位财政拨款收入10043.71万元，其中：其中一般公共预算财政拨款9985.73万元，政府性基金预算财政拨款57.98万元。</w:t>
      </w:r>
    </w:p>
    <w:p>
      <w:pPr>
        <w:pStyle w:val="5"/>
        <w:widowControl w:val="0"/>
        <w:overflowPunct w:val="0"/>
        <w:spacing w:before="0" w:beforeAutospacing="0" w:after="0" w:afterAutospacing="0" w:line="600" w:lineRule="exact"/>
        <w:ind w:firstLine="640"/>
        <w:jc w:val="both"/>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rPr>
        <w:t>2、2019年本部门支出10043.71万元.其中基本支出2815.23万元（是指为保障单位正常运转、完成日常工作任务而发生的各项支出其中人员经费2710.07万元，日常公用经费105.16万元）。项目支出7228.48万元（是指单位为完成特定行政工作任务或事业发展目标而发生的支出。其中：政府性基金项目支出57.98万元，农林水项目支出1914.22万元）。</w:t>
      </w:r>
    </w:p>
    <w:p>
      <w:pPr>
        <w:pStyle w:val="5"/>
        <w:widowControl w:val="0"/>
        <w:overflowPunct w:val="0"/>
        <w:spacing w:before="0" w:beforeAutospacing="0" w:after="0" w:afterAutospacing="0" w:line="600" w:lineRule="exact"/>
        <w:ind w:firstLine="627" w:firstLineChars="196"/>
        <w:jc w:val="both"/>
        <w:rPr>
          <w:rFonts w:hint="eastAsia" w:ascii="黑体" w:hAnsi="黑体" w:eastAsia="黑体" w:cs="黑体"/>
          <w:color w:val="333333"/>
          <w:sz w:val="21"/>
          <w:szCs w:val="21"/>
        </w:rPr>
      </w:pPr>
      <w:r>
        <w:rPr>
          <w:rFonts w:hint="eastAsia" w:ascii="黑体" w:hAnsi="黑体" w:eastAsia="黑体" w:cs="黑体"/>
          <w:b/>
          <w:bCs/>
          <w:color w:val="333333"/>
          <w:sz w:val="32"/>
          <w:szCs w:val="32"/>
        </w:rPr>
        <w:t>二、部门整体支出管理及使用情况</w:t>
      </w:r>
    </w:p>
    <w:p>
      <w:pPr>
        <w:pStyle w:val="5"/>
        <w:widowControl w:val="0"/>
        <w:overflowPunct w:val="0"/>
        <w:spacing w:before="0" w:beforeAutospacing="0" w:after="0" w:afterAutospacing="0" w:line="600" w:lineRule="exact"/>
        <w:ind w:firstLine="640" w:firstLineChars="200"/>
        <w:jc w:val="both"/>
        <w:rPr>
          <w:rFonts w:hint="eastAsia" w:ascii="仿宋_GB2312" w:hAnsi="仿宋_GB2312" w:eastAsia="仿宋_GB2312" w:cs="仿宋_GB2312"/>
          <w:color w:val="333333"/>
          <w:sz w:val="21"/>
          <w:szCs w:val="21"/>
        </w:rPr>
      </w:pPr>
      <w:r>
        <w:rPr>
          <w:rFonts w:hint="eastAsia" w:ascii="仿宋_GB2312" w:hAnsi="仿宋_GB2312" w:eastAsia="仿宋_GB2312" w:cs="仿宋_GB2312"/>
          <w:b/>
          <w:color w:val="333333"/>
          <w:sz w:val="32"/>
          <w:szCs w:val="32"/>
        </w:rPr>
        <w:t>1、基本支出</w:t>
      </w:r>
      <w:r>
        <w:rPr>
          <w:rFonts w:hint="eastAsia" w:ascii="仿宋_GB2312" w:hAnsi="仿宋_GB2312" w:eastAsia="仿宋_GB2312" w:cs="仿宋_GB2312"/>
          <w:color w:val="333333"/>
          <w:sz w:val="32"/>
          <w:szCs w:val="32"/>
        </w:rPr>
        <w:t>：2019年度我单位基本支出2,818.82万元（其中：其他收入安排基本支出3.59万元），其中用于人员经费支出2710.07万元，日常公用经费支出105.16万元。</w:t>
      </w:r>
    </w:p>
    <w:p>
      <w:pPr>
        <w:pStyle w:val="5"/>
        <w:widowControl w:val="0"/>
        <w:overflowPunct w:val="0"/>
        <w:spacing w:before="0" w:beforeAutospacing="0" w:after="0" w:afterAutospacing="0" w:line="600" w:lineRule="exact"/>
        <w:ind w:firstLine="640" w:firstLineChars="200"/>
        <w:jc w:val="both"/>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rPr>
        <w:t>2019年三公经费支出1.82万元（预算为102.75万元），同比去年减少34.77%。其中公务接待费完成1万元（预算为82.75万元），同比去年减少25.37%，公务用车运行维护费完成0.82万元（预算为20万元），同比比上年减少43.45%。</w:t>
      </w:r>
    </w:p>
    <w:p>
      <w:pPr>
        <w:pStyle w:val="5"/>
        <w:widowControl w:val="0"/>
        <w:overflowPunct w:val="0"/>
        <w:spacing w:before="0" w:beforeAutospacing="0" w:after="0" w:afterAutospacing="0" w:line="600" w:lineRule="exact"/>
        <w:ind w:firstLine="640"/>
        <w:jc w:val="both"/>
        <w:rPr>
          <w:rFonts w:hint="eastAsia" w:ascii="仿宋_GB2312" w:hAnsi="仿宋_GB2312" w:eastAsia="仿宋_GB2312" w:cs="仿宋_GB2312"/>
          <w:color w:val="333333"/>
          <w:sz w:val="21"/>
          <w:szCs w:val="21"/>
        </w:rPr>
      </w:pPr>
      <w:r>
        <w:rPr>
          <w:rFonts w:hint="eastAsia" w:ascii="仿宋_GB2312" w:hAnsi="仿宋_GB2312" w:eastAsia="仿宋_GB2312" w:cs="仿宋_GB2312"/>
          <w:b/>
          <w:color w:val="333333"/>
          <w:sz w:val="32"/>
          <w:szCs w:val="32"/>
        </w:rPr>
        <w:t>2、项目支出</w:t>
      </w:r>
      <w:r>
        <w:rPr>
          <w:rFonts w:hint="eastAsia" w:ascii="仿宋_GB2312" w:hAnsi="仿宋_GB2312" w:eastAsia="仿宋_GB2312" w:cs="仿宋_GB2312"/>
          <w:color w:val="333333"/>
          <w:sz w:val="32"/>
          <w:szCs w:val="32"/>
        </w:rPr>
        <w:t>：2019年项目支出8,109.45万元（其中政府性基金项目支出57.98万元，农林水项目支出2111.57万元）。 </w:t>
      </w:r>
    </w:p>
    <w:p>
      <w:pPr>
        <w:pStyle w:val="5"/>
        <w:widowControl w:val="0"/>
        <w:overflowPunct w:val="0"/>
        <w:spacing w:before="0" w:beforeAutospacing="0" w:after="0" w:afterAutospacing="0" w:line="600" w:lineRule="exact"/>
        <w:jc w:val="both"/>
        <w:rPr>
          <w:rFonts w:hint="eastAsia" w:ascii="黑体" w:hAnsi="黑体" w:eastAsia="黑体" w:cs="黑体"/>
          <w:b/>
          <w:bCs/>
          <w:color w:val="333333"/>
          <w:sz w:val="32"/>
          <w:szCs w:val="32"/>
        </w:rPr>
      </w:pPr>
      <w:r>
        <w:rPr>
          <w:rFonts w:hint="eastAsia" w:ascii="黑体" w:hAnsi="黑体" w:eastAsia="黑体" w:cs="黑体"/>
          <w:color w:val="333333"/>
          <w:sz w:val="32"/>
          <w:szCs w:val="32"/>
        </w:rPr>
        <w:t>  </w:t>
      </w:r>
      <w:r>
        <w:rPr>
          <w:rFonts w:hint="eastAsia" w:ascii="黑体" w:hAnsi="黑体" w:eastAsia="黑体" w:cs="黑体"/>
          <w:b/>
          <w:bCs/>
          <w:color w:val="333333"/>
          <w:sz w:val="32"/>
          <w:szCs w:val="32"/>
        </w:rPr>
        <w:t>三、项目组织实施情况</w:t>
      </w:r>
    </w:p>
    <w:p>
      <w:pPr>
        <w:overflowPunct w:val="0"/>
        <w:spacing w:line="600" w:lineRule="exact"/>
        <w:ind w:firstLine="320" w:firstLineChars="100"/>
        <w:rPr>
          <w:rFonts w:hint="eastAsia" w:ascii="黑体" w:hAnsi="黑体" w:eastAsia="黑体" w:cs="黑体"/>
          <w:b/>
          <w:color w:val="333333"/>
          <w:sz w:val="32"/>
          <w:szCs w:val="32"/>
        </w:rPr>
      </w:pPr>
      <w:r>
        <w:rPr>
          <w:rFonts w:hint="eastAsia" w:ascii="黑体" w:hAnsi="黑体" w:eastAsia="黑体" w:cs="黑体"/>
          <w:b/>
          <w:color w:val="333333"/>
          <w:sz w:val="32"/>
          <w:szCs w:val="32"/>
        </w:rPr>
        <w:t>（一）</w:t>
      </w:r>
      <w:r>
        <w:rPr>
          <w:rFonts w:hint="eastAsia" w:ascii="黑体" w:hAnsi="黑体" w:eastAsia="黑体" w:cs="黑体"/>
          <w:b/>
          <w:color w:val="333333"/>
          <w:kern w:val="0"/>
          <w:sz w:val="32"/>
          <w:szCs w:val="32"/>
        </w:rPr>
        <w:t>项目组织情况分析</w:t>
      </w:r>
    </w:p>
    <w:p>
      <w:pPr>
        <w:overflowPunct w:val="0"/>
        <w:spacing w:line="60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街道扶贫办严格筛选依法注册登记，有一定生产经营规模、财务健全、管理规范、无不良信用记录、有爱心、有社会责任感、有一定抗风险能力的经济组织参与产业就业扶贫，认真组织经济组织开展项目实施，一是按照上级各项产业就业扶贫有关文件精神，完善了公司、合作社的各项规章制度；二是积极开展下村入上门技术指导，积极应对生产过程出现的问题，并加以解决处理，确保项目实施进度、效果；三是要求企业做好产品市场调查，组织产品销售。</w:t>
      </w:r>
    </w:p>
    <w:p>
      <w:pPr>
        <w:pStyle w:val="5"/>
        <w:widowControl w:val="0"/>
        <w:overflowPunct w:val="0"/>
        <w:spacing w:before="0" w:beforeAutospacing="0" w:after="0" w:afterAutospacing="0" w:line="600" w:lineRule="exact"/>
        <w:ind w:firstLine="320" w:firstLineChars="100"/>
        <w:jc w:val="both"/>
        <w:rPr>
          <w:rFonts w:hint="eastAsia" w:ascii="黑体" w:hAnsi="黑体" w:eastAsia="黑体" w:cs="黑体"/>
          <w:b/>
          <w:color w:val="333333"/>
          <w:sz w:val="32"/>
          <w:szCs w:val="32"/>
        </w:rPr>
      </w:pPr>
      <w:r>
        <w:rPr>
          <w:rFonts w:hint="eastAsia" w:ascii="黑体" w:hAnsi="黑体" w:eastAsia="黑体" w:cs="黑体"/>
          <w:b/>
          <w:color w:val="333333"/>
          <w:kern w:val="2"/>
          <w:sz w:val="32"/>
          <w:szCs w:val="32"/>
        </w:rPr>
        <w:t>（二）项目管理情况分析</w:t>
      </w:r>
    </w:p>
    <w:p>
      <w:pPr>
        <w:shd w:val="clear" w:color="auto" w:fill="FFFFFF"/>
        <w:overflowPunct w:val="0"/>
        <w:spacing w:line="600" w:lineRule="exact"/>
        <w:ind w:firstLine="645"/>
        <w:textAlignment w:val="top"/>
        <w:rPr>
          <w:rFonts w:hint="eastAsia" w:ascii="黑体" w:hAnsi="黑体" w:eastAsia="黑体" w:cs="黑体"/>
          <w:b/>
          <w:color w:val="333333"/>
          <w:sz w:val="32"/>
          <w:szCs w:val="32"/>
        </w:rPr>
      </w:pPr>
      <w:r>
        <w:rPr>
          <w:rFonts w:hint="eastAsia" w:ascii="黑体" w:hAnsi="黑体" w:eastAsia="黑体" w:cs="黑体"/>
          <w:b/>
          <w:color w:val="333333"/>
          <w:sz w:val="32"/>
          <w:szCs w:val="32"/>
        </w:rPr>
        <w:t>1、项目实施及管理情况</w:t>
      </w:r>
    </w:p>
    <w:p>
      <w:pPr>
        <w:overflowPunct w:val="0"/>
        <w:spacing w:line="60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项目开始时间为2020年3月，完成时间2020年12月。项目实施过程中严格按照《浏阳市2019—2020年度产业扶贫工作实施方案》和《浏阳市2019—2020年度就业扶贫工作实施方案》</w:t>
      </w:r>
      <w:bookmarkStart w:id="2" w:name="_GoBack"/>
      <w:bookmarkEnd w:id="2"/>
      <w:r>
        <w:rPr>
          <w:rFonts w:hint="eastAsia" w:ascii="仿宋_GB2312" w:hAnsi="仿宋_GB2312" w:eastAsia="仿宋_GB2312" w:cs="仿宋_GB2312"/>
          <w:color w:val="333333"/>
          <w:kern w:val="0"/>
          <w:sz w:val="32"/>
          <w:szCs w:val="32"/>
        </w:rPr>
        <w:t>实施和管理，建立了相关管理台账，并接受了市、街道两级扶贫办监督指导，在项目实施的过程中能做到有依有据，合理合法，监管与审核并重，项目实施有序，有利于保障和提高项目实施效果。</w:t>
      </w:r>
    </w:p>
    <w:p>
      <w:pPr>
        <w:shd w:val="clear" w:color="auto" w:fill="FFFFFF"/>
        <w:overflowPunct w:val="0"/>
        <w:spacing w:line="600" w:lineRule="exact"/>
        <w:ind w:firstLine="645"/>
        <w:textAlignment w:val="top"/>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2、项目资金管理情况</w:t>
      </w:r>
    </w:p>
    <w:p>
      <w:pPr>
        <w:overflowPunct w:val="0"/>
        <w:spacing w:line="60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我单位严格按照《关于进一步做好2020年度产业就业扶贫工作的补充通知》和《关于印发&lt;浏阳市扶贫资金管理办法（2020年修订）&gt;</w:t>
      </w:r>
      <w:r>
        <w:rPr>
          <w:rFonts w:hint="eastAsia" w:ascii="仿宋_GB2312" w:hAnsi="仿宋_GB2312" w:eastAsia="仿宋_GB2312" w:cs="仿宋_GB2312"/>
          <w:color w:val="000000"/>
          <w:sz w:val="28"/>
          <w:szCs w:val="28"/>
        </w:rPr>
        <w:t>的通知》（浏财联函〔2020〕4号）</w:t>
      </w:r>
      <w:r>
        <w:rPr>
          <w:rFonts w:hint="eastAsia" w:ascii="仿宋_GB2312" w:hAnsi="仿宋_GB2312" w:eastAsia="仿宋_GB2312" w:cs="仿宋_GB2312"/>
          <w:color w:val="000000"/>
          <w:kern w:val="0"/>
          <w:sz w:val="28"/>
          <w:szCs w:val="28"/>
        </w:rPr>
        <w:t>等文件</w:t>
      </w:r>
      <w:r>
        <w:rPr>
          <w:rFonts w:hint="eastAsia" w:ascii="仿宋_GB2312" w:hAnsi="仿宋_GB2312" w:eastAsia="仿宋_GB2312" w:cs="仿宋_GB2312"/>
          <w:color w:val="333333"/>
          <w:kern w:val="0"/>
          <w:sz w:val="32"/>
          <w:szCs w:val="32"/>
        </w:rPr>
        <w:t>规定执行，严格管理，严格报账程序，严格操作规范，专款专用，确保资金安全。</w:t>
      </w:r>
    </w:p>
    <w:p>
      <w:pPr>
        <w:pStyle w:val="5"/>
        <w:widowControl w:val="0"/>
        <w:overflowPunct w:val="0"/>
        <w:spacing w:before="0" w:beforeAutospacing="0" w:after="0" w:afterAutospacing="0" w:line="600" w:lineRule="exact"/>
        <w:ind w:firstLine="627" w:firstLineChars="196"/>
        <w:jc w:val="both"/>
        <w:rPr>
          <w:rFonts w:hint="eastAsia" w:ascii="黑体" w:hAnsi="黑体" w:eastAsia="黑体" w:cs="黑体"/>
          <w:color w:val="333333"/>
          <w:sz w:val="21"/>
          <w:szCs w:val="21"/>
        </w:rPr>
      </w:pPr>
      <w:r>
        <w:rPr>
          <w:rFonts w:hint="eastAsia" w:ascii="黑体" w:hAnsi="黑体" w:eastAsia="黑体" w:cs="黑体"/>
          <w:b/>
          <w:bCs/>
          <w:color w:val="333333"/>
          <w:sz w:val="32"/>
          <w:szCs w:val="32"/>
        </w:rPr>
        <w:t>四、资产管理情况</w:t>
      </w:r>
    </w:p>
    <w:p>
      <w:pPr>
        <w:overflowPunct w:val="0"/>
        <w:spacing w:line="60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2019年，我单位进一步规范和完善了资产管理。固定资产购置均履行了报批程序，按市财政要求和各项流程办理政府采购业务手续，各项采购支出均由使用人提出申请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333333"/>
          <w:sz w:val="32"/>
          <w:szCs w:val="32"/>
        </w:rPr>
        <w:t>由财经领导小组集体研究同意后，分管财经的领导签批。经审批同意购置的物品交由采购办按上级有关政策统一采购。</w:t>
      </w:r>
    </w:p>
    <w:p>
      <w:pPr>
        <w:pStyle w:val="5"/>
        <w:widowControl w:val="0"/>
        <w:overflowPunct w:val="0"/>
        <w:spacing w:before="0" w:beforeAutospacing="0" w:after="0" w:afterAutospacing="0" w:line="600" w:lineRule="exact"/>
        <w:ind w:firstLine="720"/>
        <w:jc w:val="both"/>
        <w:rPr>
          <w:rFonts w:hint="eastAsia" w:ascii="黑体" w:hAnsi="黑体" w:eastAsia="黑体" w:cs="黑体"/>
          <w:color w:val="333333"/>
          <w:sz w:val="21"/>
          <w:szCs w:val="21"/>
        </w:rPr>
      </w:pPr>
      <w:r>
        <w:rPr>
          <w:rFonts w:hint="eastAsia" w:ascii="黑体" w:hAnsi="黑体" w:eastAsia="黑体" w:cs="黑体"/>
          <w:b/>
          <w:bCs/>
          <w:color w:val="333333"/>
          <w:sz w:val="32"/>
          <w:szCs w:val="32"/>
        </w:rPr>
        <w:t>五、部门整体支出绩效情况</w:t>
      </w:r>
    </w:p>
    <w:p>
      <w:pPr>
        <w:pStyle w:val="5"/>
        <w:widowControl w:val="0"/>
        <w:overflowPunct w:val="0"/>
        <w:spacing w:before="0" w:beforeAutospacing="0" w:after="0" w:afterAutospacing="0" w:line="600" w:lineRule="exact"/>
        <w:ind w:firstLine="720"/>
        <w:jc w:val="both"/>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rPr>
        <w:t>2019年，我单位积极履职，强化管理，较好的完成了年度工作目标。通过加强预算收支管理，不断建立健全内部管理制度，梳理内部管理流程，整体支出管理水平得到提升；各项绩效指标均达到了预期效果。根据部门整体支出绩效评价指标体系，我单位2019年度</w:t>
      </w:r>
      <w:r>
        <w:rPr>
          <w:rFonts w:hint="eastAsia" w:ascii="仿宋_GB2312" w:hAnsi="仿宋_GB2312" w:eastAsia="仿宋_GB2312" w:cs="仿宋_GB2312"/>
          <w:color w:val="333333"/>
          <w:spacing w:val="-2"/>
          <w:sz w:val="32"/>
          <w:szCs w:val="32"/>
        </w:rPr>
        <w:t>部门整体支出绩效自评95</w:t>
      </w:r>
      <w:r>
        <w:rPr>
          <w:rFonts w:hint="eastAsia" w:ascii="仿宋_GB2312" w:hAnsi="仿宋_GB2312" w:eastAsia="仿宋_GB2312" w:cs="仿宋_GB2312"/>
          <w:color w:val="333333"/>
          <w:sz w:val="32"/>
          <w:szCs w:val="32"/>
        </w:rPr>
        <w:t>分。部门整体支出绩效情况详见附表。</w:t>
      </w:r>
    </w:p>
    <w:p>
      <w:pPr>
        <w:pStyle w:val="5"/>
        <w:widowControl w:val="0"/>
        <w:overflowPunct w:val="0"/>
        <w:spacing w:before="0" w:beforeAutospacing="0" w:after="0" w:afterAutospacing="0" w:line="600" w:lineRule="exact"/>
        <w:ind w:firstLine="720"/>
        <w:jc w:val="both"/>
        <w:rPr>
          <w:rFonts w:hint="eastAsia" w:ascii="黑体" w:hAnsi="黑体" w:eastAsia="黑体" w:cs="黑体"/>
          <w:b/>
          <w:bCs/>
          <w:color w:val="333333"/>
          <w:sz w:val="32"/>
          <w:szCs w:val="32"/>
        </w:rPr>
      </w:pPr>
      <w:r>
        <w:rPr>
          <w:rFonts w:hint="eastAsia" w:ascii="黑体" w:hAnsi="黑体" w:eastAsia="黑体" w:cs="黑体"/>
          <w:b/>
          <w:bCs/>
          <w:color w:val="333333"/>
          <w:sz w:val="32"/>
          <w:szCs w:val="32"/>
        </w:rPr>
        <w:t>六、存在的问题及原因</w:t>
      </w:r>
    </w:p>
    <w:p>
      <w:pPr>
        <w:pStyle w:val="5"/>
        <w:widowControl w:val="0"/>
        <w:overflowPunct w:val="0"/>
        <w:spacing w:before="0" w:beforeAutospacing="0" w:after="0" w:afterAutospacing="0" w:line="600" w:lineRule="exact"/>
        <w:ind w:firstLine="640" w:firstLineChars="20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1、预算控制率有待降低。除政策性因素以外，由于部分临时、紧急或突发的工作任务导致年中追加预算。</w:t>
      </w:r>
    </w:p>
    <w:p>
      <w:pPr>
        <w:pStyle w:val="5"/>
        <w:widowControl w:val="0"/>
        <w:overflowPunct w:val="0"/>
        <w:spacing w:before="0" w:beforeAutospacing="0" w:after="0" w:afterAutospacing="0" w:line="60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资金使用合规性需进一步提高。资金的拨付应有完整的审批程序和手续。支出应符合国家财经法规和财务管理制度规定以及有关专项资金管理办法的规定。</w:t>
      </w:r>
    </w:p>
    <w:p>
      <w:pPr>
        <w:pStyle w:val="5"/>
        <w:widowControl w:val="0"/>
        <w:overflowPunct w:val="0"/>
        <w:spacing w:before="0" w:beforeAutospacing="0" w:after="0" w:afterAutospacing="0" w:line="600" w:lineRule="exact"/>
        <w:ind w:firstLine="72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3、资产管理有待加强。强化监督部门的职责意识，对财务管理机制进行调整与规范，确保各单位能够严格按照财务管理机制开展业务。</w:t>
      </w:r>
    </w:p>
    <w:p>
      <w:pPr>
        <w:pStyle w:val="5"/>
        <w:widowControl w:val="0"/>
        <w:overflowPunct w:val="0"/>
        <w:spacing w:before="0" w:beforeAutospacing="0" w:after="0" w:afterAutospacing="0" w:line="600" w:lineRule="exact"/>
        <w:ind w:firstLine="64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随着对预、决算编制工作水平要求越来越高，数据编制要求越来越精准、规范；时间紧、任务大；加之现行决算工作与实际账务处理工作间衔接还存在一定差异；会计人员业务明显增加，加之业务操作水平有限，实际操作中确实感到力不从心。</w:t>
      </w:r>
    </w:p>
    <w:p>
      <w:pPr>
        <w:pStyle w:val="5"/>
        <w:widowControl w:val="0"/>
        <w:overflowPunct w:val="0"/>
        <w:spacing w:before="0" w:beforeAutospacing="0" w:after="0" w:afterAutospacing="0" w:line="600" w:lineRule="exact"/>
        <w:ind w:firstLine="480"/>
        <w:jc w:val="both"/>
        <w:rPr>
          <w:rFonts w:hint="eastAsia" w:ascii="黑体" w:hAnsi="黑体" w:eastAsia="黑体" w:cs="黑体"/>
          <w:color w:val="333333"/>
          <w:sz w:val="21"/>
          <w:szCs w:val="21"/>
        </w:rPr>
      </w:pPr>
      <w:r>
        <w:rPr>
          <w:rFonts w:hint="eastAsia" w:ascii="黑体" w:hAnsi="黑体" w:eastAsia="黑体" w:cs="黑体"/>
          <w:b/>
          <w:bCs/>
          <w:color w:val="333333"/>
          <w:sz w:val="32"/>
          <w:szCs w:val="32"/>
        </w:rPr>
        <w:t>七、意见及建议</w:t>
      </w:r>
    </w:p>
    <w:p>
      <w:pPr>
        <w:pStyle w:val="5"/>
        <w:widowControl w:val="0"/>
        <w:shd w:val="clear" w:color="auto" w:fill="FFFFFF"/>
        <w:overflowPunct w:val="0"/>
        <w:spacing w:before="0" w:beforeAutospacing="0" w:after="0" w:afterAutospacing="0" w:line="600" w:lineRule="exact"/>
        <w:ind w:firstLine="560"/>
        <w:jc w:val="both"/>
        <w:rPr>
          <w:rFonts w:hint="eastAsia" w:ascii="仿宋_GB2312" w:hAnsi="仿宋_GB2312" w:eastAsia="仿宋_GB2312" w:cs="仿宋_GB2312"/>
          <w:color w:val="333333"/>
        </w:rPr>
      </w:pPr>
      <w:r>
        <w:rPr>
          <w:rFonts w:hint="eastAsia" w:ascii="仿宋_GB2312" w:hAnsi="仿宋_GB2312" w:eastAsia="仿宋_GB2312" w:cs="仿宋_GB2312"/>
          <w:color w:val="333333"/>
          <w:sz w:val="32"/>
          <w:szCs w:val="32"/>
        </w:rPr>
        <w:t>1、细化预算编制工作，进一步加强内设机构的预算管理意识，严格按照预算编制的相关制度和要求进行预算编制。</w:t>
      </w:r>
    </w:p>
    <w:p>
      <w:pPr>
        <w:pStyle w:val="5"/>
        <w:widowControl w:val="0"/>
        <w:shd w:val="clear" w:color="auto" w:fill="FFFFFF"/>
        <w:overflowPunct w:val="0"/>
        <w:spacing w:before="0" w:beforeAutospacing="0" w:after="0" w:afterAutospacing="0" w:line="600" w:lineRule="exact"/>
        <w:ind w:firstLine="560"/>
        <w:jc w:val="both"/>
        <w:rPr>
          <w:rFonts w:hint="eastAsia" w:ascii="仿宋_GB2312" w:hAnsi="仿宋_GB2312" w:eastAsia="仿宋_GB2312" w:cs="仿宋_GB2312"/>
          <w:color w:val="333333"/>
        </w:rPr>
      </w:pPr>
      <w:r>
        <w:rPr>
          <w:rFonts w:hint="eastAsia" w:ascii="仿宋_GB2312" w:hAnsi="仿宋_GB2312" w:eastAsia="仿宋_GB2312" w:cs="仿宋_GB2312"/>
          <w:color w:val="333333"/>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5"/>
        <w:widowControl w:val="0"/>
        <w:overflowPunct w:val="0"/>
        <w:spacing w:before="0" w:beforeAutospacing="0" w:after="0" w:afterAutospacing="0" w:line="60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3、完善资产管理，严格编制政府采购年初预算和计划，规范各类资产的购置审批制度、资产采购制度、使用管理制度以及资产处置和报废审批制度等，加强单位内部的资产管理工作。</w:t>
      </w:r>
    </w:p>
    <w:p>
      <w:pPr>
        <w:pStyle w:val="5"/>
        <w:widowControl w:val="0"/>
        <w:overflowPunct w:val="0"/>
        <w:spacing w:before="0" w:beforeAutospacing="0" w:after="0" w:afterAutospacing="0" w:line="600" w:lineRule="exact"/>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4、抓好“三公”经费控制。严格控制“三公”经费的规模和比例，把关“三公”经费支出的审核、审批，杜绝挪用和挤占其他预算资金行为；进一步细化“三公”经费的管理，合理压缩“三公”经费支出。</w:t>
      </w:r>
    </w:p>
    <w:p>
      <w:pPr>
        <w:pStyle w:val="5"/>
        <w:widowControl w:val="0"/>
        <w:overflowPunct w:val="0"/>
        <w:spacing w:before="0" w:beforeAutospacing="0" w:after="0" w:afterAutospacing="0" w:line="600" w:lineRule="exact"/>
        <w:ind w:firstLine="480"/>
        <w:jc w:val="both"/>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rPr>
        <w:t>5、对相关财务人员加强培训，特别是针对《预算法》、《行政事业单位会计制度》加强学习和培训，规范部门预算收支核算，切实提高部门预算收支管理水平。</w:t>
      </w: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Theme="minorEastAsia" w:hAnsiTheme="minorEastAsia"/>
          <w:b/>
          <w:kern w:val="0"/>
          <w:sz w:val="44"/>
          <w:szCs w:val="44"/>
        </w:rPr>
      </w:pPr>
    </w:p>
    <w:p>
      <w:pPr>
        <w:spacing w:line="560" w:lineRule="exact"/>
        <w:rPr>
          <w:rFonts w:asciiTheme="minorEastAsia" w:hAnsiTheme="minorEastAsia"/>
          <w:b/>
          <w:kern w:val="0"/>
          <w:sz w:val="44"/>
          <w:szCs w:val="44"/>
        </w:rPr>
      </w:pPr>
    </w:p>
    <w:p>
      <w:pPr>
        <w:spacing w:line="560" w:lineRule="exact"/>
        <w:rPr>
          <w:rFonts w:asciiTheme="minorEastAsia" w:hAnsiTheme="minorEastAsia"/>
          <w:b/>
          <w:kern w:val="0"/>
          <w:sz w:val="44"/>
          <w:szCs w:val="44"/>
        </w:rPr>
      </w:pPr>
    </w:p>
    <w:p>
      <w:pPr>
        <w:spacing w:line="560" w:lineRule="exact"/>
        <w:rPr>
          <w:rFonts w:asciiTheme="minorEastAsia" w:hAnsiTheme="minorEastAsia"/>
          <w:b/>
          <w:kern w:val="0"/>
          <w:sz w:val="44"/>
          <w:szCs w:val="44"/>
        </w:rPr>
      </w:pPr>
    </w:p>
    <w:p>
      <w:pPr>
        <w:spacing w:line="560" w:lineRule="exact"/>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r>
        <w:rPr>
          <w:rFonts w:hint="eastAsia" w:asciiTheme="minorEastAsia" w:hAnsiTheme="minorEastAsia"/>
          <w:b/>
          <w:kern w:val="0"/>
          <w:sz w:val="44"/>
          <w:szCs w:val="44"/>
        </w:rPr>
        <w:t>浏阳市集里街道办事处</w:t>
      </w:r>
    </w:p>
    <w:p>
      <w:pPr>
        <w:spacing w:line="560" w:lineRule="exact"/>
        <w:jc w:val="center"/>
        <w:rPr>
          <w:rFonts w:asciiTheme="minorEastAsia" w:hAnsiTheme="minorEastAsia"/>
          <w:b/>
          <w:kern w:val="0"/>
          <w:sz w:val="44"/>
          <w:szCs w:val="44"/>
        </w:rPr>
      </w:pPr>
      <w:r>
        <w:rPr>
          <w:rFonts w:hint="eastAsia" w:asciiTheme="minorEastAsia" w:hAnsiTheme="minorEastAsia"/>
          <w:b/>
          <w:kern w:val="0"/>
          <w:sz w:val="44"/>
          <w:szCs w:val="44"/>
        </w:rPr>
        <w:t xml:space="preserve">2019年部门整体支出绩效评价指标表                                                                                       </w:t>
      </w:r>
    </w:p>
    <w:p>
      <w:pPr>
        <w:spacing w:line="240" w:lineRule="exact"/>
        <w:jc w:val="center"/>
        <w:rPr>
          <w:rFonts w:ascii="仿宋" w:hAnsi="仿宋" w:eastAsia="仿宋"/>
          <w:kern w:val="0"/>
          <w:sz w:val="40"/>
          <w:szCs w:val="40"/>
        </w:rPr>
      </w:pPr>
    </w:p>
    <w:tbl>
      <w:tblPr>
        <w:tblStyle w:val="6"/>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rPr>
            </w:pPr>
            <w:r>
              <w:rPr>
                <w:rFonts w:hint="eastAsia" w:ascii="仿宋" w:hAnsi="仿宋" w:eastAsia="仿宋"/>
                <w:kern w:val="0"/>
                <w:szCs w:val="21"/>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二级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三级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28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分值</w:t>
            </w:r>
          </w:p>
        </w:tc>
        <w:tc>
          <w:tcPr>
            <w:tcW w:w="2126"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评价标准</w:t>
            </w:r>
          </w:p>
        </w:tc>
        <w:tc>
          <w:tcPr>
            <w:tcW w:w="336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指标说明</w:t>
            </w:r>
          </w:p>
        </w:tc>
        <w:tc>
          <w:tcPr>
            <w:tcW w:w="498"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投入</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预算配置</w:t>
            </w:r>
          </w:p>
        </w:tc>
        <w:tc>
          <w:tcPr>
            <w:tcW w:w="396"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在职人员控制率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以</w:t>
            </w:r>
            <w:r>
              <w:rPr>
                <w:rFonts w:ascii="仿宋" w:hAnsi="仿宋" w:eastAsia="仿宋"/>
                <w:kern w:val="0"/>
                <w:szCs w:val="21"/>
              </w:rPr>
              <w:t>100%</w:t>
            </w:r>
            <w:r>
              <w:rPr>
                <w:rFonts w:hint="eastAsia" w:ascii="仿宋" w:hAnsi="仿宋" w:eastAsia="仿宋"/>
                <w:kern w:val="0"/>
                <w:szCs w:val="21"/>
              </w:rPr>
              <w:t>为标准。在职人员控制率≦</w:t>
            </w:r>
            <w:r>
              <w:rPr>
                <w:rFonts w:ascii="仿宋" w:hAnsi="仿宋" w:eastAsia="仿宋"/>
                <w:kern w:val="0"/>
                <w:szCs w:val="21"/>
              </w:rPr>
              <w:t>100%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分；每超过一个百分点扣</w:t>
            </w:r>
            <w:r>
              <w:rPr>
                <w:rFonts w:ascii="仿宋" w:hAnsi="仿宋" w:eastAsia="仿宋"/>
                <w:kern w:val="0"/>
                <w:szCs w:val="21"/>
              </w:rPr>
              <w:t>0.5</w:t>
            </w:r>
            <w:r>
              <w:rPr>
                <w:rFonts w:hint="eastAsia" w:ascii="仿宋" w:hAnsi="仿宋" w:eastAsia="仿宋"/>
                <w:kern w:val="0"/>
                <w:szCs w:val="21"/>
              </w:rPr>
              <w:t>分，扣完为止。</w:t>
            </w:r>
          </w:p>
        </w:tc>
        <w:tc>
          <w:tcPr>
            <w:tcW w:w="3364" w:type="dxa"/>
            <w:vAlign w:val="center"/>
          </w:tcPr>
          <w:p>
            <w:pPr>
              <w:spacing w:line="240" w:lineRule="exact"/>
              <w:jc w:val="left"/>
              <w:rPr>
                <w:rFonts w:hint="eastAsia" w:ascii="仿宋" w:hAnsi="仿宋" w:eastAsia="仿宋"/>
                <w:kern w:val="0"/>
                <w:szCs w:val="21"/>
                <w:lang w:eastAsia="zh-CN"/>
              </w:rPr>
            </w:pPr>
            <w:r>
              <w:rPr>
                <w:rFonts w:hint="eastAsia" w:ascii="仿宋" w:hAnsi="仿宋" w:eastAsia="仿宋"/>
                <w:kern w:val="0"/>
                <w:szCs w:val="21"/>
              </w:rPr>
              <w:t>在职人员控制率</w:t>
            </w:r>
            <w:r>
              <w:rPr>
                <w:rFonts w:ascii="仿宋" w:hAnsi="仿宋" w:eastAsia="仿宋"/>
                <w:kern w:val="0"/>
                <w:szCs w:val="21"/>
              </w:rPr>
              <w:t>=</w:t>
            </w:r>
            <w:r>
              <w:rPr>
                <w:rFonts w:hint="eastAsia" w:ascii="仿宋" w:hAnsi="仿宋" w:eastAsia="仿宋"/>
                <w:kern w:val="0"/>
                <w:szCs w:val="21"/>
              </w:rPr>
              <w:t>（在职人员数</w:t>
            </w:r>
            <w:r>
              <w:rPr>
                <w:rFonts w:ascii="仿宋" w:hAnsi="仿宋" w:eastAsia="仿宋"/>
                <w:kern w:val="0"/>
                <w:szCs w:val="21"/>
              </w:rPr>
              <w:t>/</w:t>
            </w:r>
            <w:r>
              <w:rPr>
                <w:rFonts w:hint="eastAsia" w:ascii="仿宋" w:hAnsi="仿宋" w:eastAsia="仿宋"/>
                <w:kern w:val="0"/>
                <w:szCs w:val="21"/>
              </w:rPr>
              <w:t>编制数）×</w:t>
            </w:r>
            <w:r>
              <w:rPr>
                <w:rFonts w:ascii="仿宋" w:hAnsi="仿宋" w:eastAsia="仿宋"/>
                <w:kern w:val="0"/>
                <w:szCs w:val="21"/>
              </w:rPr>
              <w:t>100%</w:t>
            </w:r>
            <w:r>
              <w:rPr>
                <w:rFonts w:hint="eastAsia" w:ascii="仿宋" w:hAnsi="仿宋" w:eastAsia="仿宋"/>
                <w:kern w:val="0"/>
                <w:szCs w:val="21"/>
              </w:rPr>
              <w:t>，在职人员数：部门（单位）实际在职人数，以财政厅确定的部门决算编制口径为准。</w:t>
            </w:r>
          </w:p>
          <w:p>
            <w:pPr>
              <w:spacing w:line="240" w:lineRule="exact"/>
              <w:jc w:val="left"/>
              <w:rPr>
                <w:rFonts w:ascii="仿宋" w:hAnsi="仿宋" w:eastAsia="仿宋"/>
                <w:kern w:val="0"/>
                <w:szCs w:val="21"/>
              </w:rPr>
            </w:pPr>
            <w:r>
              <w:rPr>
                <w:rFonts w:hint="eastAsia" w:ascii="仿宋" w:hAnsi="仿宋" w:eastAsia="仿宋"/>
                <w:kern w:val="0"/>
                <w:szCs w:val="21"/>
              </w:rPr>
              <w:t>编制数：机构编制部门核定批复的部门（单位）的人员编制数。</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“三公经费”变动率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8</w:t>
            </w:r>
            <w:r>
              <w:rPr>
                <w:rFonts w:hint="eastAsia" w:ascii="仿宋" w:hAnsi="仿宋" w:eastAsia="仿宋"/>
                <w:kern w:val="0"/>
                <w:szCs w:val="21"/>
              </w:rPr>
              <w:t>分；“三公经费”＞</w:t>
            </w:r>
            <w:r>
              <w:rPr>
                <w:rFonts w:ascii="仿宋" w:hAnsi="仿宋" w:eastAsia="仿宋"/>
                <w:kern w:val="0"/>
                <w:szCs w:val="21"/>
              </w:rPr>
              <w:t>0</w:t>
            </w:r>
            <w:r>
              <w:rPr>
                <w:rFonts w:hint="eastAsia" w:ascii="仿宋" w:hAnsi="仿宋" w:eastAsia="仿宋"/>
                <w:kern w:val="0"/>
                <w:szCs w:val="21"/>
              </w:rPr>
              <w:t>，每超过一个百分点扣</w:t>
            </w:r>
            <w:r>
              <w:rPr>
                <w:rFonts w:ascii="仿宋" w:hAnsi="仿宋" w:eastAsia="仿宋"/>
                <w:kern w:val="0"/>
                <w:szCs w:val="21"/>
              </w:rPr>
              <w:t>0.8</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w:t>
            </w:r>
            <w:r>
              <w:rPr>
                <w:rFonts w:hint="eastAsia" w:ascii="仿宋" w:hAnsi="仿宋" w:eastAsia="仿宋"/>
                <w:kern w:val="0"/>
                <w:szCs w:val="21"/>
              </w:rPr>
              <w:t>（本年度“三公经费”预算数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过</w:t>
            </w:r>
            <w:r>
              <w:rPr>
                <w:rFonts w:ascii="仿宋" w:hAnsi="仿宋" w:eastAsia="仿宋"/>
                <w:kern w:val="0"/>
                <w:szCs w:val="21"/>
              </w:rPr>
              <w:t xml:space="preserve">                                                                                                                                       </w:t>
            </w:r>
            <w:r>
              <w:rPr>
                <w:rFonts w:hint="eastAsia" w:ascii="仿宋" w:hAnsi="仿宋" w:eastAsia="仿宋"/>
                <w:kern w:val="0"/>
                <w:szCs w:val="21"/>
              </w:rPr>
              <w:t>程</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60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预算执行</w:t>
            </w:r>
          </w:p>
          <w:p>
            <w:pPr>
              <w:spacing w:line="240" w:lineRule="exact"/>
              <w:jc w:val="center"/>
              <w:rPr>
                <w:rFonts w:ascii="仿宋" w:hAnsi="仿宋" w:eastAsia="仿宋"/>
                <w:kern w:val="0"/>
                <w:szCs w:val="21"/>
              </w:rPr>
            </w:pPr>
          </w:p>
        </w:tc>
        <w:tc>
          <w:tcPr>
            <w:tcW w:w="396"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4</w:t>
            </w:r>
            <w:r>
              <w:rPr>
                <w:rFonts w:ascii="仿宋" w:hAnsi="仿宋" w:eastAsia="仿宋"/>
                <w:kern w:val="0"/>
                <w:szCs w:val="21"/>
              </w:rPr>
              <w:t>0</w:t>
            </w:r>
          </w:p>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完成率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计满分，每低于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预算完成率</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年末结余）</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w:t>
            </w:r>
            <w:r>
              <w:rPr>
                <w:rFonts w:ascii="仿宋" w:hAnsi="仿宋" w:eastAsia="仿宋"/>
                <w:kern w:val="0"/>
                <w:szCs w:val="21"/>
              </w:rPr>
              <w:t>0-10%</w:t>
            </w:r>
            <w:r>
              <w:rPr>
                <w:rFonts w:hint="eastAsia" w:ascii="仿宋" w:hAnsi="仿宋" w:eastAsia="仿宋"/>
                <w:kern w:val="0"/>
                <w:szCs w:val="21"/>
              </w:rPr>
              <w:t>（含），计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10-20%</w:t>
            </w:r>
            <w:r>
              <w:rPr>
                <w:rFonts w:hint="eastAsia" w:ascii="仿宋" w:hAnsi="仿宋" w:eastAsia="仿宋"/>
                <w:kern w:val="0"/>
                <w:szCs w:val="21"/>
              </w:rPr>
              <w:t>（含），计</w:t>
            </w:r>
            <w:r>
              <w:rPr>
                <w:rFonts w:ascii="仿宋" w:hAnsi="仿宋" w:eastAsia="仿宋"/>
                <w:kern w:val="0"/>
                <w:szCs w:val="21"/>
              </w:rPr>
              <w:t>3</w:t>
            </w:r>
            <w:r>
              <w:rPr>
                <w:rFonts w:hint="eastAsia" w:ascii="仿宋" w:hAnsi="仿宋" w:eastAsia="仿宋"/>
                <w:kern w:val="0"/>
                <w:szCs w:val="21"/>
              </w:rPr>
              <w:t>分；</w:t>
            </w:r>
            <w:r>
              <w:rPr>
                <w:rFonts w:ascii="仿宋" w:hAnsi="仿宋" w:eastAsia="仿宋"/>
                <w:kern w:val="0"/>
                <w:szCs w:val="21"/>
              </w:rPr>
              <w:t>20-30%</w:t>
            </w:r>
            <w:r>
              <w:rPr>
                <w:rFonts w:hint="eastAsia" w:ascii="仿宋" w:hAnsi="仿宋" w:eastAsia="仿宋"/>
                <w:kern w:val="0"/>
                <w:szCs w:val="21"/>
              </w:rPr>
              <w:t>（含），计</w:t>
            </w:r>
            <w:r>
              <w:rPr>
                <w:rFonts w:ascii="仿宋" w:hAnsi="仿宋" w:eastAsia="仿宋"/>
                <w:kern w:val="0"/>
                <w:szCs w:val="21"/>
              </w:rPr>
              <w:t>2</w:t>
            </w:r>
            <w:r>
              <w:rPr>
                <w:rFonts w:hint="eastAsia" w:ascii="仿宋" w:hAnsi="仿宋" w:eastAsia="仿宋"/>
                <w:kern w:val="0"/>
                <w:szCs w:val="21"/>
              </w:rPr>
              <w:t>分；大于</w:t>
            </w:r>
            <w:r>
              <w:rPr>
                <w:rFonts w:ascii="仿宋" w:hAnsi="仿宋" w:eastAsia="仿宋"/>
                <w:kern w:val="0"/>
                <w:szCs w:val="21"/>
              </w:rPr>
              <w:t>30%</w:t>
            </w:r>
            <w:r>
              <w:rPr>
                <w:rFonts w:hint="eastAsia" w:ascii="仿宋" w:hAnsi="仿宋" w:eastAsia="仿宋"/>
                <w:kern w:val="0"/>
                <w:szCs w:val="21"/>
              </w:rPr>
              <w:t>不得分。</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新建楼堂馆所面积控制率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分，扣完为止。没有楼堂馆所项目的部门按满分计算。</w:t>
            </w:r>
          </w:p>
        </w:tc>
        <w:tc>
          <w:tcPr>
            <w:tcW w:w="3364" w:type="dxa"/>
            <w:vAlign w:val="center"/>
          </w:tcPr>
          <w:p>
            <w:pPr>
              <w:spacing w:line="240" w:lineRule="exact"/>
              <w:jc w:val="left"/>
              <w:rPr>
                <w:rFonts w:hint="eastAsia" w:ascii="仿宋" w:hAnsi="仿宋" w:eastAsia="仿宋"/>
                <w:kern w:val="0"/>
                <w:szCs w:val="21"/>
                <w:lang w:eastAsia="zh-CN"/>
              </w:rPr>
            </w:pPr>
            <w:r>
              <w:rPr>
                <w:rFonts w:hint="eastAsia" w:ascii="仿宋" w:hAnsi="仿宋" w:eastAsia="仿宋"/>
                <w:kern w:val="0"/>
                <w:szCs w:val="21"/>
              </w:rPr>
              <w:t>楼堂馆所面积控制率</w:t>
            </w:r>
            <w:r>
              <w:rPr>
                <w:rFonts w:ascii="仿宋" w:hAnsi="仿宋" w:eastAsia="仿宋"/>
                <w:kern w:val="0"/>
                <w:szCs w:val="21"/>
              </w:rPr>
              <w:t>=</w:t>
            </w:r>
            <w:r>
              <w:rPr>
                <w:rFonts w:hint="eastAsia" w:ascii="仿宋" w:hAnsi="仿宋" w:eastAsia="仿宋"/>
                <w:kern w:val="0"/>
                <w:szCs w:val="21"/>
              </w:rPr>
              <w:t>实际建设面积</w:t>
            </w:r>
            <w:r>
              <w:rPr>
                <w:rFonts w:ascii="仿宋" w:hAnsi="仿宋" w:eastAsia="仿宋"/>
                <w:kern w:val="0"/>
                <w:szCs w:val="21"/>
              </w:rPr>
              <w:t>/</w:t>
            </w:r>
            <w:r>
              <w:rPr>
                <w:rFonts w:hint="eastAsia" w:ascii="仿宋" w:hAnsi="仿宋" w:eastAsia="仿宋"/>
                <w:kern w:val="0"/>
                <w:szCs w:val="21"/>
              </w:rPr>
              <w:t>批准建设面积×</w:t>
            </w:r>
            <w:r>
              <w:rPr>
                <w:rFonts w:ascii="仿宋" w:hAnsi="仿宋" w:eastAsia="仿宋"/>
                <w:kern w:val="0"/>
                <w:szCs w:val="21"/>
              </w:rPr>
              <w:t xml:space="preserve">100% </w:t>
            </w:r>
            <w:r>
              <w:rPr>
                <w:rFonts w:hint="eastAsia" w:ascii="仿宋" w:hAnsi="仿宋" w:eastAsia="仿宋"/>
                <w:kern w:val="0"/>
                <w:szCs w:val="21"/>
              </w:rPr>
              <w:t>。</w:t>
            </w:r>
          </w:p>
          <w:p>
            <w:pPr>
              <w:spacing w:line="240" w:lineRule="exact"/>
              <w:jc w:val="left"/>
              <w:rPr>
                <w:rFonts w:ascii="仿宋" w:hAnsi="仿宋" w:eastAsia="仿宋"/>
                <w:kern w:val="0"/>
                <w:szCs w:val="21"/>
              </w:rPr>
            </w:pPr>
            <w:r>
              <w:rPr>
                <w:rFonts w:hint="eastAsia" w:ascii="仿宋" w:hAnsi="仿宋" w:eastAsia="仿宋"/>
                <w:kern w:val="0"/>
                <w:szCs w:val="21"/>
              </w:rPr>
              <w:t>该指标以</w:t>
            </w:r>
            <w:r>
              <w:rPr>
                <w:rFonts w:ascii="仿宋" w:hAnsi="仿宋" w:eastAsia="仿宋"/>
                <w:kern w:val="0"/>
                <w:szCs w:val="21"/>
              </w:rPr>
              <w:t>201</w:t>
            </w:r>
            <w:r>
              <w:rPr>
                <w:rFonts w:hint="eastAsia" w:ascii="仿宋" w:hAnsi="仿宋" w:eastAsia="仿宋"/>
                <w:kern w:val="0"/>
                <w:szCs w:val="21"/>
              </w:rPr>
              <w:t>9年完工的新建楼堂馆所为评价内容。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新建楼堂馆所投资概算控制率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hint="eastAsia" w:ascii="仿宋" w:hAnsi="仿宋" w:eastAsia="仿宋"/>
                <w:kern w:val="0"/>
                <w:szCs w:val="21"/>
                <w:lang w:eastAsia="zh-CN"/>
              </w:rPr>
            </w:pPr>
            <w:r>
              <w:rPr>
                <w:rFonts w:hint="eastAsia" w:ascii="仿宋" w:hAnsi="仿宋" w:eastAsia="仿宋"/>
                <w:kern w:val="0"/>
                <w:szCs w:val="21"/>
              </w:rPr>
              <w:t>楼堂馆所投资预算控制率</w:t>
            </w:r>
            <w:r>
              <w:rPr>
                <w:rFonts w:ascii="仿宋" w:hAnsi="仿宋" w:eastAsia="仿宋"/>
                <w:kern w:val="0"/>
                <w:szCs w:val="21"/>
              </w:rPr>
              <w:t>=</w:t>
            </w:r>
            <w:r>
              <w:rPr>
                <w:rFonts w:hint="eastAsia" w:ascii="仿宋" w:hAnsi="仿宋" w:eastAsia="仿宋"/>
                <w:kern w:val="0"/>
                <w:szCs w:val="21"/>
              </w:rPr>
              <w:t>实际投资金额</w:t>
            </w:r>
            <w:r>
              <w:rPr>
                <w:rFonts w:ascii="仿宋" w:hAnsi="仿宋" w:eastAsia="仿宋"/>
                <w:kern w:val="0"/>
                <w:szCs w:val="21"/>
              </w:rPr>
              <w:t>/</w:t>
            </w:r>
            <w:r>
              <w:rPr>
                <w:rFonts w:hint="eastAsia" w:ascii="仿宋" w:hAnsi="仿宋" w:eastAsia="仿宋"/>
                <w:kern w:val="0"/>
                <w:szCs w:val="21"/>
              </w:rPr>
              <w:t>批准投资金额×</w:t>
            </w:r>
            <w:r>
              <w:rPr>
                <w:rFonts w:ascii="仿宋" w:hAnsi="仿宋" w:eastAsia="仿宋"/>
                <w:kern w:val="0"/>
                <w:szCs w:val="21"/>
              </w:rPr>
              <w:t xml:space="preserve">100% </w:t>
            </w:r>
            <w:r>
              <w:rPr>
                <w:rFonts w:hint="eastAsia" w:ascii="仿宋" w:hAnsi="仿宋" w:eastAsia="仿宋"/>
                <w:kern w:val="0"/>
                <w:szCs w:val="21"/>
              </w:rPr>
              <w:t>。</w:t>
            </w:r>
          </w:p>
          <w:p>
            <w:pPr>
              <w:spacing w:line="240" w:lineRule="exact"/>
              <w:jc w:val="left"/>
              <w:rPr>
                <w:rFonts w:ascii="仿宋" w:hAnsi="仿宋" w:eastAsia="仿宋"/>
                <w:kern w:val="0"/>
                <w:szCs w:val="21"/>
              </w:rPr>
            </w:pPr>
            <w:r>
              <w:rPr>
                <w:rFonts w:hint="eastAsia" w:ascii="仿宋" w:hAnsi="仿宋" w:eastAsia="仿宋"/>
                <w:kern w:val="0"/>
                <w:szCs w:val="21"/>
              </w:rPr>
              <w:t>该指标以</w:t>
            </w:r>
            <w:r>
              <w:rPr>
                <w:rFonts w:ascii="仿宋" w:hAnsi="仿宋" w:eastAsia="仿宋"/>
                <w:kern w:val="0"/>
                <w:szCs w:val="21"/>
              </w:rPr>
              <w:t>201</w:t>
            </w:r>
            <w:r>
              <w:rPr>
                <w:rFonts w:hint="eastAsia" w:ascii="仿宋" w:hAnsi="仿宋" w:eastAsia="仿宋"/>
                <w:kern w:val="0"/>
                <w:szCs w:val="21"/>
              </w:rPr>
              <w:t>9年完工的新建楼堂馆所为评价内容。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公用经费控制率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 xml:space="preserve">以下（含）计满分，每超出  </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hint="eastAsia" w:ascii="仿宋" w:hAnsi="仿宋" w:eastAsia="仿宋"/>
                <w:kern w:val="0"/>
                <w:szCs w:val="21"/>
                <w:lang w:eastAsia="zh-CN"/>
              </w:rPr>
            </w:pPr>
            <w:r>
              <w:rPr>
                <w:rFonts w:hint="eastAsia" w:ascii="仿宋" w:hAnsi="仿宋" w:eastAsia="仿宋"/>
                <w:kern w:val="0"/>
                <w:szCs w:val="21"/>
              </w:rPr>
              <w:t>公用经费控制率</w:t>
            </w:r>
            <w:r>
              <w:rPr>
                <w:rFonts w:ascii="仿宋" w:hAnsi="仿宋" w:eastAsia="仿宋"/>
                <w:kern w:val="0"/>
                <w:szCs w:val="21"/>
              </w:rPr>
              <w:t>=</w:t>
            </w:r>
            <w:r>
              <w:rPr>
                <w:rFonts w:hint="eastAsia" w:ascii="仿宋" w:hAnsi="仿宋" w:eastAsia="仿宋"/>
                <w:kern w:val="0"/>
                <w:szCs w:val="21"/>
              </w:rPr>
              <w:t>（实际支出公用经费总额</w:t>
            </w:r>
            <w:r>
              <w:rPr>
                <w:rFonts w:ascii="仿宋" w:hAnsi="仿宋" w:eastAsia="仿宋"/>
                <w:kern w:val="0"/>
                <w:szCs w:val="21"/>
              </w:rPr>
              <w:t>/</w:t>
            </w:r>
            <w:r>
              <w:rPr>
                <w:rFonts w:hint="eastAsia" w:ascii="仿宋" w:hAnsi="仿宋" w:eastAsia="仿宋"/>
                <w:kern w:val="0"/>
                <w:szCs w:val="21"/>
              </w:rPr>
              <w:t>预算安排公用经费总额）×</w:t>
            </w:r>
            <w:r>
              <w:rPr>
                <w:rFonts w:ascii="仿宋" w:hAnsi="仿宋" w:eastAsia="仿宋"/>
                <w:kern w:val="0"/>
                <w:szCs w:val="21"/>
              </w:rPr>
              <w:t>100%</w:t>
            </w:r>
            <w:r>
              <w:rPr>
                <w:rFonts w:hint="eastAsia" w:ascii="仿宋" w:hAnsi="仿宋" w:eastAsia="仿宋"/>
                <w:kern w:val="0"/>
                <w:szCs w:val="21"/>
              </w:rPr>
              <w:t>。</w:t>
            </w:r>
          </w:p>
          <w:p>
            <w:pPr>
              <w:spacing w:line="240" w:lineRule="exact"/>
              <w:jc w:val="left"/>
              <w:rPr>
                <w:rFonts w:ascii="仿宋" w:hAnsi="仿宋" w:eastAsia="仿宋"/>
                <w:kern w:val="0"/>
                <w:szCs w:val="21"/>
              </w:rPr>
            </w:pPr>
            <w:r>
              <w:rPr>
                <w:rFonts w:hint="eastAsia" w:ascii="仿宋" w:hAnsi="仿宋" w:eastAsia="仿宋"/>
                <w:kern w:val="0"/>
                <w:szCs w:val="21"/>
              </w:rPr>
              <w:t>公用经费支出是指部门基本支出中的一般商品和服务支出。</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“三公经费”控制率</w:t>
            </w:r>
          </w:p>
        </w:tc>
        <w:tc>
          <w:tcPr>
            <w:tcW w:w="284"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“三公经费”控制率</w:t>
            </w:r>
            <w:r>
              <w:rPr>
                <w:rFonts w:ascii="仿宋" w:hAnsi="仿宋" w:eastAsia="仿宋"/>
                <w:kern w:val="0"/>
                <w:szCs w:val="21"/>
              </w:rPr>
              <w:t>-</w:t>
            </w:r>
            <w:r>
              <w:rPr>
                <w:rFonts w:hint="eastAsia" w:ascii="仿宋" w:hAnsi="仿宋" w:eastAsia="仿宋"/>
                <w:kern w:val="0"/>
                <w:szCs w:val="21"/>
              </w:rPr>
              <w:t>（“三公经费”实际支出数</w:t>
            </w:r>
            <w:r>
              <w:rPr>
                <w:rFonts w:ascii="仿宋" w:hAnsi="仿宋" w:eastAsia="仿宋"/>
                <w:kern w:val="0"/>
                <w:szCs w:val="21"/>
              </w:rPr>
              <w:t>/</w:t>
            </w:r>
            <w:r>
              <w:rPr>
                <w:rFonts w:hint="eastAsia" w:ascii="仿宋" w:hAnsi="仿宋" w:eastAsia="仿宋"/>
                <w:kern w:val="0"/>
                <w:szCs w:val="21"/>
              </w:rPr>
              <w:t>“三公经费”预算安排数）×</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政府采购执行率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计满分，每超过（降低）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政府采购执行率</w:t>
            </w:r>
            <w:r>
              <w:rPr>
                <w:rFonts w:ascii="仿宋" w:hAnsi="仿宋" w:eastAsia="仿宋"/>
                <w:kern w:val="0"/>
                <w:szCs w:val="21"/>
              </w:rPr>
              <w:t>=</w:t>
            </w:r>
            <w:r>
              <w:rPr>
                <w:rFonts w:hint="eastAsia" w:ascii="仿宋" w:hAnsi="仿宋" w:eastAsia="仿宋"/>
                <w:kern w:val="0"/>
                <w:szCs w:val="21"/>
              </w:rPr>
              <w:t>（实际政府采购金额</w:t>
            </w:r>
            <w:r>
              <w:rPr>
                <w:rFonts w:ascii="仿宋" w:hAnsi="仿宋" w:eastAsia="仿宋"/>
                <w:kern w:val="0"/>
                <w:szCs w:val="21"/>
              </w:rPr>
              <w:t>/</w:t>
            </w:r>
            <w:r>
              <w:rPr>
                <w:rFonts w:hint="eastAsia" w:ascii="仿宋" w:hAnsi="仿宋" w:eastAsia="仿宋"/>
                <w:kern w:val="0"/>
                <w:szCs w:val="21"/>
              </w:rPr>
              <w:t>政府采购预算数）×</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过</w:t>
            </w:r>
          </w:p>
          <w:p>
            <w:pPr>
              <w:spacing w:line="280" w:lineRule="exact"/>
              <w:jc w:val="center"/>
              <w:rPr>
                <w:rFonts w:ascii="仿宋" w:hAnsi="仿宋" w:eastAsia="仿宋"/>
                <w:kern w:val="0"/>
                <w:szCs w:val="21"/>
              </w:rPr>
            </w:pPr>
            <w:r>
              <w:rPr>
                <w:rFonts w:hint="eastAsia" w:ascii="仿宋" w:hAnsi="仿宋" w:eastAsia="仿宋"/>
                <w:kern w:val="0"/>
                <w:szCs w:val="21"/>
              </w:rPr>
              <w:t>程</w:t>
            </w:r>
          </w:p>
        </w:tc>
        <w:tc>
          <w:tcPr>
            <w:tcW w:w="400" w:type="dxa"/>
            <w:vMerge w:val="restart"/>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预算管理</w:t>
            </w:r>
          </w:p>
        </w:tc>
        <w:tc>
          <w:tcPr>
            <w:tcW w:w="396" w:type="dxa"/>
            <w:vMerge w:val="restart"/>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管理制度健全性</w:t>
            </w:r>
          </w:p>
        </w:tc>
        <w:tc>
          <w:tcPr>
            <w:tcW w:w="284"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c>
          <w:tcPr>
            <w:tcW w:w="5490" w:type="dxa"/>
            <w:gridSpan w:val="2"/>
            <w:vAlign w:val="center"/>
          </w:tcPr>
          <w:p>
            <w:pPr>
              <w:spacing w:line="280" w:lineRule="exact"/>
              <w:jc w:val="left"/>
              <w:rPr>
                <w:rFonts w:hint="eastAsia" w:ascii="仿宋" w:hAnsi="仿宋" w:eastAsia="仿宋"/>
                <w:kern w:val="0"/>
                <w:szCs w:val="21"/>
                <w:lang w:eastAsia="zh-CN"/>
              </w:rPr>
            </w:pPr>
            <w:r>
              <w:rPr>
                <w:rFonts w:hint="eastAsia" w:ascii="仿宋" w:hAnsi="仿宋" w:eastAsia="仿宋" w:cs="宋体"/>
                <w:kern w:val="0"/>
                <w:szCs w:val="21"/>
              </w:rPr>
              <w:t>①</w:t>
            </w:r>
            <w:r>
              <w:rPr>
                <w:rFonts w:hint="eastAsia" w:ascii="仿宋" w:hAnsi="仿宋" w:eastAsia="仿宋"/>
                <w:kern w:val="0"/>
                <w:szCs w:val="21"/>
              </w:rPr>
              <w:t>有内部财务管理制度、会计核算制度等管理制度，</w:t>
            </w:r>
            <w:r>
              <w:rPr>
                <w:rFonts w:ascii="仿宋" w:hAnsi="仿宋" w:eastAsia="仿宋"/>
                <w:kern w:val="0"/>
                <w:szCs w:val="21"/>
              </w:rPr>
              <w:t>2</w:t>
            </w:r>
            <w:r>
              <w:rPr>
                <w:rFonts w:hint="eastAsia" w:ascii="仿宋" w:hAnsi="仿宋" w:eastAsia="仿宋"/>
                <w:kern w:val="0"/>
                <w:szCs w:val="21"/>
              </w:rPr>
              <w:t>分；</w:t>
            </w:r>
          </w:p>
          <w:p>
            <w:pPr>
              <w:spacing w:line="280" w:lineRule="exact"/>
              <w:jc w:val="left"/>
              <w:rPr>
                <w:rFonts w:hint="eastAsia" w:ascii="仿宋" w:hAnsi="仿宋" w:eastAsia="仿宋"/>
                <w:kern w:val="0"/>
                <w:szCs w:val="21"/>
                <w:lang w:eastAsia="zh-CN"/>
              </w:rPr>
            </w:pPr>
            <w:r>
              <w:rPr>
                <w:rFonts w:hint="eastAsia" w:ascii="仿宋" w:hAnsi="仿宋" w:eastAsia="仿宋" w:cs="宋体"/>
                <w:kern w:val="0"/>
                <w:szCs w:val="21"/>
              </w:rPr>
              <w:t>②</w:t>
            </w:r>
            <w:r>
              <w:rPr>
                <w:rFonts w:hint="eastAsia" w:ascii="仿宋" w:hAnsi="仿宋" w:eastAsia="仿宋"/>
                <w:kern w:val="0"/>
                <w:szCs w:val="21"/>
              </w:rPr>
              <w:t>有本部门厉行节约制度</w:t>
            </w:r>
            <w:r>
              <w:rPr>
                <w:rFonts w:ascii="仿宋" w:hAnsi="仿宋" w:eastAsia="仿宋"/>
                <w:kern w:val="0"/>
                <w:szCs w:val="21"/>
              </w:rPr>
              <w:t>,2</w:t>
            </w:r>
            <w:r>
              <w:rPr>
                <w:rFonts w:hint="eastAsia" w:ascii="仿宋" w:hAnsi="仿宋" w:eastAsia="仿宋"/>
                <w:kern w:val="0"/>
                <w:szCs w:val="21"/>
              </w:rPr>
              <w:t>分；</w:t>
            </w:r>
          </w:p>
          <w:p>
            <w:pPr>
              <w:spacing w:line="280" w:lineRule="exact"/>
              <w:jc w:val="left"/>
              <w:rPr>
                <w:rFonts w:ascii="仿宋" w:hAnsi="仿宋" w:eastAsia="仿宋"/>
                <w:kern w:val="0"/>
                <w:szCs w:val="21"/>
              </w:rPr>
            </w:pPr>
            <w:r>
              <w:rPr>
                <w:rFonts w:hint="eastAsia" w:ascii="仿宋" w:hAnsi="仿宋" w:eastAsia="仿宋" w:cs="宋体"/>
                <w:kern w:val="0"/>
                <w:szCs w:val="21"/>
              </w:rPr>
              <w:t>③</w:t>
            </w:r>
            <w:r>
              <w:rPr>
                <w:rFonts w:hint="eastAsia" w:ascii="仿宋" w:hAnsi="仿宋" w:eastAsia="仿宋"/>
                <w:kern w:val="0"/>
                <w:szCs w:val="21"/>
              </w:rPr>
              <w:t>相关管理制度合法、合规、完整，3分；</w:t>
            </w:r>
            <w:r>
              <w:rPr>
                <w:rFonts w:hint="eastAsia" w:ascii="仿宋" w:hAnsi="仿宋" w:eastAsia="仿宋" w:cs="宋体"/>
                <w:kern w:val="0"/>
                <w:szCs w:val="21"/>
              </w:rPr>
              <w:t>④</w:t>
            </w:r>
            <w:r>
              <w:rPr>
                <w:rFonts w:hint="eastAsia" w:ascii="仿宋" w:hAnsi="仿宋" w:eastAsia="仿宋"/>
                <w:kern w:val="0"/>
                <w:szCs w:val="21"/>
              </w:rPr>
              <w:t>相关管理制度得到有效执行，</w:t>
            </w:r>
            <w:r>
              <w:rPr>
                <w:rFonts w:ascii="仿宋" w:hAnsi="仿宋" w:eastAsia="仿宋"/>
                <w:kern w:val="0"/>
                <w:szCs w:val="21"/>
              </w:rPr>
              <w:t>2</w:t>
            </w:r>
            <w:r>
              <w:rPr>
                <w:rFonts w:hint="eastAsia" w:ascii="仿宋" w:hAnsi="仿宋" w:eastAsia="仿宋"/>
                <w:kern w:val="0"/>
                <w:szCs w:val="21"/>
              </w:rPr>
              <w:t>分。</w:t>
            </w:r>
          </w:p>
        </w:tc>
        <w:tc>
          <w:tcPr>
            <w:tcW w:w="49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b/>
                <w:kern w:val="0"/>
                <w:szCs w:val="21"/>
              </w:rPr>
            </w:pPr>
          </w:p>
        </w:tc>
        <w:tc>
          <w:tcPr>
            <w:tcW w:w="400" w:type="dxa"/>
            <w:vMerge w:val="continue"/>
            <w:vAlign w:val="center"/>
          </w:tcPr>
          <w:p>
            <w:pPr>
              <w:spacing w:line="280" w:lineRule="exact"/>
              <w:jc w:val="left"/>
              <w:rPr>
                <w:rFonts w:ascii="仿宋" w:hAnsi="仿宋" w:eastAsia="仿宋"/>
                <w:b/>
                <w:kern w:val="0"/>
                <w:szCs w:val="21"/>
              </w:rPr>
            </w:pPr>
          </w:p>
        </w:tc>
        <w:tc>
          <w:tcPr>
            <w:tcW w:w="478" w:type="dxa"/>
            <w:vMerge w:val="continue"/>
            <w:vAlign w:val="center"/>
          </w:tcPr>
          <w:p>
            <w:pPr>
              <w:spacing w:line="280" w:lineRule="exact"/>
              <w:jc w:val="left"/>
              <w:rPr>
                <w:rFonts w:ascii="仿宋" w:hAnsi="仿宋" w:eastAsia="仿宋"/>
                <w:b/>
                <w:kern w:val="0"/>
                <w:szCs w:val="21"/>
              </w:rPr>
            </w:pPr>
          </w:p>
        </w:tc>
        <w:tc>
          <w:tcPr>
            <w:tcW w:w="396" w:type="dxa"/>
            <w:vMerge w:val="continue"/>
            <w:vAlign w:val="center"/>
          </w:tcPr>
          <w:p>
            <w:pPr>
              <w:spacing w:line="280" w:lineRule="exact"/>
              <w:jc w:val="left"/>
              <w:rPr>
                <w:rFonts w:ascii="仿宋" w:hAnsi="仿宋" w:eastAsia="仿宋"/>
                <w:b/>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资金使用合规性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5490" w:type="dxa"/>
            <w:gridSpan w:val="2"/>
            <w:vAlign w:val="center"/>
          </w:tcPr>
          <w:p>
            <w:pPr>
              <w:spacing w:line="280" w:lineRule="exact"/>
              <w:jc w:val="left"/>
              <w:rPr>
                <w:rFonts w:hint="eastAsia" w:ascii="仿宋" w:hAnsi="仿宋" w:eastAsia="仿宋"/>
                <w:kern w:val="0"/>
                <w:szCs w:val="21"/>
                <w:lang w:eastAsia="zh-CN"/>
              </w:rPr>
            </w:pPr>
            <w:r>
              <w:rPr>
                <w:rFonts w:hint="eastAsia" w:ascii="仿宋" w:hAnsi="仿宋" w:eastAsia="仿宋"/>
                <w:kern w:val="0"/>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spacing w:line="280" w:lineRule="exact"/>
              <w:jc w:val="left"/>
              <w:rPr>
                <w:rFonts w:ascii="仿宋" w:hAnsi="仿宋" w:eastAsia="仿宋"/>
                <w:kern w:val="0"/>
                <w:szCs w:val="21"/>
              </w:rPr>
            </w:pPr>
            <w:r>
              <w:rPr>
                <w:rFonts w:hint="eastAsia" w:ascii="仿宋" w:hAnsi="仿宋" w:eastAsia="仿宋"/>
                <w:kern w:val="0"/>
                <w:szCs w:val="21"/>
              </w:rPr>
              <w:t>以上情况每出现一例不符合要求的扣</w:t>
            </w:r>
            <w:r>
              <w:rPr>
                <w:rFonts w:ascii="仿宋" w:hAnsi="仿宋" w:eastAsia="仿宋"/>
                <w:kern w:val="0"/>
                <w:szCs w:val="21"/>
              </w:rPr>
              <w:t>1</w:t>
            </w:r>
            <w:r>
              <w:rPr>
                <w:rFonts w:hint="eastAsia" w:ascii="仿宋" w:hAnsi="仿宋" w:eastAsia="仿宋"/>
                <w:kern w:val="0"/>
                <w:szCs w:val="21"/>
              </w:rPr>
              <w:t>分，扣完为止。</w:t>
            </w:r>
          </w:p>
        </w:tc>
        <w:tc>
          <w:tcPr>
            <w:tcW w:w="498" w:type="dxa"/>
            <w:vAlign w:val="center"/>
          </w:tcPr>
          <w:p>
            <w:pPr>
              <w:spacing w:line="280" w:lineRule="exact"/>
              <w:jc w:val="center"/>
              <w:rPr>
                <w:rFonts w:ascii="仿宋" w:hAnsi="仿宋" w:eastAsia="仿宋"/>
                <w:b/>
                <w:kern w:val="0"/>
                <w:szCs w:val="21"/>
              </w:rPr>
            </w:pPr>
            <w:r>
              <w:rPr>
                <w:rFonts w:ascii="仿宋" w:hAnsi="仿宋" w:eastAsia="仿宋"/>
                <w:b/>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预决算信息公开性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按规定内容公开预决算信息，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②</w:t>
            </w:r>
            <w:r>
              <w:rPr>
                <w:rFonts w:hint="eastAsia" w:ascii="仿宋" w:hAnsi="仿宋" w:eastAsia="仿宋"/>
                <w:kern w:val="0"/>
                <w:szCs w:val="21"/>
              </w:rPr>
              <w:t>按规定时限公开预决算信息，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③</w:t>
            </w:r>
            <w:r>
              <w:rPr>
                <w:rFonts w:hint="eastAsia" w:ascii="仿宋" w:hAnsi="仿宋" w:eastAsia="仿宋"/>
                <w:kern w:val="0"/>
                <w:szCs w:val="21"/>
              </w:rPr>
              <w:t>基础数据信息和会计信息资料真实，</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④</w:t>
            </w:r>
            <w:r>
              <w:rPr>
                <w:rFonts w:hint="eastAsia" w:ascii="仿宋" w:hAnsi="仿宋" w:eastAsia="仿宋"/>
                <w:kern w:val="0"/>
                <w:szCs w:val="21"/>
              </w:rPr>
              <w:t>基础数据信息和会计信息资料完整，</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⑤</w:t>
            </w:r>
            <w:r>
              <w:rPr>
                <w:rFonts w:hint="eastAsia" w:ascii="仿宋" w:hAnsi="仿宋" w:eastAsia="仿宋"/>
                <w:kern w:val="0"/>
                <w:szCs w:val="21"/>
              </w:rPr>
              <w:t>基础数据信息和汇集信息资料准确，</w:t>
            </w:r>
            <w:r>
              <w:rPr>
                <w:rFonts w:ascii="仿宋" w:hAnsi="仿宋" w:eastAsia="仿宋"/>
                <w:kern w:val="0"/>
                <w:szCs w:val="21"/>
              </w:rPr>
              <w:t>1</w:t>
            </w:r>
            <w:r>
              <w:rPr>
                <w:rFonts w:hint="eastAsia" w:ascii="仿宋" w:hAnsi="仿宋" w:eastAsia="仿宋"/>
                <w:kern w:val="0"/>
                <w:szCs w:val="21"/>
              </w:rPr>
              <w:t>分。</w:t>
            </w:r>
            <w:r>
              <w:rPr>
                <w:rFonts w:ascii="仿宋" w:hAnsi="仿宋" w:eastAsia="仿宋"/>
                <w:kern w:val="0"/>
                <w:szCs w:val="21"/>
              </w:rPr>
              <w:t xml:space="preserve">  </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产出及效率</w:t>
            </w:r>
          </w:p>
        </w:tc>
        <w:tc>
          <w:tcPr>
            <w:tcW w:w="400"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30</w:t>
            </w:r>
          </w:p>
        </w:tc>
        <w:tc>
          <w:tcPr>
            <w:tcW w:w="47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职责履行</w:t>
            </w:r>
          </w:p>
        </w:tc>
        <w:tc>
          <w:tcPr>
            <w:tcW w:w="396"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重点工作实际完成率</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5490" w:type="dxa"/>
            <w:gridSpan w:val="2"/>
            <w:vAlign w:val="center"/>
          </w:tcPr>
          <w:p>
            <w:pPr>
              <w:spacing w:line="280" w:lineRule="exact"/>
              <w:jc w:val="left"/>
              <w:rPr>
                <w:rFonts w:hint="eastAsia" w:ascii="仿宋" w:hAnsi="仿宋" w:eastAsia="仿宋"/>
                <w:kern w:val="0"/>
                <w:szCs w:val="21"/>
                <w:lang w:eastAsia="zh-CN"/>
              </w:rPr>
            </w:pPr>
            <w:r>
              <w:rPr>
                <w:rFonts w:hint="eastAsia" w:ascii="仿宋" w:hAnsi="仿宋" w:eastAsia="仿宋"/>
                <w:kern w:val="0"/>
                <w:szCs w:val="21"/>
              </w:rPr>
              <w:t>根据绩效办</w:t>
            </w:r>
            <w:r>
              <w:rPr>
                <w:rFonts w:ascii="仿宋" w:hAnsi="仿宋" w:eastAsia="仿宋"/>
                <w:kern w:val="0"/>
                <w:szCs w:val="21"/>
              </w:rPr>
              <w:t>201</w:t>
            </w:r>
            <w:r>
              <w:rPr>
                <w:rFonts w:hint="eastAsia" w:ascii="仿宋" w:hAnsi="仿宋" w:eastAsia="仿宋"/>
                <w:kern w:val="0"/>
                <w:szCs w:val="21"/>
              </w:rPr>
              <w:t>9年对各单位为民办实事和单位重点工程与重点工作考核分数折算。</w:t>
            </w:r>
          </w:p>
          <w:p>
            <w:pPr>
              <w:spacing w:line="280" w:lineRule="exact"/>
              <w:jc w:val="left"/>
              <w:rPr>
                <w:rFonts w:ascii="仿宋" w:hAnsi="仿宋" w:eastAsia="仿宋"/>
                <w:kern w:val="0"/>
                <w:szCs w:val="21"/>
              </w:rPr>
            </w:pPr>
            <w:r>
              <w:rPr>
                <w:rFonts w:hint="eastAsia" w:ascii="仿宋" w:hAnsi="仿宋" w:eastAsia="仿宋"/>
                <w:kern w:val="0"/>
                <w:szCs w:val="21"/>
              </w:rPr>
              <w:t>该项得分</w:t>
            </w:r>
            <w:r>
              <w:rPr>
                <w:rFonts w:ascii="仿宋" w:hAnsi="仿宋" w:eastAsia="仿宋"/>
                <w:kern w:val="0"/>
                <w:szCs w:val="21"/>
              </w:rPr>
              <w:t>=</w:t>
            </w:r>
            <w:r>
              <w:rPr>
                <w:rFonts w:hint="eastAsia" w:ascii="仿宋" w:hAnsi="仿宋" w:eastAsia="仿宋"/>
                <w:kern w:val="0"/>
                <w:szCs w:val="21"/>
              </w:rPr>
              <w:t>（绩效办对应部分考核得分</w:t>
            </w:r>
            <w:r>
              <w:rPr>
                <w:rFonts w:ascii="仿宋" w:hAnsi="仿宋" w:eastAsia="仿宋"/>
                <w:kern w:val="0"/>
                <w:szCs w:val="21"/>
              </w:rPr>
              <w:t>/</w:t>
            </w:r>
            <w:r>
              <w:rPr>
                <w:rFonts w:hint="eastAsia" w:ascii="仿宋" w:hAnsi="仿宋" w:eastAsia="仿宋"/>
                <w:kern w:val="0"/>
                <w:szCs w:val="21"/>
              </w:rPr>
              <w:t>100）</w:t>
            </w:r>
            <w:r>
              <w:rPr>
                <w:rFonts w:ascii="仿宋" w:hAnsi="仿宋" w:eastAsia="仿宋"/>
                <w:kern w:val="0"/>
                <w:szCs w:val="21"/>
              </w:rPr>
              <w:t>*8</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履职</w:t>
            </w:r>
            <w:r>
              <w:rPr>
                <w:rFonts w:ascii="仿宋" w:hAnsi="仿宋" w:eastAsia="仿宋"/>
                <w:kern w:val="0"/>
                <w:szCs w:val="21"/>
              </w:rPr>
              <w:t xml:space="preserve"> </w:t>
            </w:r>
            <w:r>
              <w:rPr>
                <w:rFonts w:hint="eastAsia" w:ascii="仿宋" w:hAnsi="仿宋" w:eastAsia="仿宋"/>
                <w:kern w:val="0"/>
                <w:szCs w:val="21"/>
              </w:rPr>
              <w:t>效益</w:t>
            </w: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经济</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5490" w:type="dxa"/>
            <w:gridSpan w:val="2"/>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continue"/>
            <w:vAlign w:val="center"/>
          </w:tcPr>
          <w:p>
            <w:pPr>
              <w:spacing w:line="280" w:lineRule="exact"/>
              <w:jc w:val="left"/>
              <w:rPr>
                <w:rFonts w:ascii="仿宋" w:hAnsi="仿宋" w:eastAsia="仿宋"/>
                <w:kern w:val="0"/>
                <w:szCs w:val="21"/>
              </w:rPr>
            </w:pPr>
          </w:p>
        </w:tc>
        <w:tc>
          <w:tcPr>
            <w:tcW w:w="5490" w:type="dxa"/>
            <w:gridSpan w:val="2"/>
            <w:vMerge w:val="continue"/>
            <w:vAlign w:val="center"/>
          </w:tcPr>
          <w:p>
            <w:pPr>
              <w:spacing w:line="280" w:lineRule="exact"/>
              <w:jc w:val="left"/>
              <w:rPr>
                <w:rFonts w:ascii="仿宋" w:hAnsi="仿宋" w:eastAsia="仿宋"/>
                <w:kern w:val="0"/>
                <w:szCs w:val="21"/>
              </w:rPr>
            </w:pPr>
          </w:p>
        </w:tc>
        <w:tc>
          <w:tcPr>
            <w:tcW w:w="498" w:type="dxa"/>
            <w:vMerge w:val="continue"/>
            <w:vAlign w:val="center"/>
          </w:tcPr>
          <w:p>
            <w:pPr>
              <w:spacing w:line="280" w:lineRule="exact"/>
              <w:jc w:val="center"/>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12</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行政</w:t>
            </w:r>
          </w:p>
          <w:p>
            <w:pPr>
              <w:spacing w:line="280" w:lineRule="exact"/>
              <w:jc w:val="center"/>
              <w:rPr>
                <w:rFonts w:ascii="仿宋" w:hAnsi="仿宋" w:eastAsia="仿宋"/>
                <w:kern w:val="0"/>
                <w:szCs w:val="21"/>
              </w:rPr>
            </w:pPr>
            <w:r>
              <w:rPr>
                <w:rFonts w:hint="eastAsia" w:ascii="仿宋" w:hAnsi="仿宋" w:eastAsia="仿宋"/>
                <w:kern w:val="0"/>
                <w:szCs w:val="21"/>
              </w:rPr>
              <w:t>效能</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促进部门改进文风会风，加强经费及资产管理，推动网上办事，提高行政效率，降低行政成本效果较好的计</w:t>
            </w:r>
            <w:r>
              <w:rPr>
                <w:rFonts w:ascii="仿宋" w:hAnsi="仿宋" w:eastAsia="仿宋"/>
                <w:kern w:val="0"/>
                <w:szCs w:val="21"/>
              </w:rPr>
              <w:t>6</w:t>
            </w:r>
            <w:r>
              <w:rPr>
                <w:rFonts w:hint="eastAsia" w:ascii="仿宋" w:hAnsi="仿宋" w:eastAsia="仿宋"/>
                <w:kern w:val="0"/>
                <w:szCs w:val="21"/>
              </w:rPr>
              <w:t>分；一般</w:t>
            </w:r>
            <w:r>
              <w:rPr>
                <w:rFonts w:ascii="仿宋" w:hAnsi="仿宋" w:eastAsia="仿宋"/>
                <w:kern w:val="0"/>
                <w:szCs w:val="21"/>
              </w:rPr>
              <w:t>3</w:t>
            </w:r>
            <w:r>
              <w:rPr>
                <w:rFonts w:hint="eastAsia" w:ascii="仿宋" w:hAnsi="仿宋" w:eastAsia="仿宋"/>
                <w:kern w:val="0"/>
                <w:szCs w:val="21"/>
              </w:rPr>
              <w:t>分；无效果或者效果不明显</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根据部门自评材料评定。</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社会公众或服务对象满意度</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hint="eastAsia" w:ascii="仿宋" w:hAnsi="仿宋" w:eastAsia="仿宋"/>
                <w:kern w:val="0"/>
                <w:szCs w:val="21"/>
                <w:lang w:eastAsia="zh-CN"/>
              </w:rPr>
            </w:pPr>
            <w:r>
              <w:rPr>
                <w:rFonts w:ascii="仿宋" w:hAnsi="仿宋" w:eastAsia="仿宋"/>
                <w:kern w:val="0"/>
                <w:szCs w:val="21"/>
              </w:rPr>
              <w:t>90%</w:t>
            </w:r>
            <w:r>
              <w:rPr>
                <w:rFonts w:hint="eastAsia" w:ascii="仿宋" w:hAnsi="仿宋" w:eastAsia="仿宋"/>
                <w:kern w:val="0"/>
                <w:szCs w:val="21"/>
              </w:rPr>
              <w:t>（含）以上计</w:t>
            </w:r>
            <w:r>
              <w:rPr>
                <w:rFonts w:ascii="仿宋" w:hAnsi="仿宋" w:eastAsia="仿宋"/>
                <w:kern w:val="0"/>
                <w:szCs w:val="21"/>
              </w:rPr>
              <w:t>6</w:t>
            </w:r>
            <w:r>
              <w:rPr>
                <w:rFonts w:hint="eastAsia" w:ascii="仿宋" w:hAnsi="仿宋" w:eastAsia="仿宋"/>
                <w:kern w:val="0"/>
                <w:szCs w:val="21"/>
              </w:rPr>
              <w:t>分；</w:t>
            </w:r>
          </w:p>
          <w:p>
            <w:pPr>
              <w:spacing w:line="280" w:lineRule="exact"/>
              <w:jc w:val="left"/>
              <w:rPr>
                <w:rFonts w:ascii="仿宋" w:hAnsi="仿宋" w:eastAsia="仿宋"/>
                <w:kern w:val="0"/>
                <w:szCs w:val="21"/>
              </w:rPr>
            </w:pPr>
            <w:r>
              <w:rPr>
                <w:rFonts w:ascii="仿宋" w:hAnsi="仿宋" w:eastAsia="仿宋"/>
                <w:kern w:val="0"/>
                <w:szCs w:val="21"/>
              </w:rPr>
              <w:t>80%</w:t>
            </w:r>
            <w:r>
              <w:rPr>
                <w:rFonts w:hint="eastAsia" w:ascii="仿宋" w:hAnsi="仿宋" w:eastAsia="仿宋"/>
                <w:kern w:val="0"/>
                <w:szCs w:val="21"/>
              </w:rPr>
              <w:t>（含）</w:t>
            </w:r>
            <w:r>
              <w:rPr>
                <w:rFonts w:ascii="仿宋" w:hAnsi="仿宋" w:eastAsia="仿宋"/>
                <w:kern w:val="0"/>
                <w:szCs w:val="21"/>
              </w:rPr>
              <w:t>-90%</w:t>
            </w:r>
            <w:r>
              <w:rPr>
                <w:rFonts w:hint="eastAsia" w:ascii="仿宋" w:hAnsi="仿宋" w:eastAsia="仿宋"/>
                <w:kern w:val="0"/>
                <w:szCs w:val="21"/>
              </w:rPr>
              <w:t>，计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 xml:space="preserve"> 70%</w:t>
            </w:r>
            <w:r>
              <w:rPr>
                <w:rFonts w:hint="eastAsia" w:ascii="仿宋" w:hAnsi="仿宋" w:eastAsia="仿宋"/>
                <w:kern w:val="0"/>
                <w:szCs w:val="21"/>
              </w:rPr>
              <w:t>（含）</w:t>
            </w:r>
            <w:r>
              <w:rPr>
                <w:rFonts w:ascii="仿宋" w:hAnsi="仿宋" w:eastAsia="仿宋"/>
                <w:kern w:val="0"/>
                <w:szCs w:val="21"/>
              </w:rPr>
              <w:t>-80%</w:t>
            </w:r>
            <w:r>
              <w:rPr>
                <w:rFonts w:hint="eastAsia" w:ascii="仿宋" w:hAnsi="仿宋" w:eastAsia="仿宋"/>
                <w:kern w:val="0"/>
                <w:szCs w:val="21"/>
              </w:rPr>
              <w:t>，计</w:t>
            </w:r>
            <w:r>
              <w:rPr>
                <w:rFonts w:ascii="仿宋" w:hAnsi="仿宋" w:eastAsia="仿宋"/>
                <w:kern w:val="0"/>
                <w:szCs w:val="21"/>
              </w:rPr>
              <w:t>2</w:t>
            </w:r>
            <w:r>
              <w:rPr>
                <w:rFonts w:hint="eastAsia" w:ascii="仿宋" w:hAnsi="仿宋" w:eastAsia="仿宋"/>
                <w:kern w:val="0"/>
                <w:szCs w:val="21"/>
              </w:rPr>
              <w:t>分；低于</w:t>
            </w:r>
            <w:r>
              <w:rPr>
                <w:rFonts w:ascii="仿宋" w:hAnsi="仿宋" w:eastAsia="仿宋"/>
                <w:kern w:val="0"/>
                <w:szCs w:val="21"/>
              </w:rPr>
              <w:t>70%</w:t>
            </w:r>
            <w:r>
              <w:rPr>
                <w:rFonts w:hint="eastAsia" w:ascii="仿宋" w:hAnsi="仿宋" w:eastAsia="仿宋"/>
                <w:kern w:val="0"/>
                <w:szCs w:val="21"/>
              </w:rPr>
              <w:t>计</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社会公众或服务对象是指部门（单位）履行职责而影响到的部门、群体或个人，一般采取社会调查的方式。</w:t>
            </w:r>
          </w:p>
        </w:tc>
        <w:tc>
          <w:tcPr>
            <w:tcW w:w="49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1" w:hRule="atLeast"/>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rPr>
            </w:pPr>
          </w:p>
        </w:tc>
        <w:tc>
          <w:tcPr>
            <w:tcW w:w="396"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rPr>
            </w:pPr>
          </w:p>
        </w:tc>
        <w:tc>
          <w:tcPr>
            <w:tcW w:w="284" w:type="dxa"/>
            <w:tcBorders>
              <w:bottom w:val="single" w:color="auto" w:sz="12" w:space="0"/>
            </w:tcBorders>
            <w:vAlign w:val="center"/>
          </w:tcPr>
          <w:p>
            <w:pPr>
              <w:spacing w:line="280" w:lineRule="exact"/>
              <w:jc w:val="center"/>
              <w:rPr>
                <w:rFonts w:ascii="仿宋" w:hAnsi="仿宋" w:eastAsia="仿宋"/>
                <w:kern w:val="0"/>
                <w:szCs w:val="21"/>
              </w:rPr>
            </w:pPr>
          </w:p>
        </w:tc>
        <w:tc>
          <w:tcPr>
            <w:tcW w:w="2126" w:type="dxa"/>
            <w:tcBorders>
              <w:bottom w:val="single" w:color="auto" w:sz="12" w:space="0"/>
            </w:tcBorders>
            <w:vAlign w:val="center"/>
          </w:tcPr>
          <w:p>
            <w:pPr>
              <w:spacing w:line="280" w:lineRule="exact"/>
              <w:jc w:val="center"/>
              <w:rPr>
                <w:rFonts w:ascii="仿宋" w:hAnsi="仿宋" w:eastAsia="仿宋"/>
                <w:kern w:val="0"/>
                <w:szCs w:val="21"/>
              </w:rPr>
            </w:pPr>
          </w:p>
        </w:tc>
        <w:tc>
          <w:tcPr>
            <w:tcW w:w="3364" w:type="dxa"/>
            <w:tcBorders>
              <w:bottom w:val="single" w:color="auto" w:sz="12" w:space="0"/>
            </w:tcBorders>
            <w:vAlign w:val="center"/>
          </w:tcPr>
          <w:p>
            <w:pPr>
              <w:spacing w:line="280" w:lineRule="exact"/>
              <w:jc w:val="center"/>
              <w:rPr>
                <w:rFonts w:ascii="仿宋" w:hAnsi="仿宋" w:eastAsia="仿宋"/>
                <w:kern w:val="0"/>
                <w:szCs w:val="21"/>
              </w:rPr>
            </w:pPr>
          </w:p>
        </w:tc>
        <w:tc>
          <w:tcPr>
            <w:tcW w:w="498"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95</w:t>
            </w:r>
          </w:p>
        </w:tc>
      </w:tr>
    </w:tbl>
    <w:p>
      <w:pPr>
        <w:spacing w:line="500" w:lineRule="exact"/>
      </w:pPr>
    </w:p>
    <w:p>
      <w:pPr>
        <w:ind w:firstLine="640" w:firstLineChars="200"/>
        <w:jc w:val="left"/>
        <w:rPr>
          <w:rFonts w:cs="黑体" w:asciiTheme="minorEastAsia" w:hAnsiTheme="minorEastAsia"/>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MzBhNTIzZGI1N2FhNTg4MjBiYTlkZmVmMzc1ZTkifQ=="/>
  </w:docVars>
  <w:rsids>
    <w:rsidRoot w:val="004506F9"/>
    <w:rsid w:val="00000ACC"/>
    <w:rsid w:val="00002B43"/>
    <w:rsid w:val="00004AA7"/>
    <w:rsid w:val="00007819"/>
    <w:rsid w:val="00015830"/>
    <w:rsid w:val="00017B91"/>
    <w:rsid w:val="00020D9A"/>
    <w:rsid w:val="0002105F"/>
    <w:rsid w:val="00021D4B"/>
    <w:rsid w:val="0002229B"/>
    <w:rsid w:val="000257A6"/>
    <w:rsid w:val="000257FE"/>
    <w:rsid w:val="000273BD"/>
    <w:rsid w:val="0003266F"/>
    <w:rsid w:val="000358A8"/>
    <w:rsid w:val="00036744"/>
    <w:rsid w:val="000415B7"/>
    <w:rsid w:val="00041730"/>
    <w:rsid w:val="0004233C"/>
    <w:rsid w:val="000448D6"/>
    <w:rsid w:val="000448FE"/>
    <w:rsid w:val="0005593A"/>
    <w:rsid w:val="00055E09"/>
    <w:rsid w:val="00056179"/>
    <w:rsid w:val="00062D77"/>
    <w:rsid w:val="000658A3"/>
    <w:rsid w:val="00074155"/>
    <w:rsid w:val="00075CCB"/>
    <w:rsid w:val="000773FF"/>
    <w:rsid w:val="0008075D"/>
    <w:rsid w:val="00081EB5"/>
    <w:rsid w:val="00082827"/>
    <w:rsid w:val="00082CBD"/>
    <w:rsid w:val="00091E28"/>
    <w:rsid w:val="0009599B"/>
    <w:rsid w:val="000A28F3"/>
    <w:rsid w:val="000A3D72"/>
    <w:rsid w:val="000A3F69"/>
    <w:rsid w:val="000A4DF6"/>
    <w:rsid w:val="000A73B3"/>
    <w:rsid w:val="000B50C7"/>
    <w:rsid w:val="000B51F6"/>
    <w:rsid w:val="000B5AA0"/>
    <w:rsid w:val="000C51AA"/>
    <w:rsid w:val="000D1037"/>
    <w:rsid w:val="000D7A6A"/>
    <w:rsid w:val="000E0024"/>
    <w:rsid w:val="000E4EFD"/>
    <w:rsid w:val="000E79AB"/>
    <w:rsid w:val="000F064F"/>
    <w:rsid w:val="000F0DB8"/>
    <w:rsid w:val="000F183A"/>
    <w:rsid w:val="000F3A1F"/>
    <w:rsid w:val="000F4EF1"/>
    <w:rsid w:val="000F58FA"/>
    <w:rsid w:val="000F71F0"/>
    <w:rsid w:val="00104F4C"/>
    <w:rsid w:val="001124F3"/>
    <w:rsid w:val="00113AD6"/>
    <w:rsid w:val="001141A5"/>
    <w:rsid w:val="00115913"/>
    <w:rsid w:val="0011753F"/>
    <w:rsid w:val="00120D21"/>
    <w:rsid w:val="001267C0"/>
    <w:rsid w:val="00143A00"/>
    <w:rsid w:val="00143C8E"/>
    <w:rsid w:val="0014733B"/>
    <w:rsid w:val="001515EC"/>
    <w:rsid w:val="00152C6D"/>
    <w:rsid w:val="00153FE9"/>
    <w:rsid w:val="001542B0"/>
    <w:rsid w:val="00154EA8"/>
    <w:rsid w:val="00154ED5"/>
    <w:rsid w:val="00156D40"/>
    <w:rsid w:val="001612C4"/>
    <w:rsid w:val="00162D39"/>
    <w:rsid w:val="00165DC0"/>
    <w:rsid w:val="00167912"/>
    <w:rsid w:val="00175023"/>
    <w:rsid w:val="001764E2"/>
    <w:rsid w:val="001800E5"/>
    <w:rsid w:val="0018050E"/>
    <w:rsid w:val="00181F81"/>
    <w:rsid w:val="00182039"/>
    <w:rsid w:val="001853C7"/>
    <w:rsid w:val="00186EB4"/>
    <w:rsid w:val="00191790"/>
    <w:rsid w:val="00191DF4"/>
    <w:rsid w:val="00193183"/>
    <w:rsid w:val="001934B4"/>
    <w:rsid w:val="00193752"/>
    <w:rsid w:val="001A0D0E"/>
    <w:rsid w:val="001A3D8A"/>
    <w:rsid w:val="001A5207"/>
    <w:rsid w:val="001A5ACF"/>
    <w:rsid w:val="001A65EC"/>
    <w:rsid w:val="001A67DB"/>
    <w:rsid w:val="001B30FD"/>
    <w:rsid w:val="001B39F2"/>
    <w:rsid w:val="001B69B4"/>
    <w:rsid w:val="001B74FD"/>
    <w:rsid w:val="001C1406"/>
    <w:rsid w:val="001C3402"/>
    <w:rsid w:val="001D0A6F"/>
    <w:rsid w:val="001D30B5"/>
    <w:rsid w:val="001D51E5"/>
    <w:rsid w:val="001D520B"/>
    <w:rsid w:val="001D6CC4"/>
    <w:rsid w:val="001D76B5"/>
    <w:rsid w:val="001E0C5D"/>
    <w:rsid w:val="001E2045"/>
    <w:rsid w:val="001E436E"/>
    <w:rsid w:val="001E4698"/>
    <w:rsid w:val="001E55B9"/>
    <w:rsid w:val="001E63AF"/>
    <w:rsid w:val="001E6B45"/>
    <w:rsid w:val="001E760D"/>
    <w:rsid w:val="001E7C3B"/>
    <w:rsid w:val="001F0C3B"/>
    <w:rsid w:val="001F1E1A"/>
    <w:rsid w:val="001F41D3"/>
    <w:rsid w:val="001F4D81"/>
    <w:rsid w:val="001F547E"/>
    <w:rsid w:val="00204B90"/>
    <w:rsid w:val="00205B62"/>
    <w:rsid w:val="002067FF"/>
    <w:rsid w:val="0020699C"/>
    <w:rsid w:val="00207779"/>
    <w:rsid w:val="0021151C"/>
    <w:rsid w:val="002117CD"/>
    <w:rsid w:val="0021321F"/>
    <w:rsid w:val="00214427"/>
    <w:rsid w:val="00215373"/>
    <w:rsid w:val="00215F80"/>
    <w:rsid w:val="0021645E"/>
    <w:rsid w:val="00216C53"/>
    <w:rsid w:val="00217791"/>
    <w:rsid w:val="00223F1B"/>
    <w:rsid w:val="00224065"/>
    <w:rsid w:val="00224810"/>
    <w:rsid w:val="00234B72"/>
    <w:rsid w:val="00236BD8"/>
    <w:rsid w:val="002375C6"/>
    <w:rsid w:val="00240411"/>
    <w:rsid w:val="0025115F"/>
    <w:rsid w:val="00260F84"/>
    <w:rsid w:val="0026254B"/>
    <w:rsid w:val="00262A00"/>
    <w:rsid w:val="0026456A"/>
    <w:rsid w:val="00264BE5"/>
    <w:rsid w:val="00265724"/>
    <w:rsid w:val="0026675C"/>
    <w:rsid w:val="002707AA"/>
    <w:rsid w:val="002711D7"/>
    <w:rsid w:val="00273869"/>
    <w:rsid w:val="0027426B"/>
    <w:rsid w:val="002755A0"/>
    <w:rsid w:val="00275ED8"/>
    <w:rsid w:val="00284A60"/>
    <w:rsid w:val="00290181"/>
    <w:rsid w:val="002902B6"/>
    <w:rsid w:val="00292AE6"/>
    <w:rsid w:val="002955CA"/>
    <w:rsid w:val="00295FF2"/>
    <w:rsid w:val="00296DF9"/>
    <w:rsid w:val="002B1515"/>
    <w:rsid w:val="002B36A5"/>
    <w:rsid w:val="002C63BB"/>
    <w:rsid w:val="002C7C45"/>
    <w:rsid w:val="002D2060"/>
    <w:rsid w:val="002D3AF4"/>
    <w:rsid w:val="002D3B21"/>
    <w:rsid w:val="002D786C"/>
    <w:rsid w:val="002F208E"/>
    <w:rsid w:val="002F28A0"/>
    <w:rsid w:val="002F37A0"/>
    <w:rsid w:val="00300D0F"/>
    <w:rsid w:val="0030137D"/>
    <w:rsid w:val="0031198C"/>
    <w:rsid w:val="00312B2B"/>
    <w:rsid w:val="0031484A"/>
    <w:rsid w:val="00315219"/>
    <w:rsid w:val="00315F1F"/>
    <w:rsid w:val="00320076"/>
    <w:rsid w:val="0032019F"/>
    <w:rsid w:val="0032660B"/>
    <w:rsid w:val="00332525"/>
    <w:rsid w:val="00332CEB"/>
    <w:rsid w:val="003414F4"/>
    <w:rsid w:val="003479BD"/>
    <w:rsid w:val="003505FB"/>
    <w:rsid w:val="003538F2"/>
    <w:rsid w:val="00355192"/>
    <w:rsid w:val="00357058"/>
    <w:rsid w:val="00357593"/>
    <w:rsid w:val="003602A1"/>
    <w:rsid w:val="003604AA"/>
    <w:rsid w:val="00361258"/>
    <w:rsid w:val="00370AA7"/>
    <w:rsid w:val="00371007"/>
    <w:rsid w:val="0037259E"/>
    <w:rsid w:val="003768D5"/>
    <w:rsid w:val="00380548"/>
    <w:rsid w:val="00385AD1"/>
    <w:rsid w:val="0038644C"/>
    <w:rsid w:val="00387124"/>
    <w:rsid w:val="003909DC"/>
    <w:rsid w:val="00392815"/>
    <w:rsid w:val="003A3E53"/>
    <w:rsid w:val="003B15FD"/>
    <w:rsid w:val="003B28DB"/>
    <w:rsid w:val="003B378A"/>
    <w:rsid w:val="003B50A7"/>
    <w:rsid w:val="003B76AE"/>
    <w:rsid w:val="003C03E0"/>
    <w:rsid w:val="003C1696"/>
    <w:rsid w:val="003C3CEA"/>
    <w:rsid w:val="003C5B2C"/>
    <w:rsid w:val="003D5B55"/>
    <w:rsid w:val="003D6636"/>
    <w:rsid w:val="003E232F"/>
    <w:rsid w:val="003E54F8"/>
    <w:rsid w:val="003E5955"/>
    <w:rsid w:val="003E5EFC"/>
    <w:rsid w:val="003E6FED"/>
    <w:rsid w:val="003F749E"/>
    <w:rsid w:val="00402899"/>
    <w:rsid w:val="0040314A"/>
    <w:rsid w:val="0041216A"/>
    <w:rsid w:val="00414B87"/>
    <w:rsid w:val="00415866"/>
    <w:rsid w:val="00420725"/>
    <w:rsid w:val="00422CBC"/>
    <w:rsid w:val="004250DE"/>
    <w:rsid w:val="00432370"/>
    <w:rsid w:val="00433403"/>
    <w:rsid w:val="00436C54"/>
    <w:rsid w:val="004405E1"/>
    <w:rsid w:val="00444A8C"/>
    <w:rsid w:val="00444DA6"/>
    <w:rsid w:val="00447338"/>
    <w:rsid w:val="004506F9"/>
    <w:rsid w:val="00451E6E"/>
    <w:rsid w:val="00453EEF"/>
    <w:rsid w:val="00460942"/>
    <w:rsid w:val="0046102B"/>
    <w:rsid w:val="004717A2"/>
    <w:rsid w:val="00477CE8"/>
    <w:rsid w:val="004843DA"/>
    <w:rsid w:val="00487E4E"/>
    <w:rsid w:val="00491741"/>
    <w:rsid w:val="004A0EB9"/>
    <w:rsid w:val="004A3962"/>
    <w:rsid w:val="004A5C28"/>
    <w:rsid w:val="004B4303"/>
    <w:rsid w:val="004B4FCD"/>
    <w:rsid w:val="004C03F8"/>
    <w:rsid w:val="004C186B"/>
    <w:rsid w:val="004C28AA"/>
    <w:rsid w:val="004C2D49"/>
    <w:rsid w:val="004C3CAF"/>
    <w:rsid w:val="004C73D4"/>
    <w:rsid w:val="004D60E2"/>
    <w:rsid w:val="004D6CBA"/>
    <w:rsid w:val="004D6DD9"/>
    <w:rsid w:val="004D7D85"/>
    <w:rsid w:val="004E2242"/>
    <w:rsid w:val="004E2A48"/>
    <w:rsid w:val="004E2D4C"/>
    <w:rsid w:val="004E6429"/>
    <w:rsid w:val="004F2123"/>
    <w:rsid w:val="004F4FAB"/>
    <w:rsid w:val="004F564E"/>
    <w:rsid w:val="004F583B"/>
    <w:rsid w:val="00500E5F"/>
    <w:rsid w:val="005010B3"/>
    <w:rsid w:val="00502AD2"/>
    <w:rsid w:val="00505D3C"/>
    <w:rsid w:val="00507610"/>
    <w:rsid w:val="0051140D"/>
    <w:rsid w:val="005122EF"/>
    <w:rsid w:val="005123A9"/>
    <w:rsid w:val="00517C33"/>
    <w:rsid w:val="00523644"/>
    <w:rsid w:val="00527CAF"/>
    <w:rsid w:val="005318A9"/>
    <w:rsid w:val="00533ADC"/>
    <w:rsid w:val="0054069E"/>
    <w:rsid w:val="005410C9"/>
    <w:rsid w:val="00541F06"/>
    <w:rsid w:val="0054281B"/>
    <w:rsid w:val="00542C62"/>
    <w:rsid w:val="00543457"/>
    <w:rsid w:val="00546EE0"/>
    <w:rsid w:val="00547D89"/>
    <w:rsid w:val="00550524"/>
    <w:rsid w:val="00552927"/>
    <w:rsid w:val="00556E91"/>
    <w:rsid w:val="005610CE"/>
    <w:rsid w:val="00561EDA"/>
    <w:rsid w:val="00565EE1"/>
    <w:rsid w:val="00571443"/>
    <w:rsid w:val="005767CC"/>
    <w:rsid w:val="0058251C"/>
    <w:rsid w:val="00585736"/>
    <w:rsid w:val="005859AC"/>
    <w:rsid w:val="00585D0B"/>
    <w:rsid w:val="005862B9"/>
    <w:rsid w:val="0058780E"/>
    <w:rsid w:val="00590D9F"/>
    <w:rsid w:val="00590E98"/>
    <w:rsid w:val="00591E0F"/>
    <w:rsid w:val="0059344E"/>
    <w:rsid w:val="00595D26"/>
    <w:rsid w:val="005A1569"/>
    <w:rsid w:val="005A1E24"/>
    <w:rsid w:val="005A3219"/>
    <w:rsid w:val="005A478F"/>
    <w:rsid w:val="005A5091"/>
    <w:rsid w:val="005A677A"/>
    <w:rsid w:val="005A74E6"/>
    <w:rsid w:val="005B234C"/>
    <w:rsid w:val="005C04E2"/>
    <w:rsid w:val="005C0B8D"/>
    <w:rsid w:val="005C0F1F"/>
    <w:rsid w:val="005C51C5"/>
    <w:rsid w:val="005C52AF"/>
    <w:rsid w:val="005D0787"/>
    <w:rsid w:val="005D4D55"/>
    <w:rsid w:val="005D6BF5"/>
    <w:rsid w:val="005D78FD"/>
    <w:rsid w:val="005D7EF6"/>
    <w:rsid w:val="005E00F4"/>
    <w:rsid w:val="005E060A"/>
    <w:rsid w:val="005E2CFB"/>
    <w:rsid w:val="005F0837"/>
    <w:rsid w:val="005F19D6"/>
    <w:rsid w:val="005F1A83"/>
    <w:rsid w:val="005F2C4E"/>
    <w:rsid w:val="006007F6"/>
    <w:rsid w:val="0060194B"/>
    <w:rsid w:val="006058E6"/>
    <w:rsid w:val="00606072"/>
    <w:rsid w:val="006117C5"/>
    <w:rsid w:val="00613E48"/>
    <w:rsid w:val="006156C2"/>
    <w:rsid w:val="006213F0"/>
    <w:rsid w:val="006214C8"/>
    <w:rsid w:val="00621DCD"/>
    <w:rsid w:val="00623561"/>
    <w:rsid w:val="0062378F"/>
    <w:rsid w:val="00624CB8"/>
    <w:rsid w:val="00630090"/>
    <w:rsid w:val="0063367C"/>
    <w:rsid w:val="00634D16"/>
    <w:rsid w:val="006365F9"/>
    <w:rsid w:val="00640432"/>
    <w:rsid w:val="006409B6"/>
    <w:rsid w:val="00642864"/>
    <w:rsid w:val="00646162"/>
    <w:rsid w:val="00651409"/>
    <w:rsid w:val="00651EEC"/>
    <w:rsid w:val="006537F8"/>
    <w:rsid w:val="00654B09"/>
    <w:rsid w:val="00654CB7"/>
    <w:rsid w:val="0065535A"/>
    <w:rsid w:val="00656975"/>
    <w:rsid w:val="006606B9"/>
    <w:rsid w:val="00664F1B"/>
    <w:rsid w:val="0067172D"/>
    <w:rsid w:val="00676A91"/>
    <w:rsid w:val="006800C2"/>
    <w:rsid w:val="006820C5"/>
    <w:rsid w:val="0068531E"/>
    <w:rsid w:val="00692B1E"/>
    <w:rsid w:val="006A1E5F"/>
    <w:rsid w:val="006A3143"/>
    <w:rsid w:val="006A318D"/>
    <w:rsid w:val="006A351B"/>
    <w:rsid w:val="006A4CCD"/>
    <w:rsid w:val="006A59B5"/>
    <w:rsid w:val="006A61FB"/>
    <w:rsid w:val="006A750A"/>
    <w:rsid w:val="006B0422"/>
    <w:rsid w:val="006B0564"/>
    <w:rsid w:val="006B25EE"/>
    <w:rsid w:val="006B3045"/>
    <w:rsid w:val="006B4680"/>
    <w:rsid w:val="006B5A13"/>
    <w:rsid w:val="006C1B53"/>
    <w:rsid w:val="006C4D76"/>
    <w:rsid w:val="006C671F"/>
    <w:rsid w:val="006D0682"/>
    <w:rsid w:val="006D2721"/>
    <w:rsid w:val="006D41EE"/>
    <w:rsid w:val="006D7730"/>
    <w:rsid w:val="006E0E1F"/>
    <w:rsid w:val="006E4451"/>
    <w:rsid w:val="006E5284"/>
    <w:rsid w:val="006E6957"/>
    <w:rsid w:val="006F1CE1"/>
    <w:rsid w:val="006F3EB5"/>
    <w:rsid w:val="006F7797"/>
    <w:rsid w:val="006F7AD2"/>
    <w:rsid w:val="00700DA6"/>
    <w:rsid w:val="00702E34"/>
    <w:rsid w:val="00704395"/>
    <w:rsid w:val="00705FF6"/>
    <w:rsid w:val="007118E3"/>
    <w:rsid w:val="00714867"/>
    <w:rsid w:val="00716F82"/>
    <w:rsid w:val="00717A65"/>
    <w:rsid w:val="0072000F"/>
    <w:rsid w:val="00720FF1"/>
    <w:rsid w:val="00727DEB"/>
    <w:rsid w:val="00730568"/>
    <w:rsid w:val="00731A72"/>
    <w:rsid w:val="00731DBD"/>
    <w:rsid w:val="00732652"/>
    <w:rsid w:val="00732F48"/>
    <w:rsid w:val="007342CF"/>
    <w:rsid w:val="0073448B"/>
    <w:rsid w:val="0073780D"/>
    <w:rsid w:val="007409AF"/>
    <w:rsid w:val="00740B74"/>
    <w:rsid w:val="00743B76"/>
    <w:rsid w:val="00746658"/>
    <w:rsid w:val="007601AF"/>
    <w:rsid w:val="00764D6B"/>
    <w:rsid w:val="00765D52"/>
    <w:rsid w:val="00767C25"/>
    <w:rsid w:val="007737B3"/>
    <w:rsid w:val="00773FD4"/>
    <w:rsid w:val="00783FD6"/>
    <w:rsid w:val="00784503"/>
    <w:rsid w:val="00787CB7"/>
    <w:rsid w:val="0079238D"/>
    <w:rsid w:val="00795512"/>
    <w:rsid w:val="00795C9D"/>
    <w:rsid w:val="007A03DF"/>
    <w:rsid w:val="007A3200"/>
    <w:rsid w:val="007A594F"/>
    <w:rsid w:val="007A69DB"/>
    <w:rsid w:val="007A6C40"/>
    <w:rsid w:val="007B3402"/>
    <w:rsid w:val="007C04CA"/>
    <w:rsid w:val="007C425B"/>
    <w:rsid w:val="007D07A0"/>
    <w:rsid w:val="007D21AA"/>
    <w:rsid w:val="007D529A"/>
    <w:rsid w:val="007D59D1"/>
    <w:rsid w:val="007E288F"/>
    <w:rsid w:val="007E3E59"/>
    <w:rsid w:val="007E3FEB"/>
    <w:rsid w:val="007E4C2E"/>
    <w:rsid w:val="007E77DE"/>
    <w:rsid w:val="007E7B74"/>
    <w:rsid w:val="007F7DB6"/>
    <w:rsid w:val="0080093C"/>
    <w:rsid w:val="00800E52"/>
    <w:rsid w:val="008015DA"/>
    <w:rsid w:val="00803DFC"/>
    <w:rsid w:val="00803EE8"/>
    <w:rsid w:val="008050A6"/>
    <w:rsid w:val="00810265"/>
    <w:rsid w:val="00812ED5"/>
    <w:rsid w:val="00813ACE"/>
    <w:rsid w:val="00822093"/>
    <w:rsid w:val="0082292E"/>
    <w:rsid w:val="008253A3"/>
    <w:rsid w:val="00826A6C"/>
    <w:rsid w:val="008277D9"/>
    <w:rsid w:val="00827AF0"/>
    <w:rsid w:val="00827FB9"/>
    <w:rsid w:val="00837A31"/>
    <w:rsid w:val="00840754"/>
    <w:rsid w:val="00840818"/>
    <w:rsid w:val="00842A1B"/>
    <w:rsid w:val="00845A95"/>
    <w:rsid w:val="00854B31"/>
    <w:rsid w:val="00865F77"/>
    <w:rsid w:val="00874A8E"/>
    <w:rsid w:val="00874E96"/>
    <w:rsid w:val="00877238"/>
    <w:rsid w:val="00880B5A"/>
    <w:rsid w:val="00885BD5"/>
    <w:rsid w:val="008865B7"/>
    <w:rsid w:val="00893AB3"/>
    <w:rsid w:val="00893BC6"/>
    <w:rsid w:val="008A3E8D"/>
    <w:rsid w:val="008A4B51"/>
    <w:rsid w:val="008B0D4B"/>
    <w:rsid w:val="008C1CE1"/>
    <w:rsid w:val="008C3A6E"/>
    <w:rsid w:val="008D0475"/>
    <w:rsid w:val="008D0FA2"/>
    <w:rsid w:val="008D1971"/>
    <w:rsid w:val="008D2472"/>
    <w:rsid w:val="008D2674"/>
    <w:rsid w:val="008D718F"/>
    <w:rsid w:val="008E2B12"/>
    <w:rsid w:val="008E2B9F"/>
    <w:rsid w:val="008E2C48"/>
    <w:rsid w:val="008E3045"/>
    <w:rsid w:val="008E5ED9"/>
    <w:rsid w:val="008E7E30"/>
    <w:rsid w:val="008F50FA"/>
    <w:rsid w:val="008F5EE4"/>
    <w:rsid w:val="0090254C"/>
    <w:rsid w:val="00903636"/>
    <w:rsid w:val="00906ECC"/>
    <w:rsid w:val="0090792F"/>
    <w:rsid w:val="00911292"/>
    <w:rsid w:val="009124C9"/>
    <w:rsid w:val="00921207"/>
    <w:rsid w:val="009237C4"/>
    <w:rsid w:val="00924B47"/>
    <w:rsid w:val="00925767"/>
    <w:rsid w:val="00925E61"/>
    <w:rsid w:val="0093485D"/>
    <w:rsid w:val="0093666D"/>
    <w:rsid w:val="00937541"/>
    <w:rsid w:val="009402F2"/>
    <w:rsid w:val="0094358B"/>
    <w:rsid w:val="00943BDC"/>
    <w:rsid w:val="00943EAE"/>
    <w:rsid w:val="009449C5"/>
    <w:rsid w:val="00945CE5"/>
    <w:rsid w:val="00946A87"/>
    <w:rsid w:val="00947639"/>
    <w:rsid w:val="00947C9C"/>
    <w:rsid w:val="00950252"/>
    <w:rsid w:val="00951282"/>
    <w:rsid w:val="0095437B"/>
    <w:rsid w:val="00954C5C"/>
    <w:rsid w:val="009558D5"/>
    <w:rsid w:val="00957594"/>
    <w:rsid w:val="00957DB1"/>
    <w:rsid w:val="00962B1E"/>
    <w:rsid w:val="00963FCC"/>
    <w:rsid w:val="00964DEF"/>
    <w:rsid w:val="00966E7F"/>
    <w:rsid w:val="00966F63"/>
    <w:rsid w:val="00967F5D"/>
    <w:rsid w:val="009706C4"/>
    <w:rsid w:val="009706F2"/>
    <w:rsid w:val="00971717"/>
    <w:rsid w:val="009761F0"/>
    <w:rsid w:val="009804B9"/>
    <w:rsid w:val="00980903"/>
    <w:rsid w:val="0098105E"/>
    <w:rsid w:val="00991ED7"/>
    <w:rsid w:val="009A0369"/>
    <w:rsid w:val="009A09F3"/>
    <w:rsid w:val="009A0F95"/>
    <w:rsid w:val="009A37A8"/>
    <w:rsid w:val="009A61A1"/>
    <w:rsid w:val="009B3ADF"/>
    <w:rsid w:val="009B3FA7"/>
    <w:rsid w:val="009B41ED"/>
    <w:rsid w:val="009C32EB"/>
    <w:rsid w:val="009C3B52"/>
    <w:rsid w:val="009C42C1"/>
    <w:rsid w:val="009C575F"/>
    <w:rsid w:val="009C5963"/>
    <w:rsid w:val="009D224B"/>
    <w:rsid w:val="009E10B6"/>
    <w:rsid w:val="009E5981"/>
    <w:rsid w:val="009F02B1"/>
    <w:rsid w:val="009F16A1"/>
    <w:rsid w:val="009F78D5"/>
    <w:rsid w:val="00A03E3F"/>
    <w:rsid w:val="00A07150"/>
    <w:rsid w:val="00A0755F"/>
    <w:rsid w:val="00A13DBA"/>
    <w:rsid w:val="00A142D5"/>
    <w:rsid w:val="00A20247"/>
    <w:rsid w:val="00A21EF3"/>
    <w:rsid w:val="00A22A10"/>
    <w:rsid w:val="00A264F8"/>
    <w:rsid w:val="00A318E9"/>
    <w:rsid w:val="00A319B7"/>
    <w:rsid w:val="00A4115B"/>
    <w:rsid w:val="00A411DC"/>
    <w:rsid w:val="00A42218"/>
    <w:rsid w:val="00A4695D"/>
    <w:rsid w:val="00A5336F"/>
    <w:rsid w:val="00A546A8"/>
    <w:rsid w:val="00A56810"/>
    <w:rsid w:val="00A5757B"/>
    <w:rsid w:val="00A57C3F"/>
    <w:rsid w:val="00A631E7"/>
    <w:rsid w:val="00A6355B"/>
    <w:rsid w:val="00A6451F"/>
    <w:rsid w:val="00A67119"/>
    <w:rsid w:val="00A70249"/>
    <w:rsid w:val="00A702F2"/>
    <w:rsid w:val="00A730C9"/>
    <w:rsid w:val="00A73BD8"/>
    <w:rsid w:val="00A81C0C"/>
    <w:rsid w:val="00A827E6"/>
    <w:rsid w:val="00A8311A"/>
    <w:rsid w:val="00A84C7F"/>
    <w:rsid w:val="00A8660C"/>
    <w:rsid w:val="00A8750D"/>
    <w:rsid w:val="00AA1EDE"/>
    <w:rsid w:val="00AA4C59"/>
    <w:rsid w:val="00AA587E"/>
    <w:rsid w:val="00AA6012"/>
    <w:rsid w:val="00AB0493"/>
    <w:rsid w:val="00AB0CC3"/>
    <w:rsid w:val="00AB356D"/>
    <w:rsid w:val="00AB4198"/>
    <w:rsid w:val="00AB70B3"/>
    <w:rsid w:val="00AC412C"/>
    <w:rsid w:val="00AC648E"/>
    <w:rsid w:val="00AD0926"/>
    <w:rsid w:val="00AD31D2"/>
    <w:rsid w:val="00AD3D2B"/>
    <w:rsid w:val="00AD4F07"/>
    <w:rsid w:val="00AE099E"/>
    <w:rsid w:val="00AE195C"/>
    <w:rsid w:val="00AE3201"/>
    <w:rsid w:val="00AE63EE"/>
    <w:rsid w:val="00AE7700"/>
    <w:rsid w:val="00AF7822"/>
    <w:rsid w:val="00AF7C98"/>
    <w:rsid w:val="00B02B71"/>
    <w:rsid w:val="00B03051"/>
    <w:rsid w:val="00B07D02"/>
    <w:rsid w:val="00B12600"/>
    <w:rsid w:val="00B1324A"/>
    <w:rsid w:val="00B17E9D"/>
    <w:rsid w:val="00B2631E"/>
    <w:rsid w:val="00B26B55"/>
    <w:rsid w:val="00B27D02"/>
    <w:rsid w:val="00B30D37"/>
    <w:rsid w:val="00B31478"/>
    <w:rsid w:val="00B31D94"/>
    <w:rsid w:val="00B32EF4"/>
    <w:rsid w:val="00B3321D"/>
    <w:rsid w:val="00B33BEA"/>
    <w:rsid w:val="00B36EBF"/>
    <w:rsid w:val="00B41CE8"/>
    <w:rsid w:val="00B43FC2"/>
    <w:rsid w:val="00B450B0"/>
    <w:rsid w:val="00B516AE"/>
    <w:rsid w:val="00B5257D"/>
    <w:rsid w:val="00B53251"/>
    <w:rsid w:val="00B53BBE"/>
    <w:rsid w:val="00B540E3"/>
    <w:rsid w:val="00B553B5"/>
    <w:rsid w:val="00B57C9F"/>
    <w:rsid w:val="00B642D4"/>
    <w:rsid w:val="00B660DD"/>
    <w:rsid w:val="00B7516E"/>
    <w:rsid w:val="00B75A7A"/>
    <w:rsid w:val="00B762D0"/>
    <w:rsid w:val="00B76780"/>
    <w:rsid w:val="00B8096E"/>
    <w:rsid w:val="00B80E1A"/>
    <w:rsid w:val="00B8185C"/>
    <w:rsid w:val="00B82F9A"/>
    <w:rsid w:val="00B845B3"/>
    <w:rsid w:val="00B85D8B"/>
    <w:rsid w:val="00B86D8C"/>
    <w:rsid w:val="00B87890"/>
    <w:rsid w:val="00B9331A"/>
    <w:rsid w:val="00B9335F"/>
    <w:rsid w:val="00B946B6"/>
    <w:rsid w:val="00BA76C7"/>
    <w:rsid w:val="00BB050A"/>
    <w:rsid w:val="00BB2F71"/>
    <w:rsid w:val="00BB33A4"/>
    <w:rsid w:val="00BB47B8"/>
    <w:rsid w:val="00BB53AD"/>
    <w:rsid w:val="00BB7A23"/>
    <w:rsid w:val="00BC1E06"/>
    <w:rsid w:val="00BC351C"/>
    <w:rsid w:val="00BC69DA"/>
    <w:rsid w:val="00BC75AD"/>
    <w:rsid w:val="00BD0E32"/>
    <w:rsid w:val="00BD322D"/>
    <w:rsid w:val="00BD333F"/>
    <w:rsid w:val="00BD78C2"/>
    <w:rsid w:val="00BD7C17"/>
    <w:rsid w:val="00BE0B8A"/>
    <w:rsid w:val="00BE1805"/>
    <w:rsid w:val="00BE25C0"/>
    <w:rsid w:val="00BE3674"/>
    <w:rsid w:val="00BE5836"/>
    <w:rsid w:val="00BF2864"/>
    <w:rsid w:val="00BF29ED"/>
    <w:rsid w:val="00BF55A3"/>
    <w:rsid w:val="00C02939"/>
    <w:rsid w:val="00C06CF4"/>
    <w:rsid w:val="00C10698"/>
    <w:rsid w:val="00C15AB1"/>
    <w:rsid w:val="00C16AE0"/>
    <w:rsid w:val="00C20845"/>
    <w:rsid w:val="00C26825"/>
    <w:rsid w:val="00C3049A"/>
    <w:rsid w:val="00C30ED8"/>
    <w:rsid w:val="00C31B1E"/>
    <w:rsid w:val="00C34EAB"/>
    <w:rsid w:val="00C35D30"/>
    <w:rsid w:val="00C37BE2"/>
    <w:rsid w:val="00C401F8"/>
    <w:rsid w:val="00C42BBC"/>
    <w:rsid w:val="00C45429"/>
    <w:rsid w:val="00C45AEC"/>
    <w:rsid w:val="00C45EDE"/>
    <w:rsid w:val="00C47C56"/>
    <w:rsid w:val="00C51F14"/>
    <w:rsid w:val="00C52064"/>
    <w:rsid w:val="00C52CB1"/>
    <w:rsid w:val="00C53468"/>
    <w:rsid w:val="00C552F0"/>
    <w:rsid w:val="00C57260"/>
    <w:rsid w:val="00C6453E"/>
    <w:rsid w:val="00C65CA6"/>
    <w:rsid w:val="00C661F3"/>
    <w:rsid w:val="00C6659D"/>
    <w:rsid w:val="00C6743A"/>
    <w:rsid w:val="00C67F8E"/>
    <w:rsid w:val="00C70B72"/>
    <w:rsid w:val="00C73ACF"/>
    <w:rsid w:val="00C73FE6"/>
    <w:rsid w:val="00C77645"/>
    <w:rsid w:val="00C77ECF"/>
    <w:rsid w:val="00C8104C"/>
    <w:rsid w:val="00C81AF8"/>
    <w:rsid w:val="00C85ADF"/>
    <w:rsid w:val="00C92B4B"/>
    <w:rsid w:val="00C96E0F"/>
    <w:rsid w:val="00CA420D"/>
    <w:rsid w:val="00CA43BF"/>
    <w:rsid w:val="00CA5A36"/>
    <w:rsid w:val="00CA5DDC"/>
    <w:rsid w:val="00CA5EA2"/>
    <w:rsid w:val="00CA6552"/>
    <w:rsid w:val="00CB223F"/>
    <w:rsid w:val="00CB2C2E"/>
    <w:rsid w:val="00CB3E78"/>
    <w:rsid w:val="00CB588B"/>
    <w:rsid w:val="00CB7C73"/>
    <w:rsid w:val="00CB7FEB"/>
    <w:rsid w:val="00CC060D"/>
    <w:rsid w:val="00CC0E61"/>
    <w:rsid w:val="00CC1011"/>
    <w:rsid w:val="00CC617D"/>
    <w:rsid w:val="00CD03F0"/>
    <w:rsid w:val="00CD25D1"/>
    <w:rsid w:val="00CD3298"/>
    <w:rsid w:val="00CD4DF5"/>
    <w:rsid w:val="00CD5B9D"/>
    <w:rsid w:val="00CE04C3"/>
    <w:rsid w:val="00CE0811"/>
    <w:rsid w:val="00CE0C02"/>
    <w:rsid w:val="00CE118A"/>
    <w:rsid w:val="00CE563A"/>
    <w:rsid w:val="00CE76A0"/>
    <w:rsid w:val="00CF57F2"/>
    <w:rsid w:val="00D007AB"/>
    <w:rsid w:val="00D0132A"/>
    <w:rsid w:val="00D017A9"/>
    <w:rsid w:val="00D02FDA"/>
    <w:rsid w:val="00D050E5"/>
    <w:rsid w:val="00D0514A"/>
    <w:rsid w:val="00D1408B"/>
    <w:rsid w:val="00D148C6"/>
    <w:rsid w:val="00D15FD1"/>
    <w:rsid w:val="00D17035"/>
    <w:rsid w:val="00D21337"/>
    <w:rsid w:val="00D26131"/>
    <w:rsid w:val="00D26DF6"/>
    <w:rsid w:val="00D3160A"/>
    <w:rsid w:val="00D31869"/>
    <w:rsid w:val="00D37459"/>
    <w:rsid w:val="00D412E9"/>
    <w:rsid w:val="00D41566"/>
    <w:rsid w:val="00D45636"/>
    <w:rsid w:val="00D45A09"/>
    <w:rsid w:val="00D470B0"/>
    <w:rsid w:val="00D47689"/>
    <w:rsid w:val="00D47A10"/>
    <w:rsid w:val="00D54830"/>
    <w:rsid w:val="00D5681F"/>
    <w:rsid w:val="00D578F3"/>
    <w:rsid w:val="00D57FC8"/>
    <w:rsid w:val="00D618A4"/>
    <w:rsid w:val="00D71566"/>
    <w:rsid w:val="00D72518"/>
    <w:rsid w:val="00D75E36"/>
    <w:rsid w:val="00D76CEB"/>
    <w:rsid w:val="00D8103E"/>
    <w:rsid w:val="00D8131C"/>
    <w:rsid w:val="00D911E6"/>
    <w:rsid w:val="00D91A8A"/>
    <w:rsid w:val="00D94ED6"/>
    <w:rsid w:val="00DA1EFE"/>
    <w:rsid w:val="00DA2CB7"/>
    <w:rsid w:val="00DA4E26"/>
    <w:rsid w:val="00DA4E76"/>
    <w:rsid w:val="00DA76B7"/>
    <w:rsid w:val="00DB15BC"/>
    <w:rsid w:val="00DB4152"/>
    <w:rsid w:val="00DC512B"/>
    <w:rsid w:val="00DD06FF"/>
    <w:rsid w:val="00DD5923"/>
    <w:rsid w:val="00DD5FE9"/>
    <w:rsid w:val="00DD649B"/>
    <w:rsid w:val="00DE0540"/>
    <w:rsid w:val="00DE0E8B"/>
    <w:rsid w:val="00DE1523"/>
    <w:rsid w:val="00DE2F79"/>
    <w:rsid w:val="00DF06E9"/>
    <w:rsid w:val="00DF0BD2"/>
    <w:rsid w:val="00DF1030"/>
    <w:rsid w:val="00DF1188"/>
    <w:rsid w:val="00DF17DE"/>
    <w:rsid w:val="00DF25B6"/>
    <w:rsid w:val="00DF3F47"/>
    <w:rsid w:val="00DF537A"/>
    <w:rsid w:val="00DF61BF"/>
    <w:rsid w:val="00DF6A2C"/>
    <w:rsid w:val="00DF778C"/>
    <w:rsid w:val="00E00C7A"/>
    <w:rsid w:val="00E00E0B"/>
    <w:rsid w:val="00E02E88"/>
    <w:rsid w:val="00E033B1"/>
    <w:rsid w:val="00E06C59"/>
    <w:rsid w:val="00E07829"/>
    <w:rsid w:val="00E10E4D"/>
    <w:rsid w:val="00E162B8"/>
    <w:rsid w:val="00E17081"/>
    <w:rsid w:val="00E21253"/>
    <w:rsid w:val="00E23993"/>
    <w:rsid w:val="00E25B1E"/>
    <w:rsid w:val="00E25F1C"/>
    <w:rsid w:val="00E26382"/>
    <w:rsid w:val="00E33ADD"/>
    <w:rsid w:val="00E35462"/>
    <w:rsid w:val="00E45326"/>
    <w:rsid w:val="00E457EC"/>
    <w:rsid w:val="00E464A7"/>
    <w:rsid w:val="00E47E53"/>
    <w:rsid w:val="00E5078B"/>
    <w:rsid w:val="00E52B37"/>
    <w:rsid w:val="00E55B68"/>
    <w:rsid w:val="00E57BFA"/>
    <w:rsid w:val="00E652A0"/>
    <w:rsid w:val="00E775AF"/>
    <w:rsid w:val="00E8079A"/>
    <w:rsid w:val="00E84E21"/>
    <w:rsid w:val="00E87153"/>
    <w:rsid w:val="00E92C3F"/>
    <w:rsid w:val="00E97340"/>
    <w:rsid w:val="00EA0F31"/>
    <w:rsid w:val="00EA2952"/>
    <w:rsid w:val="00EA6057"/>
    <w:rsid w:val="00EA73C3"/>
    <w:rsid w:val="00EB414A"/>
    <w:rsid w:val="00EB779D"/>
    <w:rsid w:val="00EC04CD"/>
    <w:rsid w:val="00EE6C36"/>
    <w:rsid w:val="00EE7804"/>
    <w:rsid w:val="00EE7F0E"/>
    <w:rsid w:val="00EF0DB7"/>
    <w:rsid w:val="00EF182A"/>
    <w:rsid w:val="00EF22DD"/>
    <w:rsid w:val="00EF2DE5"/>
    <w:rsid w:val="00EF376D"/>
    <w:rsid w:val="00EF52A1"/>
    <w:rsid w:val="00EF7115"/>
    <w:rsid w:val="00EF774F"/>
    <w:rsid w:val="00EF78EE"/>
    <w:rsid w:val="00F05B73"/>
    <w:rsid w:val="00F06966"/>
    <w:rsid w:val="00F1065B"/>
    <w:rsid w:val="00F115ED"/>
    <w:rsid w:val="00F11DEC"/>
    <w:rsid w:val="00F1219D"/>
    <w:rsid w:val="00F179F3"/>
    <w:rsid w:val="00F22E00"/>
    <w:rsid w:val="00F2473D"/>
    <w:rsid w:val="00F2576E"/>
    <w:rsid w:val="00F27B61"/>
    <w:rsid w:val="00F3200D"/>
    <w:rsid w:val="00F333E7"/>
    <w:rsid w:val="00F34FB0"/>
    <w:rsid w:val="00F35FD1"/>
    <w:rsid w:val="00F40D55"/>
    <w:rsid w:val="00F427F0"/>
    <w:rsid w:val="00F4328D"/>
    <w:rsid w:val="00F4362E"/>
    <w:rsid w:val="00F46D3B"/>
    <w:rsid w:val="00F51D3B"/>
    <w:rsid w:val="00F57076"/>
    <w:rsid w:val="00F622CF"/>
    <w:rsid w:val="00F64766"/>
    <w:rsid w:val="00F67B1E"/>
    <w:rsid w:val="00F71BEE"/>
    <w:rsid w:val="00F72147"/>
    <w:rsid w:val="00F74360"/>
    <w:rsid w:val="00F7466E"/>
    <w:rsid w:val="00F82B56"/>
    <w:rsid w:val="00F90ECD"/>
    <w:rsid w:val="00F92FBC"/>
    <w:rsid w:val="00F952B5"/>
    <w:rsid w:val="00F9536B"/>
    <w:rsid w:val="00FA025B"/>
    <w:rsid w:val="00FA20B6"/>
    <w:rsid w:val="00FA3182"/>
    <w:rsid w:val="00FA7793"/>
    <w:rsid w:val="00FB346C"/>
    <w:rsid w:val="00FB372C"/>
    <w:rsid w:val="00FB462F"/>
    <w:rsid w:val="00FB6727"/>
    <w:rsid w:val="00FB685E"/>
    <w:rsid w:val="00FC16D5"/>
    <w:rsid w:val="00FC3714"/>
    <w:rsid w:val="00FC6A1F"/>
    <w:rsid w:val="00FC6AB2"/>
    <w:rsid w:val="00FD5618"/>
    <w:rsid w:val="00FD5CBC"/>
    <w:rsid w:val="00FE16FA"/>
    <w:rsid w:val="00FE328A"/>
    <w:rsid w:val="00FE55D6"/>
    <w:rsid w:val="00FF581B"/>
    <w:rsid w:val="250B1BF8"/>
    <w:rsid w:val="3D75089A"/>
    <w:rsid w:val="4FD347F7"/>
    <w:rsid w:val="75E77970"/>
    <w:rsid w:val="7B42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Default"/>
    <w:qFormat/>
    <w:uiPriority w:val="99"/>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sz w:val="18"/>
      <w:szCs w:val="18"/>
    </w:rPr>
  </w:style>
  <w:style w:type="paragraph" w:customStyle="1" w:styleId="1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xl90"/>
    <w:basedOn w:val="1"/>
    <w:qFormat/>
    <w:uiPriority w:val="0"/>
    <w:pPr>
      <w:widowControl/>
      <w:shd w:val="clear" w:color="000000" w:fill="FFFFFF"/>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
    <w:name w:val="xl91"/>
    <w:basedOn w:val="1"/>
    <w:qFormat/>
    <w:uiPriority w:val="0"/>
    <w:pPr>
      <w:widowControl/>
      <w:spacing w:before="100" w:beforeAutospacing="1" w:after="100" w:afterAutospacing="1"/>
      <w:jc w:val="right"/>
      <w:textAlignment w:val="center"/>
    </w:pPr>
    <w:rPr>
      <w:rFonts w:ascii="宋体" w:hAnsi="宋体" w:eastAsia="宋体" w:cs="宋体"/>
      <w:kern w:val="0"/>
      <w:sz w:val="32"/>
      <w:szCs w:val="32"/>
    </w:rPr>
  </w:style>
  <w:style w:type="paragraph" w:customStyle="1" w:styleId="18">
    <w:name w:val="xl92"/>
    <w:basedOn w:val="1"/>
    <w:qFormat/>
    <w:uiPriority w:val="0"/>
    <w:pPr>
      <w:widowControl/>
      <w:spacing w:before="100" w:beforeAutospacing="1" w:after="100" w:afterAutospacing="1"/>
      <w:jc w:val="right"/>
      <w:textAlignment w:val="center"/>
    </w:pPr>
    <w:rPr>
      <w:rFonts w:ascii="宋体" w:hAnsi="宋体" w:eastAsia="宋体" w:cs="宋体"/>
      <w:kern w:val="0"/>
      <w:sz w:val="24"/>
      <w:szCs w:val="24"/>
    </w:rPr>
  </w:style>
  <w:style w:type="paragraph" w:customStyle="1" w:styleId="19">
    <w:name w:val="xl93"/>
    <w:basedOn w:val="1"/>
    <w:qFormat/>
    <w:uiPriority w:val="0"/>
    <w:pPr>
      <w:widowControl/>
      <w:spacing w:before="100" w:beforeAutospacing="1" w:after="100" w:afterAutospacing="1"/>
      <w:jc w:val="right"/>
      <w:textAlignment w:val="center"/>
    </w:pPr>
    <w:rPr>
      <w:rFonts w:ascii="宋体" w:hAnsi="宋体" w:eastAsia="宋体" w:cs="宋体"/>
      <w:kern w:val="0"/>
      <w:sz w:val="24"/>
      <w:szCs w:val="24"/>
    </w:rPr>
  </w:style>
  <w:style w:type="paragraph" w:customStyle="1" w:styleId="20">
    <w:name w:val="xl94"/>
    <w:basedOn w:val="1"/>
    <w:qFormat/>
    <w:uiPriority w:val="0"/>
    <w:pPr>
      <w:widowControl/>
      <w:shd w:val="clear" w:color="000000" w:fill="FFFFFF"/>
      <w:spacing w:before="100" w:beforeAutospacing="1" w:after="100" w:afterAutospacing="1"/>
      <w:jc w:val="right"/>
      <w:textAlignment w:val="center"/>
    </w:pPr>
    <w:rPr>
      <w:rFonts w:ascii="宋体" w:hAnsi="宋体" w:eastAsia="宋体" w:cs="宋体"/>
      <w:kern w:val="0"/>
      <w:sz w:val="24"/>
      <w:szCs w:val="24"/>
    </w:rPr>
  </w:style>
  <w:style w:type="paragraph" w:customStyle="1" w:styleId="21">
    <w:name w:val="xl95"/>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2">
    <w:name w:val="xl96"/>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3">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4">
    <w:name w:val="xl98"/>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25">
    <w:name w:val="xl99"/>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26">
    <w:name w:val="xl100"/>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27">
    <w:name w:val="xl101"/>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eastAsia="宋体" w:cs="宋体"/>
      <w:b/>
      <w:bCs/>
      <w:color w:val="000000"/>
      <w:kern w:val="0"/>
      <w:sz w:val="22"/>
    </w:rPr>
  </w:style>
  <w:style w:type="paragraph" w:customStyle="1" w:styleId="28">
    <w:name w:val="xl102"/>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eastAsia="宋体" w:cs="宋体"/>
      <w:b/>
      <w:bCs/>
      <w:color w:val="000000"/>
      <w:kern w:val="0"/>
      <w:sz w:val="22"/>
    </w:rPr>
  </w:style>
  <w:style w:type="paragraph" w:customStyle="1" w:styleId="29">
    <w:name w:val="xl103"/>
    <w:basedOn w:val="1"/>
    <w:qFormat/>
    <w:uiPriority w:val="0"/>
    <w:pPr>
      <w:widowControl/>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0">
    <w:name w:val="xl104"/>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eastAsia="宋体" w:cs="宋体"/>
      <w:kern w:val="0"/>
      <w:sz w:val="22"/>
    </w:rPr>
  </w:style>
  <w:style w:type="paragraph" w:customStyle="1" w:styleId="31">
    <w:name w:val="xl105"/>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32">
    <w:name w:val="xl106"/>
    <w:basedOn w:val="1"/>
    <w:qFormat/>
    <w:uiPriority w:val="0"/>
    <w:pPr>
      <w:widowControl/>
      <w:pBdr>
        <w:bottom w:val="single" w:color="000000" w:sz="4" w:space="0"/>
        <w:right w:val="single" w:color="auto" w:sz="8" w:space="0"/>
      </w:pBdr>
      <w:spacing w:before="100" w:beforeAutospacing="1" w:after="100" w:afterAutospacing="1"/>
      <w:jc w:val="right"/>
      <w:textAlignment w:val="center"/>
    </w:pPr>
    <w:rPr>
      <w:rFonts w:ascii="宋体" w:hAnsi="宋体" w:eastAsia="宋体" w:cs="宋体"/>
      <w:b/>
      <w:bCs/>
      <w:color w:val="000000"/>
      <w:kern w:val="0"/>
      <w:sz w:val="22"/>
    </w:rPr>
  </w:style>
  <w:style w:type="paragraph" w:customStyle="1" w:styleId="33">
    <w:name w:val="xl107"/>
    <w:basedOn w:val="1"/>
    <w:qFormat/>
    <w:uiPriority w:val="0"/>
    <w:pPr>
      <w:widowControl/>
      <w:pBdr>
        <w:left w:val="single" w:color="auto" w:sz="8"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34">
    <w:name w:val="xl108"/>
    <w:basedOn w:val="1"/>
    <w:qFormat/>
    <w:uiPriority w:val="0"/>
    <w:pPr>
      <w:widowControl/>
      <w:pBdr>
        <w:bottom w:val="single" w:color="000000" w:sz="4" w:space="0"/>
        <w:right w:val="single" w:color="auto" w:sz="8"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35">
    <w:name w:val="xl109"/>
    <w:basedOn w:val="1"/>
    <w:qFormat/>
    <w:uiPriority w:val="0"/>
    <w:pPr>
      <w:widowControl/>
      <w:pBdr>
        <w:left w:val="single" w:color="auto" w:sz="8" w:space="0"/>
        <w:bottom w:val="single" w:color="auto" w:sz="8" w:space="0"/>
        <w:right w:val="single" w:color="000000"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36">
    <w:name w:val="xl110"/>
    <w:basedOn w:val="1"/>
    <w:qFormat/>
    <w:uiPriority w:val="0"/>
    <w:pPr>
      <w:widowControl/>
      <w:pBdr>
        <w:bottom w:val="single" w:color="auto" w:sz="8" w:space="0"/>
        <w:right w:val="single" w:color="000000"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37">
    <w:name w:val="xl111"/>
    <w:basedOn w:val="1"/>
    <w:qFormat/>
    <w:uiPriority w:val="0"/>
    <w:pPr>
      <w:widowControl/>
      <w:pBdr>
        <w:bottom w:val="single" w:color="auto" w:sz="8" w:space="0"/>
        <w:right w:val="single" w:color="000000"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38">
    <w:name w:val="xl112"/>
    <w:basedOn w:val="1"/>
    <w:qFormat/>
    <w:uiPriority w:val="0"/>
    <w:pPr>
      <w:widowControl/>
      <w:pBdr>
        <w:bottom w:val="single" w:color="auto" w:sz="8" w:space="0"/>
        <w:right w:val="single" w:color="000000"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39">
    <w:name w:val="xl113"/>
    <w:basedOn w:val="1"/>
    <w:qFormat/>
    <w:uiPriority w:val="0"/>
    <w:pPr>
      <w:widowControl/>
      <w:pBdr>
        <w:bottom w:val="single" w:color="auto" w:sz="8" w:space="0"/>
        <w:right w:val="single" w:color="auto" w:sz="8"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40">
    <w:name w:val="xl114"/>
    <w:basedOn w:val="1"/>
    <w:qFormat/>
    <w:uiPriority w:val="0"/>
    <w:pPr>
      <w:widowControl/>
      <w:pBdr>
        <w:top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1">
    <w:name w:val="xl115"/>
    <w:basedOn w:val="1"/>
    <w:qFormat/>
    <w:uiPriority w:val="0"/>
    <w:pPr>
      <w:widowControl/>
      <w:spacing w:before="100" w:beforeAutospacing="1" w:after="100" w:afterAutospacing="1"/>
      <w:jc w:val="center"/>
      <w:textAlignment w:val="center"/>
    </w:pPr>
    <w:rPr>
      <w:rFonts w:ascii="华文中宋" w:hAnsi="宋体" w:eastAsia="华文中宋" w:cs="宋体"/>
      <w:color w:val="000000"/>
      <w:kern w:val="0"/>
      <w:sz w:val="32"/>
      <w:szCs w:val="32"/>
    </w:rPr>
  </w:style>
  <w:style w:type="paragraph" w:customStyle="1" w:styleId="42">
    <w:name w:val="xl116"/>
    <w:basedOn w:val="1"/>
    <w:qFormat/>
    <w:uiPriority w:val="0"/>
    <w:pPr>
      <w:widowControl/>
      <w:pBdr>
        <w:top w:val="single" w:color="auto" w:sz="8" w:space="0"/>
        <w:left w:val="single" w:color="auto" w:sz="8" w:space="0"/>
        <w:bottom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3">
    <w:name w:val="xl117"/>
    <w:basedOn w:val="1"/>
    <w:qFormat/>
    <w:uiPriority w:val="0"/>
    <w:pPr>
      <w:widowControl/>
      <w:pBdr>
        <w:top w:val="single" w:color="auto" w:sz="8" w:space="0"/>
        <w:bottom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4">
    <w:name w:val="xl118"/>
    <w:basedOn w:val="1"/>
    <w:qFormat/>
    <w:uiPriority w:val="0"/>
    <w:pPr>
      <w:widowControl/>
      <w:pBdr>
        <w:top w:val="single" w:color="auto" w:sz="4" w:space="0"/>
        <w:left w:val="single" w:color="auto" w:sz="8" w:space="0"/>
        <w:bottom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5">
    <w:name w:val="xl11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6">
    <w:name w:val="xl120"/>
    <w:basedOn w:val="1"/>
    <w:qFormat/>
    <w:uiPriority w:val="0"/>
    <w:pPr>
      <w:widowControl/>
      <w:pBdr>
        <w:left w:val="single" w:color="auto" w:sz="8" w:space="0"/>
        <w:bottom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7">
    <w:name w:val="xl121"/>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8">
    <w:name w:val="xl122"/>
    <w:basedOn w:val="1"/>
    <w:qFormat/>
    <w:uiPriority w:val="0"/>
    <w:pPr>
      <w:widowControl/>
      <w:pBdr>
        <w:top w:val="single" w:color="auto" w:sz="8"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9">
    <w:name w:val="xl12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0">
    <w:name w:val="xl12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1">
    <w:name w:val="xl125"/>
    <w:basedOn w:val="1"/>
    <w:qFormat/>
    <w:uiPriority w:val="0"/>
    <w:pPr>
      <w:widowControl/>
      <w:pBdr>
        <w:top w:val="single" w:color="auto" w:sz="8" w:space="0"/>
        <w:left w:val="single" w:color="auto" w:sz="4"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2">
    <w:name w:val="xl126"/>
    <w:basedOn w:val="1"/>
    <w:qFormat/>
    <w:uiPriority w:val="0"/>
    <w:pPr>
      <w:widowControl/>
      <w:pBdr>
        <w:left w:val="single" w:color="auto" w:sz="4"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3">
    <w:name w:val="xl127"/>
    <w:basedOn w:val="1"/>
    <w:qFormat/>
    <w:uiPriority w:val="0"/>
    <w:pPr>
      <w:widowControl/>
      <w:pBdr>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4">
    <w:name w:val="xl128"/>
    <w:basedOn w:val="1"/>
    <w:qFormat/>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5">
    <w:name w:val="xl129"/>
    <w:basedOn w:val="1"/>
    <w:qFormat/>
    <w:uiPriority w:val="0"/>
    <w:pPr>
      <w:widowControl/>
      <w:pBdr>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6">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7">
    <w:name w:val="xl13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8">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9">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2118-8795-457B-A7E1-9323A4A08F5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77</Pages>
  <Words>28058</Words>
  <Characters>40612</Characters>
  <Lines>374</Lines>
  <Paragraphs>105</Paragraphs>
  <TotalTime>0</TotalTime>
  <ScaleCrop>false</ScaleCrop>
  <LinksUpToDate>false</LinksUpToDate>
  <CharactersWithSpaces>45287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2021-05-21T07:50:00Z</dcterms:created>
  <dc:creator>李航 null</dc:creator>
  <cp:lastModifiedBy>墨者-阿翟</cp:lastModifiedBy>
  <cp:lastPrinted>2020-07-15T07:25:00Z</cp:lastPrinted>
  <dcterms:modified xsi:type="dcterms:W3CDTF">2022-09-06T07:38:09Z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C7CB652C812345A4BCCBDE54D419D271</vt:lpwstr>
  </property>
</Properties>
</file>