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
        <w:jc w:val="center"/>
        <w:rPr>
          <w:color w:val="000000"/>
        </w:rPr>
      </w:pPr>
      <w:r>
        <w:rPr>
          <w:rFonts w:hint="eastAsia" w:ascii="宋体" w:hAnsi="宋体" w:eastAsia="宋体"/>
          <w:color w:val="000000"/>
          <w:sz w:val="44"/>
          <w:szCs w:val="44"/>
        </w:rPr>
        <w:t>2022年度浏阳市社港镇人民政府部门决算</w:t>
      </w:r>
      <w:r>
        <w:rPr>
          <w:rFonts w:hint="eastAsia"/>
          <w:color w:val="000000"/>
        </w:rPr>
        <w:t xml:space="preserve"> </w:t>
      </w:r>
    </w:p>
    <w:p>
      <w:pPr>
        <w:spacing w:after="2"/>
        <w:jc w:val="center"/>
        <w:rPr>
          <w:rFonts w:hint="eastAsia"/>
          <w:color w:val="000000"/>
          <w:szCs w:val="21"/>
        </w:rPr>
      </w:pPr>
      <w:r>
        <w:rPr>
          <w:rFonts w:hint="eastAsia"/>
          <w:color w:val="000000"/>
          <w:sz w:val="32"/>
          <w:szCs w:val="32"/>
        </w:rPr>
        <w:t> </w:t>
      </w:r>
      <w:r>
        <w:rPr>
          <w:rFonts w:hint="eastAsia"/>
          <w:color w:val="000000"/>
          <w:szCs w:val="21"/>
        </w:rPr>
        <w:t xml:space="preserve"> </w:t>
      </w:r>
    </w:p>
    <w:p>
      <w:pPr>
        <w:spacing w:after="2"/>
        <w:jc w:val="center"/>
        <w:rPr>
          <w:rFonts w:hint="eastAsia" w:ascii="宋体" w:hAnsi="宋体" w:eastAsia="宋体"/>
          <w:color w:val="000000"/>
          <w:szCs w:val="21"/>
        </w:rPr>
      </w:pPr>
      <w:r>
        <w:rPr>
          <w:rFonts w:hint="eastAsia" w:ascii="宋体" w:hAnsi="宋体" w:eastAsia="宋体"/>
          <w:color w:val="000000"/>
          <w:sz w:val="32"/>
          <w:szCs w:val="32"/>
        </w:rPr>
        <w:t>目 录</w:t>
      </w:r>
      <w:r>
        <w:rPr>
          <w:rFonts w:hint="eastAsia" w:ascii="宋体" w:hAnsi="宋体" w:eastAsia="宋体"/>
          <w:color w:val="000000"/>
          <w:szCs w:val="21"/>
        </w:rPr>
        <w:t xml:space="preserve"> </w:t>
      </w:r>
    </w:p>
    <w:p>
      <w:pPr>
        <w:spacing w:after="2"/>
        <w:jc w:val="center"/>
        <w:rPr>
          <w:rFonts w:hint="eastAsia"/>
          <w:color w:val="000000"/>
          <w:szCs w:val="21"/>
        </w:rPr>
      </w:pPr>
    </w:p>
    <w:p>
      <w:pPr>
        <w:pStyle w:val="10"/>
        <w:spacing w:after="2"/>
        <w:ind w:firstLine="641"/>
        <w:rPr>
          <w:rFonts w:hint="eastAsia"/>
          <w:color w:val="000000"/>
          <w:sz w:val="27"/>
          <w:szCs w:val="27"/>
        </w:rPr>
      </w:pPr>
      <w:r>
        <w:rPr>
          <w:rFonts w:hint="eastAsia" w:ascii="宋体" w:hAnsi="宋体" w:eastAsia="宋体"/>
          <w:b/>
          <w:bCs/>
          <w:color w:val="000000"/>
          <w:sz w:val="32"/>
          <w:szCs w:val="32"/>
        </w:rPr>
        <w:t>第一部分 浏阳市社港镇人民政府概况</w:t>
      </w:r>
      <w:r>
        <w:rPr>
          <w:rFonts w:hint="eastAsia"/>
          <w:color w:val="000000"/>
          <w:sz w:val="27"/>
          <w:szCs w:val="27"/>
        </w:rPr>
        <w:t xml:space="preserve"> </w:t>
      </w:r>
    </w:p>
    <w:p>
      <w:pPr>
        <w:pStyle w:val="10"/>
        <w:spacing w:after="2"/>
        <w:ind w:firstLine="700"/>
        <w:rPr>
          <w:rFonts w:hint="eastAsia"/>
          <w:color w:val="000000"/>
        </w:rPr>
      </w:pPr>
      <w:r>
        <w:rPr>
          <w:rFonts w:hint="eastAsia" w:ascii="宋体" w:hAnsi="宋体" w:eastAsia="宋体"/>
          <w:color w:val="000000"/>
          <w:sz w:val="28"/>
          <w:szCs w:val="28"/>
        </w:rPr>
        <w:t>一、部门职责</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二、机构设置</w:t>
      </w:r>
      <w:r>
        <w:rPr>
          <w:rFonts w:hint="eastAsia"/>
          <w:color w:val="000000"/>
        </w:rPr>
        <w:t xml:space="preserve"> </w:t>
      </w:r>
    </w:p>
    <w:p>
      <w:pPr>
        <w:pStyle w:val="10"/>
        <w:spacing w:after="2"/>
        <w:ind w:firstLine="641"/>
        <w:rPr>
          <w:rFonts w:hint="eastAsia"/>
          <w:color w:val="000000"/>
          <w:sz w:val="27"/>
          <w:szCs w:val="27"/>
        </w:rPr>
      </w:pPr>
      <w:r>
        <w:rPr>
          <w:rFonts w:hint="eastAsia" w:ascii="宋体" w:hAnsi="宋体" w:eastAsia="宋体"/>
          <w:b/>
          <w:bCs/>
          <w:color w:val="000000"/>
          <w:sz w:val="32"/>
          <w:szCs w:val="32"/>
        </w:rPr>
        <w:t>第二部分 2022年度部门决算表</w:t>
      </w:r>
      <w:r>
        <w:rPr>
          <w:rFonts w:hint="eastAsia"/>
          <w:color w:val="000000"/>
          <w:sz w:val="27"/>
          <w:szCs w:val="27"/>
        </w:rPr>
        <w:t xml:space="preserve"> </w:t>
      </w:r>
    </w:p>
    <w:p>
      <w:pPr>
        <w:pStyle w:val="10"/>
        <w:spacing w:after="2"/>
        <w:ind w:firstLine="700"/>
        <w:rPr>
          <w:rFonts w:hint="eastAsia"/>
          <w:color w:val="000000"/>
        </w:rPr>
      </w:pPr>
      <w:r>
        <w:rPr>
          <w:rFonts w:hint="eastAsia" w:ascii="宋体" w:hAnsi="宋体" w:eastAsia="宋体"/>
          <w:color w:val="000000"/>
          <w:sz w:val="28"/>
          <w:szCs w:val="28"/>
        </w:rPr>
        <w:t>一、收入支出决算总表</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二、收入决算表</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三、支出决算表</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四、财政拨款收入支出决算总表</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五、一般公共预算财政拨款支出决算表</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六、一般公共预算财政拨款基本支出决算明细表</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七、政府性基金预算财政拨款收入支出决算表</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八、国有资本经营预算财政拨款支出决算表</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九、财政拨款“三公”经费支出决算表</w:t>
      </w:r>
      <w:r>
        <w:rPr>
          <w:rFonts w:hint="eastAsia"/>
          <w:color w:val="000000"/>
        </w:rPr>
        <w:t xml:space="preserve"> </w:t>
      </w:r>
    </w:p>
    <w:p>
      <w:pPr>
        <w:pStyle w:val="10"/>
        <w:spacing w:after="2"/>
        <w:ind w:firstLine="700"/>
        <w:rPr>
          <w:rFonts w:hint="eastAsia"/>
          <w:color w:val="000000"/>
        </w:rPr>
      </w:pPr>
      <w:r>
        <w:rPr>
          <w:rFonts w:hint="eastAsia" w:ascii="宋体" w:hAnsi="宋体" w:eastAsia="宋体"/>
          <w:b/>
          <w:bCs/>
          <w:color w:val="000000"/>
          <w:sz w:val="32"/>
          <w:szCs w:val="32"/>
        </w:rPr>
        <w:t>第三部分 2022年度部门决算情况说明</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一、收入支出决算总体情况说明</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二、收入决算情况说明</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三、支出决算情况说明</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四、财政拨款收入支出决算总体情况说明</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五、一般公共预算财政拨款支出决算情况说明</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六、一般公共预算财政拨款基本支出决算情况说明</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七、财政拨款三公经费支出决算情况说明</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八、政府性基金预算收入支出决算情况说明</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九、国有资本经营预算收入支出决算情况说明</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十、关于机关运行经费支出说明</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十一、一般性支出情况说明</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十二、关于政府采购支出说明</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十三、关于国有资产占用情况说明</w:t>
      </w:r>
      <w:r>
        <w:rPr>
          <w:rFonts w:hint="eastAsia"/>
          <w:color w:val="000000"/>
        </w:rPr>
        <w:t xml:space="preserve"> </w:t>
      </w:r>
    </w:p>
    <w:p>
      <w:pPr>
        <w:pStyle w:val="10"/>
        <w:spacing w:after="2"/>
        <w:ind w:firstLine="700"/>
        <w:rPr>
          <w:rFonts w:hint="eastAsia"/>
          <w:color w:val="000000"/>
        </w:rPr>
      </w:pPr>
      <w:r>
        <w:rPr>
          <w:rFonts w:hint="eastAsia" w:ascii="宋体" w:hAnsi="宋体" w:eastAsia="宋体"/>
          <w:color w:val="000000"/>
          <w:sz w:val="28"/>
          <w:szCs w:val="28"/>
        </w:rPr>
        <w:t>十四、关于2022年度预算绩效情况的说明</w:t>
      </w:r>
      <w:r>
        <w:rPr>
          <w:rFonts w:hint="eastAsia"/>
          <w:color w:val="000000"/>
        </w:rPr>
        <w:t xml:space="preserve"> </w:t>
      </w:r>
    </w:p>
    <w:p>
      <w:pPr>
        <w:pStyle w:val="10"/>
        <w:spacing w:after="2"/>
        <w:ind w:firstLine="641"/>
        <w:rPr>
          <w:rFonts w:hint="eastAsia"/>
          <w:color w:val="000000"/>
          <w:sz w:val="27"/>
          <w:szCs w:val="27"/>
        </w:rPr>
      </w:pPr>
      <w:r>
        <w:rPr>
          <w:rFonts w:hint="eastAsia" w:ascii="宋体" w:hAnsi="宋体" w:eastAsia="宋体"/>
          <w:b/>
          <w:bCs/>
          <w:color w:val="000000"/>
          <w:sz w:val="32"/>
          <w:szCs w:val="32"/>
        </w:rPr>
        <w:t>第四部分 名词解释</w:t>
      </w:r>
      <w:r>
        <w:rPr>
          <w:rFonts w:hint="eastAsia"/>
          <w:color w:val="000000"/>
          <w:sz w:val="27"/>
          <w:szCs w:val="27"/>
        </w:rPr>
        <w:t xml:space="preserve"> </w:t>
      </w:r>
    </w:p>
    <w:p>
      <w:pPr>
        <w:pStyle w:val="10"/>
        <w:spacing w:after="2"/>
        <w:ind w:firstLine="641"/>
        <w:rPr>
          <w:rFonts w:hint="eastAsia"/>
          <w:color w:val="000000"/>
          <w:sz w:val="27"/>
          <w:szCs w:val="27"/>
        </w:rPr>
      </w:pPr>
      <w:r>
        <w:rPr>
          <w:rFonts w:hint="eastAsia" w:ascii="宋体" w:hAnsi="宋体" w:eastAsia="宋体"/>
          <w:b/>
          <w:bCs/>
          <w:color w:val="000000"/>
          <w:sz w:val="32"/>
          <w:szCs w:val="32"/>
        </w:rPr>
        <w:t>第五部分 附件</w:t>
      </w:r>
      <w:r>
        <w:rPr>
          <w:rFonts w:hint="eastAsia"/>
          <w:color w:val="000000"/>
          <w:sz w:val="27"/>
          <w:szCs w:val="27"/>
        </w:rPr>
        <w:t xml:space="preserve"> </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spacing w:after="2" w:line="600" w:lineRule="atLeast"/>
        <w:jc w:val="center"/>
        <w:rPr>
          <w:rFonts w:hint="eastAsia"/>
          <w:color w:val="000000"/>
          <w:szCs w:val="21"/>
        </w:rPr>
      </w:pPr>
      <w:r>
        <w:rPr>
          <w:rFonts w:hint="eastAsia" w:ascii="宋体" w:hAnsi="宋体" w:eastAsia="宋体"/>
          <w:b/>
          <w:bCs/>
          <w:color w:val="000000"/>
          <w:sz w:val="36"/>
          <w:szCs w:val="36"/>
        </w:rPr>
        <w:t>第一部分 浏阳市社港镇人民政府概况</w:t>
      </w:r>
      <w:r>
        <w:rPr>
          <w:rFonts w:hint="eastAsia"/>
          <w:b/>
          <w:bCs/>
          <w:color w:val="000000"/>
          <w:szCs w:val="21"/>
        </w:rPr>
        <w:t xml:space="preserve"> </w:t>
      </w:r>
    </w:p>
    <w:p>
      <w:pPr>
        <w:pStyle w:val="4"/>
        <w:spacing w:before="0" w:beforeAutospacing="0" w:after="2" w:afterAutospacing="0"/>
        <w:rPr>
          <w:rFonts w:hint="eastAsia"/>
          <w:color w:val="000000"/>
        </w:rPr>
      </w:pPr>
    </w:p>
    <w:p>
      <w:pPr>
        <w:pStyle w:val="11"/>
        <w:spacing w:before="0" w:beforeAutospacing="0" w:after="2" w:afterAutospacing="0"/>
        <w:rPr>
          <w:color w:val="000000"/>
        </w:rPr>
      </w:pPr>
      <w:r>
        <w:rPr>
          <w:rFonts w:hint="eastAsia"/>
          <w:color w:val="000000"/>
          <w:sz w:val="32"/>
          <w:szCs w:val="32"/>
        </w:rPr>
        <w:t> </w:t>
      </w:r>
      <w:r>
        <w:rPr>
          <w:color w:val="000000"/>
        </w:rPr>
        <w:t xml:space="preserve"> </w:t>
      </w:r>
    </w:p>
    <w:p>
      <w:pPr>
        <w:pStyle w:val="10"/>
        <w:spacing w:after="2"/>
        <w:ind w:firstLine="641"/>
        <w:rPr>
          <w:color w:val="000000"/>
          <w:sz w:val="27"/>
          <w:szCs w:val="27"/>
        </w:rPr>
      </w:pPr>
      <w:r>
        <w:rPr>
          <w:rFonts w:hint="eastAsia" w:ascii="宋体" w:hAnsi="宋体" w:eastAsia="宋体"/>
          <w:b/>
          <w:bCs/>
          <w:color w:val="000000"/>
          <w:sz w:val="32"/>
          <w:szCs w:val="32"/>
        </w:rPr>
        <w:t>一、部门职责</w:t>
      </w:r>
      <w:r>
        <w:rPr>
          <w:rFonts w:hint="eastAsia"/>
          <w:color w:val="000000"/>
          <w:sz w:val="27"/>
          <w:szCs w:val="27"/>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（一）党政综合办：负责党政服务、深化改革、保密、档案、通讯、电子政务、机关后勤、机关节能、接待、绩效考核等工作。</w:t>
      </w:r>
      <w:r>
        <w:rPr>
          <w:rFonts w:hint="eastAsia"/>
          <w:color w:val="000000"/>
          <w:sz w:val="32"/>
          <w:szCs w:val="32"/>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（二）基层党建办：负责党建、组织、人事、网格管理、编制、老干、关工委、共青团、协会等工作。</w:t>
      </w:r>
      <w:r>
        <w:rPr>
          <w:rFonts w:hint="eastAsia"/>
          <w:color w:val="000000"/>
          <w:sz w:val="32"/>
          <w:szCs w:val="32"/>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三）经济发展办（安全生产监管办）：负责工业经济、商贸、非公经济、工商联（商会）、招商引资、统计、科技、食品安全、项目包装管理、产业项目发展、知识产权、科协、安全生产、应急管理、财税、审计、财经审批等工作。</w:t>
      </w:r>
      <w:r>
        <w:rPr>
          <w:rFonts w:hint="eastAsia"/>
          <w:color w:val="000000"/>
          <w:sz w:val="32"/>
          <w:szCs w:val="32"/>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四）农业农村办（乡村振兴办公室）：负责农业农村、烤烟、林业、畜牧、水利、“河长制”、“林长制”、“田长制”、高标准农田建设、农村扎基地用地建房审批、农村集体产权制度改革、农技农机、乡村振兴、移民、农产品质量安全、农科教、村级集体经济、森林防火、防汛抗旱等工作。</w:t>
      </w:r>
      <w:r>
        <w:rPr>
          <w:rFonts w:hint="eastAsia"/>
          <w:color w:val="000000"/>
          <w:sz w:val="32"/>
          <w:szCs w:val="32"/>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五）自然资源和生态环境办公室（蓝天碧水工作办公室）：负责宣传（意识形态）、文明创建、国土、规划、政府投资项目建设、城建、住建保障、供水、供电、能源、环境保护、土地增减挂钩、农村经营性建设土地入市、蓝天碧水等工作。</w:t>
      </w:r>
      <w:r>
        <w:rPr>
          <w:rFonts w:hint="eastAsia"/>
          <w:color w:val="000000"/>
          <w:sz w:val="32"/>
          <w:szCs w:val="32"/>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（六）社会治安和应急管理办公室:负责政法综治、校车安全、信访维稳、司法（社区矫正、行释帮教）、社区戒毒、公安、突发事件处理、重点项目环境维护、护路护线、打击非法生产、消防等工作。</w:t>
      </w:r>
      <w:r>
        <w:rPr>
          <w:rFonts w:hint="eastAsia"/>
          <w:color w:val="000000"/>
          <w:sz w:val="32"/>
          <w:szCs w:val="32"/>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（七）纪检监察室：负责纪检监察、党风廉政建设、镇村绩效考核、工作作风督查等工作。</w:t>
      </w:r>
      <w:r>
        <w:rPr>
          <w:rFonts w:hint="eastAsia"/>
          <w:color w:val="000000"/>
          <w:sz w:val="32"/>
          <w:szCs w:val="32"/>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（八）财政所：负责财政预决算编制和执行、财务管理和监督、财税、审计、涉农补贴资金发放的管理等工作。</w:t>
      </w:r>
      <w:r>
        <w:rPr>
          <w:rFonts w:hint="eastAsia"/>
          <w:color w:val="000000"/>
          <w:sz w:val="32"/>
          <w:szCs w:val="32"/>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（九）综合行政执法大队：负责政协、统战、城管、治超、集镇管理、拆违控违、校园环境综合整治、爱国卫生、农村人居环境整治、公共资源管理等工作。</w:t>
      </w:r>
      <w:r>
        <w:rPr>
          <w:rFonts w:hint="eastAsia"/>
          <w:color w:val="000000"/>
          <w:sz w:val="32"/>
          <w:szCs w:val="32"/>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（十）重点项目建设服务中心：负责营商环境优化、工会、承接市镇重点项目手续办理、路长制、交通安全、铁路建设遗留问题协调处置、粮食和物资储备等工作。</w:t>
      </w:r>
      <w:r>
        <w:rPr>
          <w:rFonts w:hint="eastAsia"/>
          <w:color w:val="000000"/>
          <w:sz w:val="32"/>
          <w:szCs w:val="32"/>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（十一）社会事业综合服务中心：负责武装、劳动就业、医保养保收缴、劳动保障、工伤、失业、殡改、残联、慈善、基层政权、村务公开、养老服务中心等工作。</w:t>
      </w:r>
      <w:r>
        <w:rPr>
          <w:rFonts w:hint="eastAsia"/>
          <w:color w:val="000000"/>
          <w:sz w:val="32"/>
          <w:szCs w:val="32"/>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（十二）政务服务中心：负责行政审批、政务中心各类审批事项、服务事项办理、“最多跑一次”、政务公开和政务服务、12345市民热线、卫生与健康、老龄、教育、文化旅游广电、妇联、退役军人事务等工作。</w:t>
      </w:r>
      <w:r>
        <w:rPr>
          <w:rFonts w:hint="eastAsia"/>
          <w:color w:val="000000"/>
          <w:sz w:val="32"/>
          <w:szCs w:val="32"/>
        </w:rPr>
        <w:t xml:space="preserve"> </w:t>
      </w:r>
    </w:p>
    <w:p>
      <w:pPr>
        <w:pStyle w:val="10"/>
        <w:spacing w:after="2"/>
        <w:ind w:firstLine="641"/>
        <w:rPr>
          <w:rFonts w:hint="eastAsia"/>
          <w:color w:val="000000"/>
          <w:sz w:val="27"/>
          <w:szCs w:val="27"/>
        </w:rPr>
      </w:pPr>
      <w:r>
        <w:rPr>
          <w:rFonts w:hint="eastAsia" w:ascii="宋体" w:hAnsi="宋体" w:eastAsia="宋体"/>
          <w:b/>
          <w:bCs/>
          <w:color w:val="000000"/>
          <w:sz w:val="32"/>
          <w:szCs w:val="32"/>
        </w:rPr>
        <w:t xml:space="preserve">二、机构设置及决算单位构成 </w:t>
      </w:r>
    </w:p>
    <w:p>
      <w:pPr>
        <w:pStyle w:val="10"/>
        <w:spacing w:after="2"/>
        <w:ind w:firstLine="641"/>
        <w:rPr>
          <w:rFonts w:hint="eastAsia"/>
          <w:color w:val="000000"/>
          <w:sz w:val="27"/>
          <w:szCs w:val="27"/>
        </w:rPr>
      </w:pPr>
      <w:r>
        <w:rPr>
          <w:rFonts w:hint="eastAsia" w:ascii="宋体" w:hAnsi="宋体" w:eastAsia="宋体"/>
          <w:b/>
          <w:bCs/>
          <w:color w:val="000000"/>
          <w:sz w:val="32"/>
          <w:szCs w:val="32"/>
        </w:rPr>
        <w:t>（一）内设机构设置</w:t>
      </w:r>
      <w:r>
        <w:rPr>
          <w:rFonts w:hint="eastAsia"/>
          <w:b/>
          <w:bCs/>
          <w:color w:val="000000"/>
          <w:sz w:val="27"/>
          <w:szCs w:val="27"/>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浏阳市社港镇人民政府内设机构12个包括：党政综合办公室、 基层党建办公室、经济发展办公室（安全生产监管办）、农业农村 公室（乡村振兴工作办公室）、自然资源和生态环境办公室（蓝天 水工作办公室）、公共安全和应急管理办公室（社会治安综合治理 心）、纪检监察室、财政所；重点项目建设服务中心、社会事业综合服务中心、政务服务中心、综合行政执法大队。本部门共有编制人数107人，实有人数107人。</w:t>
      </w:r>
      <w:r>
        <w:rPr>
          <w:rFonts w:hint="eastAsia"/>
          <w:color w:val="000000"/>
          <w:sz w:val="27"/>
          <w:szCs w:val="27"/>
        </w:rPr>
        <w:t xml:space="preserve"> </w:t>
      </w:r>
    </w:p>
    <w:p>
      <w:pPr>
        <w:pStyle w:val="10"/>
        <w:spacing w:after="2"/>
        <w:ind w:firstLine="641"/>
        <w:rPr>
          <w:rFonts w:hint="eastAsia"/>
          <w:color w:val="000000"/>
          <w:sz w:val="27"/>
          <w:szCs w:val="27"/>
        </w:rPr>
      </w:pPr>
      <w:r>
        <w:rPr>
          <w:rFonts w:hint="eastAsia" w:ascii="宋体" w:hAnsi="宋体" w:eastAsia="宋体"/>
          <w:b/>
          <w:bCs/>
          <w:color w:val="000000"/>
          <w:sz w:val="32"/>
          <w:szCs w:val="32"/>
        </w:rPr>
        <w:t>（二）决算单位构成</w:t>
      </w:r>
      <w:r>
        <w:rPr>
          <w:rFonts w:hint="eastAsia"/>
          <w:b/>
          <w:bCs/>
          <w:color w:val="000000"/>
          <w:sz w:val="27"/>
          <w:szCs w:val="27"/>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浏阳市社港镇人民政府2022年部门决算汇总公开单位构成包括：</w:t>
      </w:r>
      <w:r>
        <w:rPr>
          <w:rFonts w:hint="eastAsia" w:ascii="宋体" w:hAnsi="宋体" w:eastAsia="宋体"/>
          <w:color w:val="000000"/>
          <w:sz w:val="32"/>
          <w:szCs w:val="32"/>
          <w:shd w:val="clear" w:color="auto" w:fill="FFFFFF"/>
        </w:rPr>
        <w:t>浏阳市社港镇人民政府</w:t>
      </w:r>
      <w:r>
        <w:rPr>
          <w:rFonts w:hint="eastAsia" w:ascii="宋体" w:hAnsi="宋体" w:eastAsia="宋体"/>
          <w:color w:val="000000"/>
          <w:sz w:val="32"/>
          <w:szCs w:val="32"/>
        </w:rPr>
        <w:t>本级。</w:t>
      </w:r>
      <w:r>
        <w:rPr>
          <w:rFonts w:hint="eastAsia" w:ascii="宋体" w:hAnsi="宋体" w:eastAsia="宋体"/>
          <w:b/>
          <w:bCs/>
          <w:color w:val="000000"/>
          <w:sz w:val="32"/>
          <w:szCs w:val="32"/>
        </w:rPr>
        <w:t xml:space="preserve"> </w:t>
      </w:r>
    </w:p>
    <w:p>
      <w:pPr>
        <w:pStyle w:val="4"/>
        <w:spacing w:before="0" w:beforeAutospacing="0" w:after="2" w:afterAutospacing="0"/>
        <w:rPr>
          <w:rFonts w:hint="eastAsia"/>
          <w:color w:val="000000"/>
        </w:rPr>
      </w:pPr>
    </w:p>
    <w:p>
      <w:pPr>
        <w:pStyle w:val="4"/>
        <w:spacing w:before="0" w:beforeAutospacing="0" w:after="2" w:afterAutospacing="0"/>
        <w:rPr>
          <w:color w:val="000000"/>
        </w:rPr>
      </w:pPr>
    </w:p>
    <w:p>
      <w:pPr>
        <w:pStyle w:val="4"/>
        <w:spacing w:before="0" w:beforeAutospacing="0" w:after="2" w:afterAutospacing="0"/>
        <w:rPr>
          <w:color w:val="000000"/>
        </w:rPr>
      </w:pPr>
    </w:p>
    <w:p>
      <w:pPr>
        <w:widowControl/>
        <w:jc w:val="left"/>
        <w:rPr>
          <w:rFonts w:ascii="宋体" w:hAnsi="宋体" w:eastAsia="宋体" w:cs="宋体"/>
          <w:color w:val="000000"/>
          <w:kern w:val="0"/>
          <w:sz w:val="24"/>
          <w:szCs w:val="24"/>
        </w:rPr>
        <w:sectPr>
          <w:pgSz w:w="11906" w:h="16838" w:orient="landscape"/>
          <w:pgMar w:top="1440" w:right="1080" w:bottom="1440" w:left="1080" w:header="851" w:footer="992" w:gutter="0"/>
          <w:cols w:space="425" w:num="1"/>
          <w:docGrid w:type="lines" w:linePitch="160" w:charSpace="0"/>
        </w:sectPr>
      </w:pPr>
    </w:p>
    <w:p>
      <w:pPr>
        <w:spacing w:after="2"/>
        <w:ind w:firstLine="721"/>
        <w:jc w:val="center"/>
        <w:rPr>
          <w:color w:val="000000"/>
          <w:szCs w:val="21"/>
        </w:rPr>
      </w:pPr>
    </w:p>
    <w:p>
      <w:pPr>
        <w:spacing w:after="2"/>
        <w:ind w:firstLine="721"/>
        <w:jc w:val="center"/>
        <w:rPr>
          <w:rFonts w:hint="eastAsia"/>
          <w:color w:val="000000"/>
          <w:szCs w:val="21"/>
        </w:rPr>
      </w:pPr>
      <w:r>
        <w:rPr>
          <w:rFonts w:hint="eastAsia" w:ascii="宋体" w:hAnsi="宋体" w:eastAsia="宋体"/>
          <w:b/>
          <w:bCs/>
          <w:color w:val="000000"/>
          <w:sz w:val="36"/>
          <w:szCs w:val="36"/>
        </w:rPr>
        <w:t>第二部分 2022年度部门决算表</w:t>
      </w:r>
      <w:r>
        <w:rPr>
          <w:rFonts w:hint="eastAsia"/>
          <w:color w:val="000000"/>
          <w:szCs w:val="21"/>
        </w:rPr>
        <w:t xml:space="preserve"> </w:t>
      </w:r>
    </w:p>
    <w:p>
      <w:pPr>
        <w:pStyle w:val="4"/>
        <w:spacing w:before="0" w:beforeAutospacing="0" w:after="2" w:afterAutospacing="0"/>
        <w:rPr>
          <w:rFonts w:hint="eastAsia"/>
          <w:color w:val="000000"/>
        </w:rPr>
      </w:pPr>
    </w:p>
    <w:p>
      <w:pPr>
        <w:spacing w:after="2"/>
        <w:jc w:val="center"/>
        <w:rPr>
          <w:color w:val="000000"/>
          <w:szCs w:val="21"/>
        </w:rPr>
      </w:pPr>
    </w:p>
    <w:tbl>
      <w:tblPr>
        <w:tblStyle w:val="5"/>
        <w:tblW w:w="5000" w:type="pct"/>
        <w:jc w:val="center"/>
        <w:tblCellSpacing w:w="0" w:type="dxa"/>
        <w:tblLayout w:type="autofit"/>
        <w:tblCellMar>
          <w:top w:w="0" w:type="dxa"/>
          <w:left w:w="0" w:type="dxa"/>
          <w:bottom w:w="0" w:type="dxa"/>
          <w:right w:w="0" w:type="dxa"/>
        </w:tblCellMar>
      </w:tblPr>
      <w:tblGrid>
        <w:gridCol w:w="4802"/>
        <w:gridCol w:w="648"/>
        <w:gridCol w:w="2569"/>
        <w:gridCol w:w="4802"/>
        <w:gridCol w:w="648"/>
        <w:gridCol w:w="2569"/>
      </w:tblGrid>
      <w:tr>
        <w:tblPrEx>
          <w:tblCellMar>
            <w:top w:w="0" w:type="dxa"/>
            <w:left w:w="0" w:type="dxa"/>
            <w:bottom w:w="0" w:type="dxa"/>
            <w:right w:w="0" w:type="dxa"/>
          </w:tblCellMar>
        </w:tblPrEx>
        <w:trPr>
          <w:tblCellSpacing w:w="0" w:type="dxa"/>
          <w:jc w:val="center"/>
        </w:trPr>
        <w:tc>
          <w:tcPr>
            <w:tcW w:w="5000" w:type="pct"/>
            <w:gridSpan w:val="6"/>
            <w:vAlign w:val="center"/>
          </w:tcPr>
          <w:p>
            <w:pPr>
              <w:pStyle w:val="4"/>
              <w:jc w:val="center"/>
              <w:rPr>
                <w:sz w:val="40"/>
                <w:szCs w:val="40"/>
              </w:rPr>
            </w:pPr>
            <w:r>
              <w:rPr>
                <w:rFonts w:hint="eastAsia"/>
                <w:sz w:val="40"/>
                <w:szCs w:val="40"/>
              </w:rPr>
              <w:t xml:space="preserve">收入支出决算总表 </w:t>
            </w:r>
          </w:p>
        </w:tc>
      </w:tr>
      <w:tr>
        <w:tblPrEx>
          <w:tblCellMar>
            <w:top w:w="0" w:type="dxa"/>
            <w:left w:w="0" w:type="dxa"/>
            <w:bottom w:w="0" w:type="dxa"/>
            <w:right w:w="0" w:type="dxa"/>
          </w:tblCellMar>
        </w:tblPrEx>
        <w:trPr>
          <w:tblCellSpacing w:w="0" w:type="dxa"/>
          <w:jc w:val="center"/>
        </w:trPr>
        <w:tc>
          <w:tcPr>
            <w:tcW w:w="1497" w:type="pct"/>
            <w:vAlign w:val="center"/>
          </w:tcPr>
          <w:p>
            <w:pPr>
              <w:pStyle w:val="4"/>
            </w:pPr>
          </w:p>
        </w:tc>
        <w:tc>
          <w:tcPr>
            <w:tcW w:w="202" w:type="pct"/>
            <w:vAlign w:val="center"/>
          </w:tcPr>
          <w:p>
            <w:pPr>
              <w:pStyle w:val="4"/>
            </w:pPr>
          </w:p>
        </w:tc>
        <w:tc>
          <w:tcPr>
            <w:tcW w:w="799" w:type="pct"/>
            <w:vAlign w:val="center"/>
          </w:tcPr>
          <w:p>
            <w:pPr>
              <w:pStyle w:val="4"/>
            </w:pPr>
          </w:p>
        </w:tc>
        <w:tc>
          <w:tcPr>
            <w:tcW w:w="1497" w:type="pct"/>
            <w:vAlign w:val="center"/>
          </w:tcPr>
          <w:p>
            <w:pPr>
              <w:pStyle w:val="4"/>
            </w:pPr>
          </w:p>
        </w:tc>
        <w:tc>
          <w:tcPr>
            <w:tcW w:w="1002" w:type="pct"/>
            <w:gridSpan w:val="2"/>
            <w:vAlign w:val="center"/>
          </w:tcPr>
          <w:p>
            <w:pPr>
              <w:pStyle w:val="4"/>
              <w:jc w:val="right"/>
            </w:pPr>
            <w:r>
              <w:rPr>
                <w:rFonts w:hint="eastAsia"/>
              </w:rPr>
              <w:t xml:space="preserve">公开01表 </w:t>
            </w:r>
          </w:p>
        </w:tc>
      </w:tr>
      <w:tr>
        <w:tblPrEx>
          <w:tblCellMar>
            <w:top w:w="0" w:type="dxa"/>
            <w:left w:w="0" w:type="dxa"/>
            <w:bottom w:w="0" w:type="dxa"/>
            <w:right w:w="0" w:type="dxa"/>
          </w:tblCellMar>
        </w:tblPrEx>
        <w:trPr>
          <w:tblCellSpacing w:w="0" w:type="dxa"/>
          <w:jc w:val="center"/>
        </w:trPr>
        <w:tc>
          <w:tcPr>
            <w:tcW w:w="3997" w:type="pct"/>
            <w:gridSpan w:val="4"/>
            <w:vAlign w:val="center"/>
          </w:tcPr>
          <w:p>
            <w:pPr>
              <w:pStyle w:val="4"/>
            </w:pPr>
            <w:r>
              <w:rPr>
                <w:rFonts w:hint="eastAsia"/>
              </w:rPr>
              <w:t xml:space="preserve">部门：浏阳市社港镇人民政府 </w:t>
            </w:r>
          </w:p>
        </w:tc>
        <w:tc>
          <w:tcPr>
            <w:tcW w:w="1002" w:type="pct"/>
            <w:gridSpan w:val="2"/>
            <w:vAlign w:val="center"/>
          </w:tcPr>
          <w:p>
            <w:pPr>
              <w:pStyle w:val="4"/>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2500"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收入 </w:t>
            </w:r>
          </w:p>
        </w:tc>
        <w:tc>
          <w:tcPr>
            <w:tcW w:w="2500"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支出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项目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行次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金额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项目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行次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金额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栏次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栏次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一、一般公共预算财政拨款收入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6,892.45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一、一般公共服务支出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1,556.99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二、政府性基金预算财政拨款收入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322.65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二、外交支出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三、国有资本经营预算财政拨款收入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三、国防支出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四、上级补助收入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四、公共安全支出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49.05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五、事业收入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五、教育支出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107.20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六、经营收入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六、科学技术支出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七、附属单位上缴收入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七、文化旅游体育与传媒支出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148.24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八、其他收入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1,354.76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八、社会保障和就业支出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797.57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九、卫生健康支出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44.26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十、节能环保支出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723.94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十一、城乡社区支出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838.52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十二、农林水支出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3,689.19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十三、交通运输支出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309.08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十四、资源勘探工业信息等支出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十五、商业服务业等支出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28.86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十六、金融支出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十七、援助其他地区支出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十八、自然资源海洋气象等支出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十九、住房保障支出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二十、粮油物资储备支出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二十一、国有资本经营预算支出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二十二、灾害防治及应急管理支出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122.43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二十三、其他支出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98.00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jc w:val="center"/>
              <w:rPr>
                <w:b/>
                <w:bCs/>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二十四、债务还本支出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二十五、债务付息支出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二十六、抗疫特别国债安排的支出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jc w:val="center"/>
              <w:rPr>
                <w:b/>
                <w:bCs/>
              </w:rPr>
            </w:pPr>
            <w:r>
              <w:rPr>
                <w:rFonts w:hint="eastAsia"/>
                <w:b/>
                <w:bCs/>
              </w:rPr>
              <w:t xml:space="preserve">本年收入合计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8,570.64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jc w:val="center"/>
              <w:rPr>
                <w:b/>
                <w:bCs/>
              </w:rPr>
            </w:pPr>
            <w:r>
              <w:rPr>
                <w:rFonts w:hint="eastAsia"/>
                <w:b/>
                <w:bCs/>
              </w:rPr>
              <w:t xml:space="preserve">本年支出合计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8,570.64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使用非财政拨款结余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结余分配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年初结转和结余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年末结转和结余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60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61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4"/>
              <w:jc w:val="center"/>
              <w:rPr>
                <w:b/>
                <w:bCs/>
              </w:rPr>
            </w:pPr>
            <w:r>
              <w:rPr>
                <w:rFonts w:hint="eastAsia"/>
                <w:b/>
                <w:bCs/>
              </w:rPr>
              <w:t xml:space="preserve">总计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8,570.64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4"/>
              <w:jc w:val="center"/>
              <w:rPr>
                <w:b/>
                <w:bCs/>
              </w:rPr>
            </w:pPr>
            <w:r>
              <w:rPr>
                <w:rFonts w:hint="eastAsia"/>
                <w:b/>
                <w:bCs/>
              </w:rPr>
              <w:t xml:space="preserve">总计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62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8,570.64 </w:t>
            </w:r>
          </w:p>
        </w:tc>
      </w:tr>
      <w:tr>
        <w:tblPrEx>
          <w:tblCellMar>
            <w:top w:w="0" w:type="dxa"/>
            <w:left w:w="0" w:type="dxa"/>
            <w:bottom w:w="0" w:type="dxa"/>
            <w:right w:w="0" w:type="dxa"/>
          </w:tblCellMar>
        </w:tblPrEx>
        <w:trPr>
          <w:tblCellSpacing w:w="0" w:type="dxa"/>
          <w:jc w:val="center"/>
        </w:trPr>
        <w:tc>
          <w:tcPr>
            <w:tcW w:w="5000" w:type="pct"/>
            <w:gridSpan w:val="6"/>
            <w:vAlign w:val="center"/>
          </w:tcPr>
          <w:p>
            <w:pPr>
              <w:pStyle w:val="4"/>
            </w:pPr>
            <w:r>
              <w:rPr>
                <w:rFonts w:hint="eastAsia"/>
              </w:rPr>
              <w:t xml:space="preserve">注：1.本表反映部门本年度的总收支和年末结转结余情况。2.本套报表金额单位转换时可能存在尾数误差。 </w:t>
            </w:r>
          </w:p>
        </w:tc>
      </w:tr>
    </w:tbl>
    <w:p>
      <w:pPr>
        <w:pStyle w:val="4"/>
        <w:rPr>
          <w:rFonts w:hint="eastAsia"/>
          <w:color w:val="000000"/>
        </w:rPr>
      </w:pPr>
    </w:p>
    <w:p>
      <w:pPr>
        <w:spacing w:after="2"/>
        <w:jc w:val="center"/>
        <w:rPr>
          <w:color w:val="000000"/>
          <w:szCs w:val="21"/>
        </w:rPr>
      </w:pPr>
    </w:p>
    <w:tbl>
      <w:tblPr>
        <w:tblStyle w:val="5"/>
        <w:tblW w:w="5000" w:type="pct"/>
        <w:jc w:val="center"/>
        <w:tblCellSpacing w:w="0" w:type="dxa"/>
        <w:tblLayout w:type="autofit"/>
        <w:tblCellMar>
          <w:top w:w="0" w:type="dxa"/>
          <w:left w:w="0" w:type="dxa"/>
          <w:bottom w:w="0" w:type="dxa"/>
          <w:right w:w="0" w:type="dxa"/>
        </w:tblCellMar>
      </w:tblPr>
      <w:tblGrid>
        <w:gridCol w:w="484"/>
        <w:gridCol w:w="484"/>
        <w:gridCol w:w="491"/>
        <w:gridCol w:w="3060"/>
        <w:gridCol w:w="2085"/>
        <w:gridCol w:w="1530"/>
        <w:gridCol w:w="1530"/>
        <w:gridCol w:w="1530"/>
        <w:gridCol w:w="1530"/>
        <w:gridCol w:w="1780"/>
        <w:gridCol w:w="1534"/>
      </w:tblGrid>
      <w:tr>
        <w:tblPrEx>
          <w:tblCellMar>
            <w:top w:w="0" w:type="dxa"/>
            <w:left w:w="0" w:type="dxa"/>
            <w:bottom w:w="0" w:type="dxa"/>
            <w:right w:w="0" w:type="dxa"/>
          </w:tblCellMar>
        </w:tblPrEx>
        <w:trPr>
          <w:tblCellSpacing w:w="0" w:type="dxa"/>
          <w:jc w:val="center"/>
        </w:trPr>
        <w:tc>
          <w:tcPr>
            <w:tcW w:w="5000" w:type="pct"/>
            <w:gridSpan w:val="11"/>
            <w:vAlign w:val="center"/>
          </w:tcPr>
          <w:p>
            <w:pPr>
              <w:pStyle w:val="4"/>
              <w:jc w:val="center"/>
              <w:rPr>
                <w:sz w:val="40"/>
                <w:szCs w:val="40"/>
              </w:rPr>
            </w:pPr>
            <w:r>
              <w:rPr>
                <w:rFonts w:hint="eastAsia"/>
                <w:sz w:val="40"/>
                <w:szCs w:val="40"/>
              </w:rPr>
              <w:t xml:space="preserve">收入决算表 </w:t>
            </w:r>
          </w:p>
        </w:tc>
      </w:tr>
      <w:tr>
        <w:tblPrEx>
          <w:tblCellMar>
            <w:top w:w="0" w:type="dxa"/>
            <w:left w:w="0" w:type="dxa"/>
            <w:bottom w:w="0" w:type="dxa"/>
            <w:right w:w="0" w:type="dxa"/>
          </w:tblCellMar>
        </w:tblPrEx>
        <w:trPr>
          <w:tblCellSpacing w:w="0" w:type="dxa"/>
          <w:jc w:val="center"/>
        </w:trPr>
        <w:tc>
          <w:tcPr>
            <w:tcW w:w="151" w:type="pct"/>
            <w:vAlign w:val="center"/>
          </w:tcPr>
          <w:p>
            <w:pPr>
              <w:pStyle w:val="4"/>
            </w:pPr>
          </w:p>
        </w:tc>
        <w:tc>
          <w:tcPr>
            <w:tcW w:w="151" w:type="pct"/>
            <w:vAlign w:val="center"/>
          </w:tcPr>
          <w:p>
            <w:pPr>
              <w:pStyle w:val="4"/>
            </w:pPr>
          </w:p>
        </w:tc>
        <w:tc>
          <w:tcPr>
            <w:tcW w:w="151" w:type="pct"/>
            <w:vAlign w:val="center"/>
          </w:tcPr>
          <w:p>
            <w:pPr>
              <w:pStyle w:val="4"/>
            </w:pPr>
          </w:p>
        </w:tc>
        <w:tc>
          <w:tcPr>
            <w:tcW w:w="954" w:type="pct"/>
            <w:vAlign w:val="center"/>
          </w:tcPr>
          <w:p>
            <w:pPr>
              <w:pStyle w:val="4"/>
            </w:pPr>
          </w:p>
        </w:tc>
        <w:tc>
          <w:tcPr>
            <w:tcW w:w="650" w:type="pct"/>
            <w:vAlign w:val="center"/>
          </w:tcPr>
          <w:p>
            <w:pPr>
              <w:pStyle w:val="4"/>
            </w:pPr>
          </w:p>
        </w:tc>
        <w:tc>
          <w:tcPr>
            <w:tcW w:w="477" w:type="pct"/>
            <w:vAlign w:val="center"/>
          </w:tcPr>
          <w:p>
            <w:pPr>
              <w:pStyle w:val="4"/>
            </w:pPr>
          </w:p>
        </w:tc>
        <w:tc>
          <w:tcPr>
            <w:tcW w:w="477" w:type="pct"/>
            <w:vAlign w:val="center"/>
          </w:tcPr>
          <w:p>
            <w:pPr>
              <w:pStyle w:val="4"/>
            </w:pPr>
          </w:p>
        </w:tc>
        <w:tc>
          <w:tcPr>
            <w:tcW w:w="477" w:type="pct"/>
            <w:vAlign w:val="center"/>
          </w:tcPr>
          <w:p>
            <w:pPr>
              <w:pStyle w:val="4"/>
            </w:pPr>
          </w:p>
        </w:tc>
        <w:tc>
          <w:tcPr>
            <w:tcW w:w="477" w:type="pct"/>
            <w:vAlign w:val="center"/>
          </w:tcPr>
          <w:p>
            <w:pPr>
              <w:pStyle w:val="4"/>
            </w:pPr>
          </w:p>
        </w:tc>
        <w:tc>
          <w:tcPr>
            <w:tcW w:w="1032" w:type="pct"/>
            <w:gridSpan w:val="2"/>
            <w:vAlign w:val="center"/>
          </w:tcPr>
          <w:p>
            <w:pPr>
              <w:pStyle w:val="4"/>
              <w:jc w:val="right"/>
            </w:pPr>
            <w:r>
              <w:rPr>
                <w:rFonts w:hint="eastAsia"/>
              </w:rPr>
              <w:t xml:space="preserve">公开02表 </w:t>
            </w:r>
          </w:p>
        </w:tc>
      </w:tr>
      <w:tr>
        <w:tblPrEx>
          <w:tblCellMar>
            <w:top w:w="0" w:type="dxa"/>
            <w:left w:w="0" w:type="dxa"/>
            <w:bottom w:w="0" w:type="dxa"/>
            <w:right w:w="0" w:type="dxa"/>
          </w:tblCellMar>
        </w:tblPrEx>
        <w:trPr>
          <w:tblCellSpacing w:w="0" w:type="dxa"/>
          <w:jc w:val="center"/>
        </w:trPr>
        <w:tc>
          <w:tcPr>
            <w:tcW w:w="3967" w:type="pct"/>
            <w:gridSpan w:val="9"/>
            <w:vAlign w:val="center"/>
          </w:tcPr>
          <w:p>
            <w:pPr>
              <w:pStyle w:val="4"/>
            </w:pPr>
            <w:r>
              <w:rPr>
                <w:rFonts w:hint="eastAsia"/>
              </w:rPr>
              <w:t xml:space="preserve">部门：浏阳市社港镇人民政府 </w:t>
            </w:r>
          </w:p>
        </w:tc>
        <w:tc>
          <w:tcPr>
            <w:tcW w:w="1032" w:type="pct"/>
            <w:gridSpan w:val="2"/>
            <w:vAlign w:val="center"/>
          </w:tcPr>
          <w:p>
            <w:pPr>
              <w:pStyle w:val="4"/>
              <w:jc w:val="right"/>
            </w:pPr>
            <w:r>
              <w:rPr>
                <w:rFonts w:hint="eastAsia"/>
              </w:rPr>
              <w:t xml:space="preserve">金额单位：万元 </w:t>
            </w:r>
          </w:p>
        </w:tc>
      </w:tr>
      <w:tr>
        <w:tblPrEx>
          <w:tblCellMar>
            <w:top w:w="0" w:type="dxa"/>
            <w:left w:w="0" w:type="dxa"/>
            <w:bottom w:w="0" w:type="dxa"/>
            <w:right w:w="0" w:type="dxa"/>
          </w:tblCellMar>
        </w:tblPrEx>
        <w:trPr>
          <w:trHeight w:val="311" w:hRule="atLeast"/>
          <w:tblCellSpacing w:w="0" w:type="dxa"/>
          <w:jc w:val="center"/>
        </w:trPr>
        <w:tc>
          <w:tcPr>
            <w:tcW w:w="455"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本年收入合计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财政拨款收入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上级补助收入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事业收入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经营收入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附属单位上缴收入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其他收入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09"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栏次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7 </w:t>
            </w:r>
          </w:p>
        </w:tc>
      </w:tr>
      <w:tr>
        <w:tblPrEx>
          <w:tblCellMar>
            <w:top w:w="0" w:type="dxa"/>
            <w:left w:w="0" w:type="dxa"/>
            <w:bottom w:w="0" w:type="dxa"/>
            <w:right w:w="0" w:type="dxa"/>
          </w:tblCellMar>
        </w:tblPrEx>
        <w:trPr>
          <w:tblCellSpacing w:w="0" w:type="dxa"/>
          <w:jc w:val="center"/>
        </w:trPr>
        <w:tc>
          <w:tcPr>
            <w:tcW w:w="1409"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合计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8,570.64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7,215.88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1,354.76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一般公共服务支出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1,556.99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1,543.57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13.42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人大事务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14.52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0.50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2010102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10.52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10.52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2010108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代表工作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0.50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政协事务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2010299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其他政协事务支出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20103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政府办公厅（室）及相关机构事务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1,117.36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1,117.36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2010301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行政运行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594.06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594.06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2010350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事业运行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504.31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504.31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2010399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其他政府办公厅（室）及相关机构事务支出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18.99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18.99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发展与改革事务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204.30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204.30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2010499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其他发展与改革事务支出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204.30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204.30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财政事务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155.81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155.81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2010601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行政运行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99.97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99.97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2010602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11.84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11.84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2010699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其他财政事务支出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44.00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44.00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20113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商贸事务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13.30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13.30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2011308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招商引资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5.30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5.30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2011399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其他商贸事务支出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20126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档案事务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2012699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其他档案事务支出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党委办公厅（室）及相关机构事务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2013105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专项业务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2013199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其他党委办公厅（室）及相关机构事务支出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组织事务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36.88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24.96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11.92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2013202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34.96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24.96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2013250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事业运行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1.92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市场监督管理事务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2013816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食品安全监管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2013899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其他市场监督管理事务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公共安全支出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49.05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48.85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0.20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公安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0.20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2040202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0.20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20406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司法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46.93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46.93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2040601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行政运行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31.21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31.21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2040602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15.72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15.72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教育支出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107.20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87.20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普通教育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62.20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62.20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2050202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小学教育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2050299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其他普通教育支出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32.20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32.20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20509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教育费附加安排的支出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2050999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其他教育费附加安排的支出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其他教育支出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2059999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其他教育支出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科学技术支出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20604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技术研究与开发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2060499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其他技术研究与开发支出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文化旅游体育与传媒支出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148.24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143.96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4.28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文化和旅游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43.80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43.80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2070108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文化活动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2070109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群众文化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2070199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其他文化和旅游支出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29.00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29.00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文物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0.68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2070204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文物保护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2070206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历史名城与古迹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0.68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0.68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广播电视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37.75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36.15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2070808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广播电视事务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36.15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36.15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2070899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其他广播电视支出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其他文化旅游体育与传媒支出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63.00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61.00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2079902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宣传文化发展专项支出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2079999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其他文化旅游体育与传媒支出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61.00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61.00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社会保障和就业支出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797.57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773.31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24.26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人力资源和社会保障管理事务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148.21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148.21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2080109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社会保险经办机构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2080150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事业运行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144.40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144.40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民政管理事务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2080208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基层政权建设和社区治理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2080299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其他民政管理事务支出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行政事业单位养老支出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302.71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302.71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2080501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行政单位离退休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261.96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261.96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2080502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事业单位离退休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12.96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12.96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2080506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机关事业单位职业年金缴费支出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27.79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27.79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20807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就业补助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2080799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其他就业补助支出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抚恤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10.79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0.79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2080899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其他优抚支出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10.79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0.79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退役安置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11.68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11.68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2080999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其他退役安置支出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11.68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11.68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20810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社会福利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3.50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3.50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2081005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社会福利事业单位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2081099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其他社会福利支出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残疾人事业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18.61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12.31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6.30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2081105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残疾人就业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2081199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其他残疾人事业支出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13.50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7.20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6.30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红十字事业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2081699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其他红十字事业支出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20820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临时救助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18.49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13.32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5.17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2082001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临时救助支出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18.49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13.32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5.17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大中型水库移民后期扶持基金支出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2082201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移民补助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2082202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基础设施建设和经济发展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退役军人管理事务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210.57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210.57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2082802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21.99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21.99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2082850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事业运行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172.58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172.58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2082899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其他退役军人事务管理支出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其他社会保障和就业支出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2089999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其他社会保障和就业支出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卫生健康支出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44.26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42.93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1.33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21004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公共卫生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16.63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16.63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2100408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基本公共卫生服务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2100499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其他公共卫生支出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21007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计划生育事务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1.33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2100717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计划生育服务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1.33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21014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优抚对象医疗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2101401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优抚对象医疗补助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其他卫生健康支出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2109999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其他卫生健康支出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节能环保支出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723.94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576.94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147.00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21103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污染防治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171.00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171.00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2110302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水体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2110399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其他污染防治支出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自然生态保护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528.94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389.94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139.00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2110402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农村环境保护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528.94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389.94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139.00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天然林保护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2110507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停伐补助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21110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能源节约利用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2111001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能源节约利用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城乡社区支出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838.52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798.12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40.40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城乡社区管理事务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207.35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200.62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6.73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2120101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行政运行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200.62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200.62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2120199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其他城乡社区管理事务支出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6.73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6.73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21203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城乡社区公共设施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227.99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199.31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28.67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2120303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小城镇基础设施建设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2120399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其他城乡社区公共设施支出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219.99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191.31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28.67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城乡社区环境卫生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33.16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33.16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2120501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城乡社区环境卫生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33.16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33.16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国有土地使用权出让收入安排的支出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188.53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183.53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2120804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农村基础设施建设支出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183.53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183.53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2120806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土地出让业务支出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21213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城市基础设施配套费安排的支出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14.12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14.12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2121399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其他城市基础设施配套费安排的支出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14.12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14.12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其他城乡社区支出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167.37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167.37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2129999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其他城乡社区支出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167.37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167.37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农林水支出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3,689.19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2,810.22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878.97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农业农村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1,173.22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623.76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549.45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2130104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事业运行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199.13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199.13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2130108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病虫害控制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2130119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防灾救灾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32.24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32.24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2130121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农业结构调整补贴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34.35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34.30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0.05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2130122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农业生产发展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36.58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36.58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2130124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农村合作经济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19.83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19.83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2130126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农村社会事业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67.47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43.29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24.18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2130142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农村道路建设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106.24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106.24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其他农业农村支出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668.37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255.39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412.98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林业和草原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168.80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168.80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2130205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森林资源培育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17.43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17.43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2130207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森林资源管理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2130209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森林生态效益补偿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55.47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55.47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2130299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其他林业和草原支出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67.00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67.00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水利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590.83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386.31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204.52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2130304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水利行业业务管理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53.02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53.02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2130305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水利工程建设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86.32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76.08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10.24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2130306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水利工程运行与维护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152.66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32.66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2130314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防汛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2130315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抗旱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2130316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农村水利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2130321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大中型水库移民后期扶持专项支出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2130335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农村人畜饮水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34.00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其他水利支出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217.84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173.56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44.28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巩固脱贫衔接乡村振兴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597.50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472.50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125.00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2130504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农村基础设施建设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2130599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其他巩固脱贫衔接乡村振兴支出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587.50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462.50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125.00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21307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农村综合改革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561.74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561.74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2130701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对村级公益事业建设的补助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91.00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91.00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2130705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对村民委员会和村党支部的补助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470.74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470.74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普惠金融发展支出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2130899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其他普惠金融发展支出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其他农林水支出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592.90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592.90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2139999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其他农林水支出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592.90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592.90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交通运输支出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309.08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130.68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178.40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公路水路运输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246.66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68.26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178.40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2140104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公路建设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2140106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公路养护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197.70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23.70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174.00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2140199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其他公路水路运输支出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47.90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43.50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4.40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车辆购置税支出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62.42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62.42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2140601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车辆购置税用于公路等基础设施建设支出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62.42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62.42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资源勘探工业信息等支出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21599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其他资源勘探工业信息等支出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2159999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其他资源勘探工业信息等支出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商业服务业等支出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21602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商业流通事务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23.86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23.86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2160299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其他商业流通事务支出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23.86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23.86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21699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其他商业服务业等支出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2169999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其他商业服务业等支出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220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自然资源海洋气象等支出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22001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自然资源事务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2200101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行政运行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住房保障支出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22101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保障性安居工程支出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2210106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公共租赁住房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粮油物资储备支出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22201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粮油物资事务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2220199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其他粮油物资事务支出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223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国有资本经营预算支出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22301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解决历史遗留问题及改革成本支出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2230105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国有企业退休人员社会化管理补助支出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灾害防治及应急管理支出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122.43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83.43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39.00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应急管理事务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27.43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27.43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2240199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其他应急管理支出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27.43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27.43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矿山安全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39.00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39.00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2240499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其他矿山安全支出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39.00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39.00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自然灾害防治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2240601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地质灾害防治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98.00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22960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彩票公益金安排的支出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98.00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2296002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用于社会福利的彩票公益金支出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33.00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2296003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用于体育事业的彩票公益金支出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65.00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000" w:type="pct"/>
            <w:gridSpan w:val="11"/>
            <w:vAlign w:val="center"/>
          </w:tcPr>
          <w:p>
            <w:pPr>
              <w:pStyle w:val="4"/>
            </w:pPr>
            <w:r>
              <w:rPr>
                <w:rFonts w:hint="eastAsia"/>
              </w:rPr>
              <w:t xml:space="preserve">注：本表反映部门本年度取得的各项收入情况。本表金额转换为万元时，因四舍五入可能存在尾数误差。 </w:t>
            </w:r>
          </w:p>
        </w:tc>
      </w:tr>
    </w:tbl>
    <w:p>
      <w:pPr>
        <w:pStyle w:val="4"/>
        <w:rPr>
          <w:rFonts w:hint="eastAsia"/>
          <w:color w:val="000000"/>
        </w:rPr>
      </w:pPr>
    </w:p>
    <w:p>
      <w:pPr>
        <w:spacing w:after="2"/>
        <w:jc w:val="center"/>
        <w:rPr>
          <w:color w:val="000000"/>
          <w:szCs w:val="21"/>
        </w:rPr>
      </w:pPr>
    </w:p>
    <w:tbl>
      <w:tblPr>
        <w:tblStyle w:val="5"/>
        <w:tblW w:w="5000" w:type="pct"/>
        <w:jc w:val="center"/>
        <w:tblCellSpacing w:w="0" w:type="dxa"/>
        <w:tblLayout w:type="autofit"/>
        <w:tblCellMar>
          <w:top w:w="0" w:type="dxa"/>
          <w:left w:w="0" w:type="dxa"/>
          <w:bottom w:w="0" w:type="dxa"/>
          <w:right w:w="0" w:type="dxa"/>
        </w:tblCellMar>
      </w:tblPr>
      <w:tblGrid>
        <w:gridCol w:w="545"/>
        <w:gridCol w:w="545"/>
        <w:gridCol w:w="552"/>
        <w:gridCol w:w="3442"/>
        <w:gridCol w:w="2345"/>
        <w:gridCol w:w="1719"/>
        <w:gridCol w:w="1719"/>
        <w:gridCol w:w="1726"/>
        <w:gridCol w:w="1719"/>
        <w:gridCol w:w="1726"/>
      </w:tblGrid>
      <w:tr>
        <w:tblPrEx>
          <w:tblCellMar>
            <w:top w:w="0" w:type="dxa"/>
            <w:left w:w="0" w:type="dxa"/>
            <w:bottom w:w="0" w:type="dxa"/>
            <w:right w:w="0" w:type="dxa"/>
          </w:tblCellMar>
        </w:tblPrEx>
        <w:trPr>
          <w:tblCellSpacing w:w="0" w:type="dxa"/>
          <w:jc w:val="center"/>
        </w:trPr>
        <w:tc>
          <w:tcPr>
            <w:tcW w:w="5000" w:type="pct"/>
            <w:gridSpan w:val="10"/>
            <w:vAlign w:val="center"/>
          </w:tcPr>
          <w:p>
            <w:pPr>
              <w:pStyle w:val="4"/>
              <w:jc w:val="center"/>
              <w:rPr>
                <w:sz w:val="40"/>
                <w:szCs w:val="40"/>
              </w:rPr>
            </w:pPr>
            <w:r>
              <w:rPr>
                <w:rFonts w:hint="eastAsia"/>
                <w:sz w:val="40"/>
                <w:szCs w:val="40"/>
              </w:rPr>
              <w:t xml:space="preserve">支出决算表 </w:t>
            </w:r>
          </w:p>
        </w:tc>
      </w:tr>
      <w:tr>
        <w:tblPrEx>
          <w:tblCellMar>
            <w:top w:w="0" w:type="dxa"/>
            <w:left w:w="0" w:type="dxa"/>
            <w:bottom w:w="0" w:type="dxa"/>
            <w:right w:w="0" w:type="dxa"/>
          </w:tblCellMar>
        </w:tblPrEx>
        <w:trPr>
          <w:tblCellSpacing w:w="0" w:type="dxa"/>
          <w:jc w:val="center"/>
        </w:trPr>
        <w:tc>
          <w:tcPr>
            <w:tcW w:w="170" w:type="pct"/>
            <w:vAlign w:val="center"/>
          </w:tcPr>
          <w:p>
            <w:pPr>
              <w:pStyle w:val="4"/>
            </w:pPr>
          </w:p>
        </w:tc>
        <w:tc>
          <w:tcPr>
            <w:tcW w:w="170" w:type="pct"/>
            <w:vAlign w:val="center"/>
          </w:tcPr>
          <w:p>
            <w:pPr>
              <w:pStyle w:val="4"/>
            </w:pPr>
          </w:p>
        </w:tc>
        <w:tc>
          <w:tcPr>
            <w:tcW w:w="170" w:type="pct"/>
            <w:vAlign w:val="center"/>
          </w:tcPr>
          <w:p>
            <w:pPr>
              <w:pStyle w:val="4"/>
            </w:pPr>
          </w:p>
        </w:tc>
        <w:tc>
          <w:tcPr>
            <w:tcW w:w="1073" w:type="pct"/>
            <w:vAlign w:val="center"/>
          </w:tcPr>
          <w:p>
            <w:pPr>
              <w:pStyle w:val="4"/>
            </w:pPr>
          </w:p>
        </w:tc>
        <w:tc>
          <w:tcPr>
            <w:tcW w:w="731" w:type="pct"/>
            <w:vAlign w:val="center"/>
          </w:tcPr>
          <w:p>
            <w:pPr>
              <w:pStyle w:val="4"/>
            </w:pPr>
          </w:p>
        </w:tc>
        <w:tc>
          <w:tcPr>
            <w:tcW w:w="536" w:type="pct"/>
            <w:vAlign w:val="center"/>
          </w:tcPr>
          <w:p>
            <w:pPr>
              <w:pStyle w:val="4"/>
            </w:pPr>
          </w:p>
        </w:tc>
        <w:tc>
          <w:tcPr>
            <w:tcW w:w="536" w:type="pct"/>
            <w:vAlign w:val="center"/>
          </w:tcPr>
          <w:p>
            <w:pPr>
              <w:pStyle w:val="4"/>
            </w:pPr>
          </w:p>
        </w:tc>
        <w:tc>
          <w:tcPr>
            <w:tcW w:w="536" w:type="pct"/>
            <w:vAlign w:val="center"/>
          </w:tcPr>
          <w:p>
            <w:pPr>
              <w:pStyle w:val="4"/>
            </w:pPr>
          </w:p>
        </w:tc>
        <w:tc>
          <w:tcPr>
            <w:tcW w:w="1073" w:type="pct"/>
            <w:gridSpan w:val="2"/>
            <w:vAlign w:val="center"/>
          </w:tcPr>
          <w:p>
            <w:pPr>
              <w:pStyle w:val="4"/>
              <w:jc w:val="right"/>
            </w:pPr>
            <w:r>
              <w:rPr>
                <w:rFonts w:hint="eastAsia"/>
              </w:rPr>
              <w:t xml:space="preserve">公开03表 </w:t>
            </w:r>
          </w:p>
        </w:tc>
      </w:tr>
      <w:tr>
        <w:tblPrEx>
          <w:tblCellMar>
            <w:top w:w="0" w:type="dxa"/>
            <w:left w:w="0" w:type="dxa"/>
            <w:bottom w:w="0" w:type="dxa"/>
            <w:right w:w="0" w:type="dxa"/>
          </w:tblCellMar>
        </w:tblPrEx>
        <w:trPr>
          <w:tblCellSpacing w:w="0" w:type="dxa"/>
          <w:jc w:val="center"/>
        </w:trPr>
        <w:tc>
          <w:tcPr>
            <w:tcW w:w="3926" w:type="pct"/>
            <w:gridSpan w:val="8"/>
            <w:vAlign w:val="center"/>
          </w:tcPr>
          <w:p>
            <w:pPr>
              <w:pStyle w:val="4"/>
            </w:pPr>
            <w:r>
              <w:rPr>
                <w:rFonts w:hint="eastAsia"/>
              </w:rPr>
              <w:t xml:space="preserve">部门：浏阳市社港镇人民政府 </w:t>
            </w:r>
          </w:p>
        </w:tc>
        <w:tc>
          <w:tcPr>
            <w:tcW w:w="1073" w:type="pct"/>
            <w:gridSpan w:val="2"/>
            <w:vAlign w:val="center"/>
          </w:tcPr>
          <w:p>
            <w:pPr>
              <w:pStyle w:val="4"/>
              <w:jc w:val="right"/>
            </w:pPr>
            <w:r>
              <w:rPr>
                <w:rFonts w:hint="eastAsia"/>
              </w:rPr>
              <w:t xml:space="preserve">金额单位：万元 </w:t>
            </w:r>
          </w:p>
        </w:tc>
      </w:tr>
      <w:tr>
        <w:tblPrEx>
          <w:tblCellMar>
            <w:top w:w="0" w:type="dxa"/>
            <w:left w:w="0" w:type="dxa"/>
            <w:bottom w:w="0" w:type="dxa"/>
            <w:right w:w="0" w:type="dxa"/>
          </w:tblCellMar>
        </w:tblPrEx>
        <w:trPr>
          <w:trHeight w:val="311" w:hRule="atLeast"/>
          <w:tblCellSpacing w:w="0" w:type="dxa"/>
          <w:jc w:val="center"/>
        </w:trPr>
        <w:tc>
          <w:tcPr>
            <w:tcW w:w="512"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本年支出合计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项目支出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上缴上级支出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经营支出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对附属单位补助支出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585"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栏次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6 </w:t>
            </w:r>
          </w:p>
        </w:tc>
      </w:tr>
      <w:tr>
        <w:tblPrEx>
          <w:tblCellMar>
            <w:top w:w="0" w:type="dxa"/>
            <w:left w:w="0" w:type="dxa"/>
            <w:bottom w:w="0" w:type="dxa"/>
            <w:right w:w="0" w:type="dxa"/>
          </w:tblCellMar>
        </w:tblPrEx>
        <w:trPr>
          <w:tblCellSpacing w:w="0" w:type="dxa"/>
          <w:jc w:val="center"/>
        </w:trPr>
        <w:tc>
          <w:tcPr>
            <w:tcW w:w="1585"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合计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8,570.64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2,264.79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6,305.85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一般公共服务支出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1,556.99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1,200.26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356.73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人大事务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2010102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10.52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10.52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2010108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代表工作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政协事务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2010299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其他政协事务支出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20103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政府办公厅（室）及相关机构事务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1,117.36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1,098.37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18.99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2010301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行政运行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594.06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594.06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2010350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事业运行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504.31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504.31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2010399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其他政府办公厅（室）及相关机构事务支出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18.99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18.99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发展与改革事务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204.30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204.30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2010499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其他发展与改革事务支出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204.30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204.30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财政事务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155.81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99.97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55.84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2010601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行政运行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99.97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99.97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2010602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11.84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11.84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2010699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其他财政事务支出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44.00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44.00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20113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商贸事务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13.30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13.30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2011308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招商引资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5.30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5.30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2011399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其他商贸事务支出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20126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档案事务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2012699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其他档案事务支出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党委办公厅（室）及相关机构事务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2013105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专项业务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2013199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其他党委办公厅（室）及相关机构事务支出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组织事务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36.88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34.96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2013202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34.96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34.96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2013250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事业运行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市场监督管理事务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2013816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食品安全监管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2013899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其他市场监督管理事务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公共安全支出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49.05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31.21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17.84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公安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2040202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20406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司法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46.93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31.21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15.72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2040601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行政运行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31.21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31.21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2040602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15.72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15.72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教育支出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107.20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107.20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普通教育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62.20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62.20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2050202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小学教育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2050299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其他普通教育支出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32.20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32.20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20509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教育费附加安排的支出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2050999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其他教育费附加安排的支出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其他教育支出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2059999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其他教育支出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科学技术支出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20604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技术研究与开发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2060499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其他技术研究与开发支出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文化旅游体育与传媒支出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148.24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148.24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文化和旅游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43.80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43.80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2070108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文化活动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2070109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群众文化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2070199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其他文化和旅游支出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文物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2070204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文物保护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2070206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历史名城与古迹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0.68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0.68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广播电视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37.75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37.75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2070808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广播电视事务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36.15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36.15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2070899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其他广播电视支出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其他文化旅游体育与传媒支出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63.00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63.00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2079902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宣传文化发展专项支出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2079999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其他文化旅游体育与传媒支出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61.00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61.00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社会保障和就业支出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797.57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611.64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185.93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人力资源和社会保障管理事务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148.21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144.40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2080109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社会保险经办机构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2080150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事业运行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144.40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144.40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民政管理事务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2080208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基层政权建设和社区治理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2080299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其他民政管理事务支出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行政事业单位养老支出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302.71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294.67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2080501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行政单位离退休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261.96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253.92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2080502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事业单位离退休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12.96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12.96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2080506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机关事业单位职业年金缴费支出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27.79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27.79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20807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就业补助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2080799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其他就业补助支出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抚恤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10.79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10.79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2080899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其他优抚支出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10.79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10.79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退役安置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11.68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11.68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2080999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其他退役安置支出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11.68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11.68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20810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社会福利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2081005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社会福利事业单位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2081099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其他社会福利支出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残疾人事业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18.61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18.61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2081105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残疾人就业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2081199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其他残疾人事业支出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红十字事业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2081699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其他红十字事业支出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20820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临时救助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18.49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18.49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2082001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临时救助支出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18.49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18.49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大中型水库移民后期扶持基金支出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2082201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移民补助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2082202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基础设施建设和经济发展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退役军人管理事务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210.57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172.58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37.99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2082802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21.99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21.99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2082850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事业运行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172.58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172.58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2082899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其他退役军人事务管理支出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其他社会保障和就业支出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2089999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其他社会保障和就业支出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卫生健康支出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44.26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44.26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21004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公共卫生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16.63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16.63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2100408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基本公共卫生服务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2100499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其他公共卫生支出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21007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计划生育事务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2100717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计划生育服务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21014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优抚对象医疗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2101401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优抚对象医疗补助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其他卫生健康支出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2109999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其他卫生健康支出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节能环保支出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723.94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723.94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21103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污染防治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171.00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171.00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2110302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水体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2110399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其他污染防治支出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自然生态保护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528.94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528.94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2110402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农村环境保护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528.94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528.94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天然林保护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2110507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停伐补助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21110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能源节约利用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2111001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能源节约利用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城乡社区支出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838.52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200.62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637.90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城乡社区管理事务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207.35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200.62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6.73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2120101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行政运行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200.62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200.62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2120199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其他城乡社区管理事务支出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6.73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6.73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21203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城乡社区公共设施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227.99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227.99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2120303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小城镇基础设施建设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2120399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其他城乡社区公共设施支出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219.99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219.99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城乡社区环境卫生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33.16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33.16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2120501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城乡社区环境卫生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33.16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33.16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国有土地使用权出让收入安排的支出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188.53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188.53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2120804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农村基础设施建设支出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183.53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183.53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2120806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土地出让业务支出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21213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城市基础设施配套费安排的支出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14.12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14.12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2121399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其他城市基础设施配套费安排的支出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14.12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14.12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其他城乡社区支出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167.37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167.37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2129999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其他城乡社区支出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167.37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167.37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农林水支出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3,689.19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206.06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3,483.13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农业农村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1,173.22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199.13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974.09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2130104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事业运行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199.13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199.13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2130108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病虫害控制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2130119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防灾救灾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32.24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32.24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2130121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农业结构调整补贴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34.35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34.35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2130122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农业生产发展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36.58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36.58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2130124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农村合作经济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19.83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19.83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2130126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农村社会事业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67.47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67.47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2130142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农村道路建设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106.24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106.24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其他农业农村支出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668.37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668.37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林业和草原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168.80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168.80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2130205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森林资源培育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17.43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17.43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2130207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森林资源管理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2130209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森林生态效益补偿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55.47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55.47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2130299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其他林业和草原支出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67.00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67.00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水利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590.83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590.83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2130304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水利行业业务管理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53.02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53.02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2130305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水利工程建设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86.32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86.32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2130306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水利工程运行与维护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152.66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152.66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2130314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防汛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2130315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抗旱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2130316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农村水利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2130321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大中型水库移民后期扶持专项支出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2130335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农村人畜饮水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34.00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34.00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其他水利支出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217.84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217.84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巩固脱贫衔接乡村振兴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597.50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597.50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2130504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农村基础设施建设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2130599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其他巩固脱贫衔接乡村振兴支出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587.50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587.50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21307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农村综合改革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561.74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561.74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2130701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对村级公益事业建设的补助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91.00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91.00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2130705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对村民委员会和村党支部的补助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470.74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470.74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普惠金融发展支出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2130899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其他普惠金融发展支出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其他农林水支出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592.90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6.93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585.97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2139999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其他农林水支出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592.90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6.93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585.97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交通运输支出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309.08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309.08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公路水路运输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246.66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246.66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2140104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公路建设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2140106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公路养护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197.70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197.70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2140199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其他公路水路运输支出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47.90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47.90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车辆购置税支出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62.42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62.42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2140601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车辆购置税用于公路等基础设施建设支出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62.42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62.42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资源勘探工业信息等支出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21599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其他资源勘探工业信息等支出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2159999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其他资源勘探工业信息等支出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商业服务业等支出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21602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商业流通事务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23.86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23.86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2160299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其他商业流通事务支出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23.86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23.86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21699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其他商业服务业等支出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2169999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其他商业服务业等支出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220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自然资源海洋气象等支出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22001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自然资源事务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2200101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行政运行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住房保障支出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22101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保障性安居工程支出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2210106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公共租赁住房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粮油物资储备支出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22201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粮油物资事务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2220199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其他粮油物资事务支出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223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国有资本经营预算支出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22301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解决历史遗留问题及改革成本支出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2230105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国有企业退休人员社会化管理补助支出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灾害防治及应急管理支出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122.43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122.43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应急管理事务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27.43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27.43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2240199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其他应急管理支出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27.43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27.43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矿山安全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2240499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其他矿山安全支出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39.00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自然灾害防治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2240601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地质灾害防治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98.00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98.00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22960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彩票公益金安排的支出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98.00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98.00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2296002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用于社会福利的彩票公益金支出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33.00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33.00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2296003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用于体育事业的彩票公益金支出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65.00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000" w:type="pct"/>
            <w:gridSpan w:val="10"/>
            <w:vAlign w:val="center"/>
          </w:tcPr>
          <w:p>
            <w:pPr>
              <w:pStyle w:val="4"/>
            </w:pPr>
            <w:r>
              <w:rPr>
                <w:rFonts w:hint="eastAsia"/>
              </w:rPr>
              <w:t xml:space="preserve">注：本表反映部门本年度各项支出情况。本表金额转换为万元时，因四舍五入可能存在尾数误差。 </w:t>
            </w:r>
          </w:p>
        </w:tc>
      </w:tr>
    </w:tbl>
    <w:p>
      <w:pPr>
        <w:pStyle w:val="4"/>
        <w:rPr>
          <w:rFonts w:hint="eastAsia"/>
          <w:color w:val="000000"/>
        </w:rPr>
      </w:pPr>
    </w:p>
    <w:p>
      <w:pPr>
        <w:spacing w:after="2"/>
        <w:jc w:val="center"/>
        <w:rPr>
          <w:color w:val="000000"/>
          <w:szCs w:val="21"/>
        </w:rPr>
      </w:pPr>
    </w:p>
    <w:tbl>
      <w:tblPr>
        <w:tblStyle w:val="5"/>
        <w:tblW w:w="5000" w:type="pct"/>
        <w:jc w:val="center"/>
        <w:tblCellSpacing w:w="0" w:type="dxa"/>
        <w:tblLayout w:type="autofit"/>
        <w:tblCellMar>
          <w:top w:w="0" w:type="dxa"/>
          <w:left w:w="0" w:type="dxa"/>
          <w:bottom w:w="0" w:type="dxa"/>
          <w:right w:w="0" w:type="dxa"/>
        </w:tblCellMar>
      </w:tblPr>
      <w:tblGrid>
        <w:gridCol w:w="3258"/>
        <w:gridCol w:w="536"/>
        <w:gridCol w:w="1591"/>
        <w:gridCol w:w="3474"/>
        <w:gridCol w:w="536"/>
        <w:gridCol w:w="2168"/>
        <w:gridCol w:w="1495"/>
        <w:gridCol w:w="1488"/>
        <w:gridCol w:w="1492"/>
      </w:tblGrid>
      <w:tr>
        <w:tblPrEx>
          <w:tblCellMar>
            <w:top w:w="0" w:type="dxa"/>
            <w:left w:w="0" w:type="dxa"/>
            <w:bottom w:w="0" w:type="dxa"/>
            <w:right w:w="0" w:type="dxa"/>
          </w:tblCellMar>
        </w:tblPrEx>
        <w:trPr>
          <w:tblCellSpacing w:w="0" w:type="dxa"/>
          <w:jc w:val="center"/>
        </w:trPr>
        <w:tc>
          <w:tcPr>
            <w:tcW w:w="5000" w:type="pct"/>
            <w:gridSpan w:val="9"/>
            <w:vAlign w:val="center"/>
          </w:tcPr>
          <w:p>
            <w:pPr>
              <w:pStyle w:val="4"/>
              <w:jc w:val="center"/>
              <w:rPr>
                <w:sz w:val="40"/>
                <w:szCs w:val="40"/>
              </w:rPr>
            </w:pPr>
            <w:r>
              <w:rPr>
                <w:rFonts w:hint="eastAsia"/>
                <w:sz w:val="40"/>
                <w:szCs w:val="40"/>
              </w:rPr>
              <w:t xml:space="preserve">财政拨款收入支出决算总表 </w:t>
            </w:r>
          </w:p>
        </w:tc>
      </w:tr>
      <w:tr>
        <w:tblPrEx>
          <w:tblCellMar>
            <w:top w:w="0" w:type="dxa"/>
            <w:left w:w="0" w:type="dxa"/>
            <w:bottom w:w="0" w:type="dxa"/>
            <w:right w:w="0" w:type="dxa"/>
          </w:tblCellMar>
        </w:tblPrEx>
        <w:trPr>
          <w:tblCellSpacing w:w="0" w:type="dxa"/>
          <w:jc w:val="center"/>
        </w:trPr>
        <w:tc>
          <w:tcPr>
            <w:tcW w:w="1016" w:type="pct"/>
            <w:vAlign w:val="center"/>
          </w:tcPr>
          <w:p>
            <w:pPr>
              <w:pStyle w:val="4"/>
            </w:pPr>
          </w:p>
        </w:tc>
        <w:tc>
          <w:tcPr>
            <w:tcW w:w="167" w:type="pct"/>
            <w:vAlign w:val="center"/>
          </w:tcPr>
          <w:p>
            <w:pPr>
              <w:pStyle w:val="4"/>
            </w:pPr>
          </w:p>
        </w:tc>
        <w:tc>
          <w:tcPr>
            <w:tcW w:w="495" w:type="pct"/>
            <w:vAlign w:val="center"/>
          </w:tcPr>
          <w:p>
            <w:pPr>
              <w:pStyle w:val="4"/>
            </w:pPr>
          </w:p>
        </w:tc>
        <w:tc>
          <w:tcPr>
            <w:tcW w:w="1083" w:type="pct"/>
            <w:vAlign w:val="center"/>
          </w:tcPr>
          <w:p>
            <w:pPr>
              <w:pStyle w:val="4"/>
            </w:pPr>
          </w:p>
        </w:tc>
        <w:tc>
          <w:tcPr>
            <w:tcW w:w="167" w:type="pct"/>
            <w:vAlign w:val="center"/>
          </w:tcPr>
          <w:p>
            <w:pPr>
              <w:pStyle w:val="4"/>
            </w:pPr>
          </w:p>
        </w:tc>
        <w:tc>
          <w:tcPr>
            <w:tcW w:w="676" w:type="pct"/>
            <w:vAlign w:val="center"/>
          </w:tcPr>
          <w:p>
            <w:pPr>
              <w:pStyle w:val="4"/>
            </w:pPr>
          </w:p>
        </w:tc>
        <w:tc>
          <w:tcPr>
            <w:tcW w:w="464" w:type="pct"/>
            <w:vAlign w:val="center"/>
          </w:tcPr>
          <w:p>
            <w:pPr>
              <w:pStyle w:val="4"/>
            </w:pPr>
          </w:p>
        </w:tc>
        <w:tc>
          <w:tcPr>
            <w:tcW w:w="928" w:type="pct"/>
            <w:gridSpan w:val="2"/>
            <w:vAlign w:val="center"/>
          </w:tcPr>
          <w:p>
            <w:pPr>
              <w:pStyle w:val="4"/>
              <w:jc w:val="right"/>
            </w:pPr>
            <w:r>
              <w:rPr>
                <w:rFonts w:hint="eastAsia"/>
              </w:rPr>
              <w:t xml:space="preserve">公开04表 </w:t>
            </w:r>
          </w:p>
        </w:tc>
      </w:tr>
      <w:tr>
        <w:tblPrEx>
          <w:tblCellMar>
            <w:top w:w="0" w:type="dxa"/>
            <w:left w:w="0" w:type="dxa"/>
            <w:bottom w:w="0" w:type="dxa"/>
            <w:right w:w="0" w:type="dxa"/>
          </w:tblCellMar>
        </w:tblPrEx>
        <w:trPr>
          <w:tblCellSpacing w:w="0" w:type="dxa"/>
          <w:jc w:val="center"/>
        </w:trPr>
        <w:tc>
          <w:tcPr>
            <w:tcW w:w="4071" w:type="pct"/>
            <w:gridSpan w:val="7"/>
            <w:vAlign w:val="center"/>
          </w:tcPr>
          <w:p>
            <w:pPr>
              <w:pStyle w:val="4"/>
            </w:pPr>
            <w:r>
              <w:rPr>
                <w:rFonts w:hint="eastAsia"/>
              </w:rPr>
              <w:t xml:space="preserve">部门：浏阳市社港镇人民政府 </w:t>
            </w:r>
          </w:p>
        </w:tc>
        <w:tc>
          <w:tcPr>
            <w:tcW w:w="928" w:type="pct"/>
            <w:gridSpan w:val="2"/>
            <w:vAlign w:val="center"/>
          </w:tcPr>
          <w:p>
            <w:pPr>
              <w:pStyle w:val="4"/>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1679"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收 入 </w:t>
            </w:r>
          </w:p>
        </w:tc>
        <w:tc>
          <w:tcPr>
            <w:tcW w:w="3320" w:type="pct"/>
            <w:gridSpan w:val="6"/>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支 出 </w:t>
            </w:r>
          </w:p>
        </w:tc>
      </w:tr>
      <w:tr>
        <w:tblPrEx>
          <w:tblCellMar>
            <w:top w:w="0" w:type="dxa"/>
            <w:left w:w="0" w:type="dxa"/>
            <w:bottom w:w="0" w:type="dxa"/>
            <w:right w:w="0" w:type="dxa"/>
          </w:tblCellMar>
        </w:tblPrEx>
        <w:trPr>
          <w:trHeight w:val="311" w:hRule="atLeast"/>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金额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一般公共预算财政拨款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政府性基金预算财政拨款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国有资本经营预算财政拨款 </w:t>
            </w:r>
          </w:p>
        </w:tc>
      </w:tr>
      <w:tr>
        <w:tblPrEx>
          <w:tblCellMar>
            <w:top w:w="0" w:type="dxa"/>
            <w:left w:w="0" w:type="dxa"/>
            <w:bottom w:w="0" w:type="dxa"/>
            <w:right w:w="0" w:type="dxa"/>
          </w:tblCellMar>
        </w:tblPrEx>
        <w:trPr>
          <w:trHeight w:val="311" w:hRule="atLeast"/>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栏次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 </w:t>
            </w: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栏次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一、一般公共预算财政拨款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6,892.45 </w:t>
            </w: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一、一般公共服务支出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33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1,543.57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1,543.57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二、政府性基金预算财政拨款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322.65 </w:t>
            </w: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二、外交支出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34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三、国有资本经营财政拨款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三、国防支出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35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四、公共安全支出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36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48.85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48.85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五、教育支出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37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87.20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87.20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6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六、科学技术支出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38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7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七、文化旅游体育与传媒支出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39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143.96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143.96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8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八、社会保障和就业支出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40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773.31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743.31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9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九、卫生健康支出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41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42.93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42.93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10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十、节能环保支出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42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576.94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576.94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11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十一、城乡社区支出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43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798.12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600.47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197.65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12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十二、农林水支出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44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2,810.22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2,810.22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13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十三、交通运输支出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45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130.68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130.68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14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十四、资源勘探工业信息等支出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46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15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十五、商业服务业等支出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47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28.86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28.86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16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十六、金融支出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48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17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十七、援助其他地区支出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49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18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十八、自然资源海洋气象等支出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50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19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十九、住房保障支出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51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20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二十、粮油物资储备支出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52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21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二十一、国有资本经营预算支出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53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22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二十二、灾害防治及应急管理支出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54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83.43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83.43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23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二十三、其他支出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55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95.00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95.00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jc w:val="center"/>
              <w:rPr>
                <w:b/>
                <w:bCs/>
              </w:rPr>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24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二十四、债务还本支出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56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25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二十五、债务付息支出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57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26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二十六、抗疫特别国债安排的支出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58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jc w:val="center"/>
              <w:rPr>
                <w:b/>
                <w:bCs/>
              </w:rPr>
            </w:pPr>
            <w:r>
              <w:rPr>
                <w:rFonts w:hint="eastAsia"/>
                <w:b/>
                <w:bCs/>
              </w:rPr>
              <w:t xml:space="preserve">本年收入合计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27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7,215.88 </w:t>
            </w: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jc w:val="center"/>
              <w:rPr>
                <w:b/>
                <w:bCs/>
              </w:rPr>
            </w:pPr>
            <w:r>
              <w:rPr>
                <w:rFonts w:hint="eastAsia"/>
                <w:b/>
                <w:bCs/>
              </w:rPr>
              <w:t xml:space="preserve">本年支出合计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59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7,215.88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6,892.45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322.65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0.78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年初财政拨款结转和结余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28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年末财政拨款结转和结余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60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一般公共预算财政拨款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29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61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政府性基金预算财政拨款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30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62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国有资本经营预算财政拨款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31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63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4"/>
              <w:jc w:val="center"/>
              <w:rPr>
                <w:b/>
                <w:bCs/>
              </w:rPr>
            </w:pPr>
            <w:r>
              <w:rPr>
                <w:rFonts w:hint="eastAsia"/>
                <w:b/>
                <w:bCs/>
              </w:rPr>
              <w:t xml:space="preserve">总计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32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7,215.88 </w:t>
            </w: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4"/>
              <w:jc w:val="center"/>
              <w:rPr>
                <w:b/>
                <w:bCs/>
              </w:rPr>
            </w:pPr>
            <w:r>
              <w:rPr>
                <w:rFonts w:hint="eastAsia"/>
                <w:b/>
                <w:bCs/>
              </w:rPr>
              <w:t xml:space="preserve">总计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64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7,215.88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6,892.45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322.65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0.78 </w:t>
            </w:r>
          </w:p>
        </w:tc>
      </w:tr>
      <w:tr>
        <w:tblPrEx>
          <w:tblCellMar>
            <w:top w:w="0" w:type="dxa"/>
            <w:left w:w="0" w:type="dxa"/>
            <w:bottom w:w="0" w:type="dxa"/>
            <w:right w:w="0" w:type="dxa"/>
          </w:tblCellMar>
        </w:tblPrEx>
        <w:trPr>
          <w:tblCellSpacing w:w="0" w:type="dxa"/>
          <w:jc w:val="center"/>
        </w:trPr>
        <w:tc>
          <w:tcPr>
            <w:tcW w:w="5000" w:type="pct"/>
            <w:gridSpan w:val="9"/>
            <w:vAlign w:val="center"/>
          </w:tcPr>
          <w:p>
            <w:pPr>
              <w:pStyle w:val="4"/>
            </w:pPr>
            <w:r>
              <w:rPr>
                <w:rFonts w:hint="eastAsia"/>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4"/>
        <w:rPr>
          <w:rFonts w:hint="eastAsia"/>
          <w:color w:val="000000"/>
        </w:rPr>
      </w:pPr>
    </w:p>
    <w:p>
      <w:pPr>
        <w:spacing w:after="2"/>
        <w:jc w:val="center"/>
        <w:rPr>
          <w:color w:val="000000"/>
          <w:szCs w:val="21"/>
        </w:rPr>
      </w:pPr>
    </w:p>
    <w:tbl>
      <w:tblPr>
        <w:tblStyle w:val="5"/>
        <w:tblW w:w="5000" w:type="pct"/>
        <w:jc w:val="center"/>
        <w:tblCellSpacing w:w="0" w:type="dxa"/>
        <w:tblLayout w:type="autofit"/>
        <w:tblCellMar>
          <w:top w:w="0" w:type="dxa"/>
          <w:left w:w="0" w:type="dxa"/>
          <w:bottom w:w="0" w:type="dxa"/>
          <w:right w:w="0" w:type="dxa"/>
        </w:tblCellMar>
      </w:tblPr>
      <w:tblGrid>
        <w:gridCol w:w="834"/>
        <w:gridCol w:w="834"/>
        <w:gridCol w:w="840"/>
        <w:gridCol w:w="4770"/>
        <w:gridCol w:w="2919"/>
        <w:gridCol w:w="2919"/>
        <w:gridCol w:w="2922"/>
      </w:tblGrid>
      <w:tr>
        <w:tblPrEx>
          <w:tblCellMar>
            <w:top w:w="0" w:type="dxa"/>
            <w:left w:w="0" w:type="dxa"/>
            <w:bottom w:w="0" w:type="dxa"/>
            <w:right w:w="0" w:type="dxa"/>
          </w:tblCellMar>
        </w:tblPrEx>
        <w:trPr>
          <w:tblCellSpacing w:w="0" w:type="dxa"/>
          <w:jc w:val="center"/>
        </w:trPr>
        <w:tc>
          <w:tcPr>
            <w:tcW w:w="5000" w:type="pct"/>
            <w:gridSpan w:val="7"/>
            <w:vAlign w:val="center"/>
          </w:tcPr>
          <w:p>
            <w:pPr>
              <w:pStyle w:val="4"/>
              <w:jc w:val="center"/>
              <w:rPr>
                <w:sz w:val="40"/>
                <w:szCs w:val="40"/>
              </w:rPr>
            </w:pPr>
            <w:r>
              <w:rPr>
                <w:rFonts w:hint="eastAsia"/>
                <w:sz w:val="40"/>
                <w:szCs w:val="40"/>
              </w:rPr>
              <w:t xml:space="preserve">一般公共预算财政拨款支出决算表 </w:t>
            </w:r>
          </w:p>
        </w:tc>
      </w:tr>
      <w:tr>
        <w:tblPrEx>
          <w:tblCellMar>
            <w:top w:w="0" w:type="dxa"/>
            <w:left w:w="0" w:type="dxa"/>
            <w:bottom w:w="0" w:type="dxa"/>
            <w:right w:w="0" w:type="dxa"/>
          </w:tblCellMar>
        </w:tblPrEx>
        <w:trPr>
          <w:tblCellSpacing w:w="0" w:type="dxa"/>
          <w:jc w:val="center"/>
        </w:trPr>
        <w:tc>
          <w:tcPr>
            <w:tcW w:w="260" w:type="pct"/>
            <w:vAlign w:val="center"/>
          </w:tcPr>
          <w:p>
            <w:pPr>
              <w:pStyle w:val="4"/>
            </w:pPr>
          </w:p>
        </w:tc>
        <w:tc>
          <w:tcPr>
            <w:tcW w:w="260" w:type="pct"/>
            <w:vAlign w:val="center"/>
          </w:tcPr>
          <w:p>
            <w:pPr>
              <w:pStyle w:val="4"/>
            </w:pPr>
          </w:p>
        </w:tc>
        <w:tc>
          <w:tcPr>
            <w:tcW w:w="260" w:type="pct"/>
            <w:vAlign w:val="center"/>
          </w:tcPr>
          <w:p>
            <w:pPr>
              <w:pStyle w:val="4"/>
            </w:pPr>
          </w:p>
        </w:tc>
        <w:tc>
          <w:tcPr>
            <w:tcW w:w="1486" w:type="pct"/>
            <w:vAlign w:val="center"/>
          </w:tcPr>
          <w:p>
            <w:pPr>
              <w:pStyle w:val="4"/>
            </w:pPr>
          </w:p>
        </w:tc>
        <w:tc>
          <w:tcPr>
            <w:tcW w:w="910" w:type="pct"/>
            <w:vAlign w:val="center"/>
          </w:tcPr>
          <w:p>
            <w:pPr>
              <w:pStyle w:val="4"/>
            </w:pPr>
          </w:p>
        </w:tc>
        <w:tc>
          <w:tcPr>
            <w:tcW w:w="1820" w:type="pct"/>
            <w:gridSpan w:val="2"/>
            <w:vAlign w:val="center"/>
          </w:tcPr>
          <w:p>
            <w:pPr>
              <w:pStyle w:val="4"/>
              <w:jc w:val="right"/>
            </w:pPr>
            <w:r>
              <w:rPr>
                <w:rFonts w:hint="eastAsia"/>
              </w:rPr>
              <w:t xml:space="preserve">公开05表 </w:t>
            </w:r>
          </w:p>
        </w:tc>
      </w:tr>
      <w:tr>
        <w:tblPrEx>
          <w:tblCellMar>
            <w:top w:w="0" w:type="dxa"/>
            <w:left w:w="0" w:type="dxa"/>
            <w:bottom w:w="0" w:type="dxa"/>
            <w:right w:w="0" w:type="dxa"/>
          </w:tblCellMar>
        </w:tblPrEx>
        <w:trPr>
          <w:tblCellSpacing w:w="0" w:type="dxa"/>
          <w:jc w:val="center"/>
        </w:trPr>
        <w:tc>
          <w:tcPr>
            <w:tcW w:w="3179" w:type="pct"/>
            <w:gridSpan w:val="5"/>
            <w:vAlign w:val="center"/>
          </w:tcPr>
          <w:p>
            <w:pPr>
              <w:pStyle w:val="4"/>
            </w:pPr>
            <w:r>
              <w:rPr>
                <w:rFonts w:hint="eastAsia"/>
              </w:rPr>
              <w:t xml:space="preserve">部门：浏阳市社港镇人民政府 </w:t>
            </w:r>
          </w:p>
        </w:tc>
        <w:tc>
          <w:tcPr>
            <w:tcW w:w="1820" w:type="pct"/>
            <w:gridSpan w:val="2"/>
            <w:vAlign w:val="center"/>
          </w:tcPr>
          <w:p>
            <w:pPr>
              <w:pStyle w:val="4"/>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782"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科目名称 </w:t>
            </w:r>
          </w:p>
        </w:tc>
        <w:tc>
          <w:tcPr>
            <w:tcW w:w="2730"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本年支出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782"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项目支出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2269"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栏次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8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9 </w:t>
            </w:r>
          </w:p>
        </w:tc>
      </w:tr>
      <w:tr>
        <w:tblPrEx>
          <w:tblCellMar>
            <w:top w:w="0" w:type="dxa"/>
            <w:left w:w="0" w:type="dxa"/>
            <w:bottom w:w="0" w:type="dxa"/>
            <w:right w:w="0" w:type="dxa"/>
          </w:tblCellMar>
        </w:tblPrEx>
        <w:trPr>
          <w:tblCellSpacing w:w="0" w:type="dxa"/>
          <w:jc w:val="center"/>
        </w:trPr>
        <w:tc>
          <w:tcPr>
            <w:tcW w:w="2269"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合计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6,892.45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2,262.87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4,629.58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一般公共服务支出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1,543.57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1,198.34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345.23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人大事务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14.52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14.52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2010102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10.52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10.52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2010108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代表工作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r>
      <w:tr>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政协事务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2010299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其他政协事务支出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20103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政府办公厅（室）及相关机构事务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1,117.36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1,098.37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18.99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2010301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行政运行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594.06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594.06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2010350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事业运行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504.31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504.31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2010399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其他政府办公厅（室）及相关机构事务支出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18.99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18.99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发展与改革事务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204.30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204.30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2010499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其他发展与改革事务支出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204.30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204.30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财政事务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155.81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99.97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55.84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2010601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行政运行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99.97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99.97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2010602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11.84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11.84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2010699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其他财政事务支出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44.00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44.00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20113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商贸事务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13.30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13.30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2011308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招商引资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5.30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5.30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2011399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其他商贸事务支出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20126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档案事务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2012699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其他档案事务支出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党委办公厅（室）及相关机构事务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2013199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其他党委办公厅（室）及相关机构事务支出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组织事务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24.96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24.96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2013202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24.96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24.96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20138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市场监督管理事务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4.32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2013816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食品安全监管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1.44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2013899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其他市场监督管理事务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公共安全支出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48.85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31.21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17.64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公安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1.92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2040202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1.92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20406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司法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46.93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31.21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15.72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2040601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行政运行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31.21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31.21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2040602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15.72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15.72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教育支出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87.20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87.20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普通教育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62.20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62.20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2050202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小学教育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2050299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其他普通教育支出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32.20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32.20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20509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教育费附加安排的支出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2050999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其他教育费附加安排的支出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其他教育支出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2059999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其他教育支出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科学技术支出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20604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技术研究与开发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2060499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其他技术研究与开发支出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文化旅游体育与传媒支出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143.96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143.96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文化和旅游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43.80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43.80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2070108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文化活动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2070109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群众文化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2070199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其他文化和旅游支出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29.00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29.00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文物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2070204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文物保护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20708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广播电视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36.15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36.15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2070808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广播电视事务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36.15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36.15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其他文化旅游体育与传媒支出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61.00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61.00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2079999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其他文化旅游体育与传媒支出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61.00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61.00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社会保障和就业支出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743.31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611.64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131.67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人力资源和社会保障管理事务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148.21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144.40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3.82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2080109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社会保险经办机构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3.82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2080150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事业运行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144.40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144.40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民政管理事务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2080299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其他民政管理事务支出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20805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行政事业单位养老支出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302.71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294.67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2080501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行政单位离退休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261.96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253.92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2080502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事业单位离退休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12.96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12.96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2080506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机关事业单位职业年金缴费支出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27.79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27.79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20807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就业补助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2080799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其他就业补助支出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20808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抚恤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2080899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其他优抚支出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退役安置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11.68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11.68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2080999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其他退役安置支出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11.68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11.68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20810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社会福利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3.50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3.50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2081005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社会福利事业单位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2081099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其他社会福利支出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残疾人事业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12.31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12.31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2081105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残疾人就业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5.11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2081199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其他残疾人事业支出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7.20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7.20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红十字事业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2081699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其他红十字事业支出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20820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临时救助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13.32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13.32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2082001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临时救助支出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13.32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13.32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20828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退役军人管理事务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210.57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172.58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37.99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2082802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一般行政管理事务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21.99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21.99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2082850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事业运行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172.58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172.58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2082899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其他退役军人事务管理支出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其他社会保障和就业支出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2089999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其他社会保障和就业支出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卫生健康支出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42.93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42.93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21004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公共卫生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16.63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16.63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2100408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基本公共卫生服务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3.63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3.63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2100499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其他公共卫生支出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21007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计划生育事务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1.15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1.15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2100717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计划生育服务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1.15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1.15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21014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优抚对象医疗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5.15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5.15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2101401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优抚对象医疗补助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5.15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5.15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其他卫生健康支出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2109999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其他卫生健康支出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节能环保支出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576.94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576.94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21103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污染防治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171.00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171.00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2110302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水体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140.00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2110399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其他污染防治支出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31.00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自然生态保护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389.94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389.94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2110402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农村环境保护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389.94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389.94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21105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天然林保护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2110507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停伐补助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21110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能源节约利用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2111001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能源节约利用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城乡社区支出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600.47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200.62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399.85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城乡社区管理事务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200.62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200.62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2120101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行政运行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200.62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200.62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21203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城乡社区公共设施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199.31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199.31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2120303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小城镇基础设施建设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2120399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其他城乡社区公共设施支出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191.31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191.31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21205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城乡社区环境卫生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33.16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33.16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2120501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城乡社区环境卫生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33.16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33.16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其他城乡社区支出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167.37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167.37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2129999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其他城乡社区支出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167.37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167.37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农林水支出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2,810.22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206.06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2,604.16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农业农村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623.76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199.13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424.64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2130104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事业运行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199.13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199.13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2130108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病虫害控制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2130119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防灾救灾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32.24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32.24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2130121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农业结构调整补贴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34.30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34.30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2130122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农业生产发展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36.58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36.58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2130124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农村合作经济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19.83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19.83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2130126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农村社会事业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43.29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43.29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2130199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其他农业农村支出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255.39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255.39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林业和草原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168.80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168.80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2130205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森林资源培育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17.43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17.43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2130207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森林资源管理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28.89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28.89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2130209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森林生态效益补偿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55.47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55.47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2130299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其他林业和草原支出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67.00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67.00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水利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386.31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386.31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2130304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水利行业业务管理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53.02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53.02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2130305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水利工程建设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76.08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76.08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2130306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水利工程运行与维护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32.66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32.66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2130314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防汛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2130315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抗旱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2130316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农村水利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2130321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大中型水库移民后期扶持专项支出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2130335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农村人畜饮水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2130399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其他水利支出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173.56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173.56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21305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巩固脱贫衔接乡村振兴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472.50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472.50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2130504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农村基础设施建设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2130599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其他巩固脱贫衔接乡村振兴支出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462.50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462.50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21307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农村综合改革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561.74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561.74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2130701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对村级公益事业建设的补助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91.00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91.00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2130705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对村民委员会和村党支部的补助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470.74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470.74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21308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普惠金融发展支出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2130899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其他普惠金融发展支出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4.20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其他农林水支出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592.90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6.93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585.97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2139999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其他农林水支出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592.90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6.93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585.97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交通运输支出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130.68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130.68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公路水路运输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68.26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68.26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2140104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公路建设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2140106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公路养护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23.70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23.70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2140199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其他公路水路运输支出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43.50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43.50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车辆购置税支出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62.42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62.42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2140601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车辆购置税用于公路等基础设施建设支出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62.42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62.42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商业服务业等支出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28.86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21602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商业流通事务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23.86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23.86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2160299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其他商业流通事务支出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23.86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23.86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21699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其他商业服务业等支出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2169999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其他商业服务业等支出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220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自然资源海洋气象等支出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22001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自然资源事务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2200101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行政运行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15.00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住房保障支出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22101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保障性安居工程支出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2210106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公共租赁住房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粮油物资储备支出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22201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粮油物资事务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2220199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其他粮油物资事务支出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灾害防治及应急管理支出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83.43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83.43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应急管理事务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27.43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27.43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2240199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其他应急管理支出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27.43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27.43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自然灾害防治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2240601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地质灾害防治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56.00 </w:t>
            </w:r>
          </w:p>
        </w:tc>
      </w:tr>
      <w:tr>
        <w:tblPrEx>
          <w:tblCellMar>
            <w:top w:w="0" w:type="dxa"/>
            <w:left w:w="0" w:type="dxa"/>
            <w:bottom w:w="0" w:type="dxa"/>
            <w:right w:w="0" w:type="dxa"/>
          </w:tblCellMar>
        </w:tblPrEx>
        <w:trPr>
          <w:tblCellSpacing w:w="0" w:type="dxa"/>
          <w:jc w:val="center"/>
        </w:trPr>
        <w:tc>
          <w:tcPr>
            <w:tcW w:w="5000" w:type="pct"/>
            <w:gridSpan w:val="7"/>
            <w:vAlign w:val="center"/>
          </w:tcPr>
          <w:p>
            <w:pPr>
              <w:pStyle w:val="4"/>
            </w:pPr>
            <w:r>
              <w:rPr>
                <w:rFonts w:hint="eastAsia"/>
              </w:rPr>
              <w:t xml:space="preserve">注：本表反映部门本年度一般公共预算财政拨款支出情况。本表金额转换为万元时，因四舍五入可能存在尾数误差。 </w:t>
            </w:r>
          </w:p>
        </w:tc>
      </w:tr>
    </w:tbl>
    <w:p>
      <w:pPr>
        <w:pStyle w:val="4"/>
        <w:rPr>
          <w:rFonts w:hint="eastAsia"/>
          <w:color w:val="000000"/>
        </w:rPr>
      </w:pPr>
    </w:p>
    <w:p>
      <w:pPr>
        <w:spacing w:after="2"/>
        <w:jc w:val="center"/>
        <w:rPr>
          <w:color w:val="000000"/>
          <w:szCs w:val="21"/>
        </w:rPr>
      </w:pPr>
    </w:p>
    <w:tbl>
      <w:tblPr>
        <w:tblStyle w:val="5"/>
        <w:tblW w:w="5000" w:type="pct"/>
        <w:jc w:val="center"/>
        <w:tblCellSpacing w:w="0" w:type="dxa"/>
        <w:tblLayout w:type="autofit"/>
        <w:tblCellMar>
          <w:top w:w="0" w:type="dxa"/>
          <w:left w:w="0" w:type="dxa"/>
          <w:bottom w:w="0" w:type="dxa"/>
          <w:right w:w="0" w:type="dxa"/>
        </w:tblCellMar>
      </w:tblPr>
      <w:tblGrid>
        <w:gridCol w:w="827"/>
        <w:gridCol w:w="3191"/>
        <w:gridCol w:w="1324"/>
        <w:gridCol w:w="828"/>
        <w:gridCol w:w="3192"/>
        <w:gridCol w:w="1325"/>
        <w:gridCol w:w="831"/>
        <w:gridCol w:w="3192"/>
        <w:gridCol w:w="1328"/>
      </w:tblGrid>
      <w:tr>
        <w:tblPrEx>
          <w:tblCellMar>
            <w:top w:w="0" w:type="dxa"/>
            <w:left w:w="0" w:type="dxa"/>
            <w:bottom w:w="0" w:type="dxa"/>
            <w:right w:w="0" w:type="dxa"/>
          </w:tblCellMar>
        </w:tblPrEx>
        <w:trPr>
          <w:tblCellSpacing w:w="0" w:type="dxa"/>
          <w:jc w:val="center"/>
        </w:trPr>
        <w:tc>
          <w:tcPr>
            <w:tcW w:w="5000" w:type="pct"/>
            <w:gridSpan w:val="9"/>
            <w:vAlign w:val="center"/>
          </w:tcPr>
          <w:p>
            <w:pPr>
              <w:pStyle w:val="4"/>
              <w:jc w:val="center"/>
              <w:rPr>
                <w:sz w:val="40"/>
                <w:szCs w:val="40"/>
              </w:rPr>
            </w:pPr>
            <w:r>
              <w:rPr>
                <w:rFonts w:hint="eastAsia"/>
                <w:sz w:val="40"/>
                <w:szCs w:val="40"/>
              </w:rPr>
              <w:t xml:space="preserve">一般公共预算财政拨款基本支出决算明细表 </w:t>
            </w:r>
          </w:p>
        </w:tc>
      </w:tr>
      <w:tr>
        <w:tblPrEx>
          <w:tblCellMar>
            <w:top w:w="0" w:type="dxa"/>
            <w:left w:w="0" w:type="dxa"/>
            <w:bottom w:w="0" w:type="dxa"/>
            <w:right w:w="0" w:type="dxa"/>
          </w:tblCellMar>
        </w:tblPrEx>
        <w:trPr>
          <w:tblCellSpacing w:w="0" w:type="dxa"/>
          <w:jc w:val="center"/>
        </w:trPr>
        <w:tc>
          <w:tcPr>
            <w:tcW w:w="258" w:type="pct"/>
            <w:vAlign w:val="center"/>
          </w:tcPr>
          <w:p>
            <w:pPr>
              <w:pStyle w:val="4"/>
            </w:pPr>
          </w:p>
        </w:tc>
        <w:tc>
          <w:tcPr>
            <w:tcW w:w="995" w:type="pct"/>
            <w:vAlign w:val="center"/>
          </w:tcPr>
          <w:p>
            <w:pPr>
              <w:pStyle w:val="4"/>
            </w:pPr>
          </w:p>
        </w:tc>
        <w:tc>
          <w:tcPr>
            <w:tcW w:w="413" w:type="pct"/>
            <w:vAlign w:val="center"/>
          </w:tcPr>
          <w:p>
            <w:pPr>
              <w:pStyle w:val="4"/>
            </w:pPr>
          </w:p>
        </w:tc>
        <w:tc>
          <w:tcPr>
            <w:tcW w:w="258" w:type="pct"/>
            <w:vAlign w:val="center"/>
          </w:tcPr>
          <w:p>
            <w:pPr>
              <w:pStyle w:val="4"/>
            </w:pPr>
          </w:p>
        </w:tc>
        <w:tc>
          <w:tcPr>
            <w:tcW w:w="995" w:type="pct"/>
            <w:vAlign w:val="center"/>
          </w:tcPr>
          <w:p>
            <w:pPr>
              <w:pStyle w:val="4"/>
            </w:pPr>
          </w:p>
        </w:tc>
        <w:tc>
          <w:tcPr>
            <w:tcW w:w="413" w:type="pct"/>
            <w:vAlign w:val="center"/>
          </w:tcPr>
          <w:p>
            <w:pPr>
              <w:pStyle w:val="4"/>
            </w:pPr>
          </w:p>
        </w:tc>
        <w:tc>
          <w:tcPr>
            <w:tcW w:w="258" w:type="pct"/>
            <w:vAlign w:val="center"/>
          </w:tcPr>
          <w:p>
            <w:pPr>
              <w:pStyle w:val="4"/>
            </w:pPr>
          </w:p>
        </w:tc>
        <w:tc>
          <w:tcPr>
            <w:tcW w:w="1408" w:type="pct"/>
            <w:gridSpan w:val="2"/>
            <w:vAlign w:val="center"/>
          </w:tcPr>
          <w:p>
            <w:pPr>
              <w:pStyle w:val="4"/>
              <w:jc w:val="right"/>
            </w:pPr>
            <w:r>
              <w:rPr>
                <w:rFonts w:hint="eastAsia"/>
              </w:rPr>
              <w:t xml:space="preserve">公开06表 </w:t>
            </w:r>
          </w:p>
        </w:tc>
      </w:tr>
      <w:tr>
        <w:tblPrEx>
          <w:tblCellMar>
            <w:top w:w="0" w:type="dxa"/>
            <w:left w:w="0" w:type="dxa"/>
            <w:bottom w:w="0" w:type="dxa"/>
            <w:right w:w="0" w:type="dxa"/>
          </w:tblCellMar>
        </w:tblPrEx>
        <w:trPr>
          <w:tblCellSpacing w:w="0" w:type="dxa"/>
          <w:jc w:val="center"/>
        </w:trPr>
        <w:tc>
          <w:tcPr>
            <w:tcW w:w="3591" w:type="pct"/>
            <w:gridSpan w:val="7"/>
            <w:vAlign w:val="center"/>
          </w:tcPr>
          <w:p>
            <w:pPr>
              <w:pStyle w:val="4"/>
            </w:pPr>
            <w:r>
              <w:rPr>
                <w:rFonts w:hint="eastAsia"/>
              </w:rPr>
              <w:t xml:space="preserve">部门：浏阳市社港镇人民政府 </w:t>
            </w:r>
          </w:p>
        </w:tc>
        <w:tc>
          <w:tcPr>
            <w:tcW w:w="1408" w:type="pct"/>
            <w:gridSpan w:val="2"/>
            <w:vAlign w:val="center"/>
          </w:tcPr>
          <w:p>
            <w:pPr>
              <w:pStyle w:val="4"/>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1666"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人员经费 </w:t>
            </w:r>
          </w:p>
        </w:tc>
        <w:tc>
          <w:tcPr>
            <w:tcW w:w="3333" w:type="pct"/>
            <w:gridSpan w:val="6"/>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公用经费 </w:t>
            </w:r>
          </w:p>
        </w:tc>
      </w:tr>
      <w:tr>
        <w:tblPrEx>
          <w:tblCellMar>
            <w:top w:w="0" w:type="dxa"/>
            <w:left w:w="0" w:type="dxa"/>
            <w:bottom w:w="0" w:type="dxa"/>
            <w:right w:w="0" w:type="dxa"/>
          </w:tblCellMar>
        </w:tblPrEx>
        <w:trPr>
          <w:trHeight w:val="311" w:hRule="atLeast"/>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决算数 </w:t>
            </w:r>
          </w:p>
        </w:tc>
      </w:tr>
      <w:tr>
        <w:tblPrEx>
          <w:tblCellMar>
            <w:top w:w="0" w:type="dxa"/>
            <w:left w:w="0" w:type="dxa"/>
            <w:bottom w:w="0" w:type="dxa"/>
            <w:right w:w="0" w:type="dxa"/>
          </w:tblCellMar>
        </w:tblPrEx>
        <w:trPr>
          <w:trHeight w:val="311" w:hRule="atLeast"/>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rPr>
                <w:b/>
                <w:bCs/>
              </w:rPr>
            </w:pPr>
            <w:r>
              <w:rPr>
                <w:rFonts w:hint="eastAsia"/>
                <w:b/>
                <w:bCs/>
              </w:rPr>
              <w:t xml:space="preserve">301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rPr>
                <w:b/>
                <w:bCs/>
              </w:rPr>
            </w:pPr>
            <w:r>
              <w:rPr>
                <w:rFonts w:hint="eastAsia"/>
                <w:b/>
                <w:bCs/>
              </w:rPr>
              <w:t xml:space="preserve">工资福利支出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1,834.91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rPr>
                <w:b/>
                <w:bCs/>
              </w:rPr>
            </w:pPr>
            <w:r>
              <w:rPr>
                <w:rFonts w:hint="eastAsia"/>
                <w:b/>
                <w:bCs/>
              </w:rPr>
              <w:t xml:space="preserve">302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rPr>
                <w:b/>
                <w:bCs/>
              </w:rPr>
            </w:pPr>
            <w:r>
              <w:rPr>
                <w:rFonts w:hint="eastAsia"/>
                <w:b/>
                <w:bCs/>
              </w:rPr>
              <w:t xml:space="preserve">商品和服务支出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150.61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rPr>
                <w:b/>
                <w:bCs/>
              </w:rPr>
            </w:pPr>
            <w:r>
              <w:rPr>
                <w:rFonts w:hint="eastAsia"/>
                <w:b/>
                <w:bCs/>
              </w:rPr>
              <w:t xml:space="preserve">307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rPr>
                <w:b/>
                <w:bCs/>
              </w:rPr>
            </w:pPr>
            <w:r>
              <w:rPr>
                <w:rFonts w:hint="eastAsia"/>
                <w:b/>
                <w:bCs/>
              </w:rPr>
              <w:t xml:space="preserve">债务利息及费用支出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30101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基本工资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285.31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办公费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6.08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30701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国内债务付息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30102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津贴补贴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376.29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30202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印刷费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1.38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30702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国外债务付息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30103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奖金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623.24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30203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咨询费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rPr>
                <w:b/>
                <w:bCs/>
              </w:rPr>
            </w:pPr>
            <w:r>
              <w:rPr>
                <w:rFonts w:hint="eastAsia"/>
                <w:b/>
                <w:bCs/>
              </w:rPr>
              <w:t xml:space="preserve">310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rPr>
                <w:b/>
                <w:bCs/>
              </w:rPr>
            </w:pPr>
            <w:r>
              <w:rPr>
                <w:rFonts w:hint="eastAsia"/>
                <w:b/>
                <w:bCs/>
              </w:rPr>
              <w:t xml:space="preserve">资本性支出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30106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伙食补助费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30204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手续费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房屋建筑物购建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30107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绩效工资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18.74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30205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水费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1.01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31002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办公设备购置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30108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机关事业单位基本养老保险缴费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115.28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30206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电费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31003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专用设备购置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30109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职业年金缴费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48.21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30207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邮电费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0.10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31005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基础设施建设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30110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职工基本医疗保险缴费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61.19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30208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取暖费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31006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大型修缮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30111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公务员医疗补助缴费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20.41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30209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物业管理费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31007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信息网络及软件购置更新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30112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其他社会保障缴费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8.39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30211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差旅费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1.16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31008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物资储备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30113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住房公积金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126.30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30212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因公出国（境）费用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31009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土地补偿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30114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医疗费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81.47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30213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维修（护）费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31010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安置补助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30199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其他工资福利支出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70.08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30214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租赁费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31011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地上附着物和青苗补偿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rPr>
                <w:b/>
                <w:bCs/>
              </w:rPr>
            </w:pPr>
            <w:r>
              <w:rPr>
                <w:rFonts w:hint="eastAsia"/>
                <w:b/>
                <w:bCs/>
              </w:rPr>
              <w:t xml:space="preserve">303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rPr>
                <w:b/>
                <w:bCs/>
              </w:rPr>
            </w:pPr>
            <w:r>
              <w:rPr>
                <w:rFonts w:hint="eastAsia"/>
                <w:b/>
                <w:bCs/>
              </w:rPr>
              <w:t xml:space="preserve">对个人和家庭的补助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277.35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30215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会议费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31012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拆迁补偿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30301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离休费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30216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培训费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0.85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31013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公务用车购置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30302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退休费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199.41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30217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公务接待费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6.68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31019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其他交通工具购置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30303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退职（役）费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30218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专用材料费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31021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文物和陈列品购置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30304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抚恤金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47.61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30224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被装购置费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31022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无形资产购置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30305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生活补助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25.56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30225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专用燃料费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31099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其他资本性支出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30306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救济费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30226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劳务费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rPr>
                <w:b/>
                <w:bCs/>
              </w:rPr>
            </w:pPr>
            <w:r>
              <w:rPr>
                <w:rFonts w:hint="eastAsia"/>
                <w:b/>
                <w:bCs/>
              </w:rPr>
              <w:t xml:space="preserve">399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rPr>
                <w:b/>
                <w:bCs/>
              </w:rPr>
            </w:pPr>
            <w:r>
              <w:rPr>
                <w:rFonts w:hint="eastAsia"/>
                <w:b/>
                <w:bCs/>
              </w:rPr>
              <w:t xml:space="preserve">其他支出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30307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医疗费补助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30227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委托业务费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39906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赠与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30308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助学金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30228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工会经费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26.05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39907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国家赔偿费用支出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30309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奖励金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30229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福利费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0.15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39908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对民间非营利组织和群众性自治组织补贴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30310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个人农业生产补贴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30231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公务用车运行维护费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39999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30311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代缴社会保险费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30239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其他交通费用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30399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其他对个人和家庭的补助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4.77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30240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税金及附加费用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30299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其他商品和服务支出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107.14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1253" w:type="pct"/>
            <w:gridSpan w:val="2"/>
            <w:tcBorders>
              <w:top w:val="single" w:color="666666" w:sz="6" w:space="0"/>
              <w:left w:val="single" w:color="666666" w:sz="6" w:space="0"/>
              <w:bottom w:val="single" w:color="666666" w:sz="6" w:space="0"/>
              <w:right w:val="single" w:color="666666" w:sz="6" w:space="0"/>
            </w:tcBorders>
            <w:vAlign w:val="center"/>
          </w:tcPr>
          <w:p>
            <w:pPr>
              <w:pStyle w:val="4"/>
              <w:jc w:val="center"/>
              <w:rPr>
                <w:b/>
                <w:bCs/>
              </w:rPr>
            </w:pPr>
            <w:r>
              <w:rPr>
                <w:rFonts w:hint="eastAsia"/>
                <w:b/>
                <w:bCs/>
              </w:rPr>
              <w:t xml:space="preserve">人员经费合计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2,112.26 </w:t>
            </w:r>
          </w:p>
        </w:tc>
        <w:tc>
          <w:tcPr>
            <w:tcW w:w="2920" w:type="pct"/>
            <w:gridSpan w:val="5"/>
            <w:tcBorders>
              <w:top w:val="single" w:color="666666" w:sz="6" w:space="0"/>
              <w:left w:val="single" w:color="666666" w:sz="6" w:space="0"/>
              <w:bottom w:val="single" w:color="666666" w:sz="6" w:space="0"/>
              <w:right w:val="single" w:color="666666" w:sz="6" w:space="0"/>
            </w:tcBorders>
            <w:vAlign w:val="center"/>
          </w:tcPr>
          <w:p>
            <w:pPr>
              <w:pStyle w:val="4"/>
              <w:jc w:val="center"/>
              <w:rPr>
                <w:b/>
                <w:bCs/>
              </w:rPr>
            </w:pPr>
            <w:r>
              <w:rPr>
                <w:rFonts w:hint="eastAsia"/>
                <w:b/>
                <w:bCs/>
              </w:rPr>
              <w:t xml:space="preserve">公用经费合计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150.61 </w:t>
            </w:r>
          </w:p>
        </w:tc>
      </w:tr>
      <w:tr>
        <w:tblPrEx>
          <w:tblCellMar>
            <w:top w:w="0" w:type="dxa"/>
            <w:left w:w="0" w:type="dxa"/>
            <w:bottom w:w="0" w:type="dxa"/>
            <w:right w:w="0" w:type="dxa"/>
          </w:tblCellMar>
        </w:tblPrEx>
        <w:trPr>
          <w:tblCellSpacing w:w="0" w:type="dxa"/>
          <w:jc w:val="center"/>
        </w:trPr>
        <w:tc>
          <w:tcPr>
            <w:tcW w:w="5000" w:type="pct"/>
            <w:gridSpan w:val="9"/>
            <w:vAlign w:val="center"/>
          </w:tcPr>
          <w:p>
            <w:pPr>
              <w:pStyle w:val="4"/>
            </w:pPr>
            <w:r>
              <w:rPr>
                <w:rFonts w:hint="eastAsia"/>
              </w:rPr>
              <w:t xml:space="preserve">注：本表反映部门本年度一般公共预算财政拨款基本支出明细情况。本表金额转换为万元时，因四舍五入可能存在尾数误差。 </w:t>
            </w:r>
          </w:p>
        </w:tc>
      </w:tr>
    </w:tbl>
    <w:p>
      <w:pPr>
        <w:pStyle w:val="4"/>
        <w:rPr>
          <w:rFonts w:hint="eastAsia"/>
          <w:color w:val="000000"/>
        </w:rPr>
      </w:pPr>
    </w:p>
    <w:p>
      <w:pPr>
        <w:spacing w:after="2"/>
        <w:jc w:val="center"/>
        <w:rPr>
          <w:color w:val="000000"/>
          <w:szCs w:val="21"/>
        </w:rPr>
      </w:pPr>
    </w:p>
    <w:tbl>
      <w:tblPr>
        <w:tblStyle w:val="5"/>
        <w:tblW w:w="5000" w:type="pct"/>
        <w:jc w:val="center"/>
        <w:tblCellSpacing w:w="0" w:type="dxa"/>
        <w:tblLayout w:type="autofit"/>
        <w:tblCellMar>
          <w:top w:w="0" w:type="dxa"/>
          <w:left w:w="0" w:type="dxa"/>
          <w:bottom w:w="0" w:type="dxa"/>
          <w:right w:w="0" w:type="dxa"/>
        </w:tblCellMar>
      </w:tblPr>
      <w:tblGrid>
        <w:gridCol w:w="359"/>
        <w:gridCol w:w="359"/>
        <w:gridCol w:w="366"/>
        <w:gridCol w:w="3589"/>
        <w:gridCol w:w="1854"/>
        <w:gridCol w:w="2043"/>
        <w:gridCol w:w="1809"/>
        <w:gridCol w:w="1771"/>
        <w:gridCol w:w="1809"/>
        <w:gridCol w:w="2079"/>
      </w:tblGrid>
      <w:tr>
        <w:tblPrEx>
          <w:tblCellMar>
            <w:top w:w="0" w:type="dxa"/>
            <w:left w:w="0" w:type="dxa"/>
            <w:bottom w:w="0" w:type="dxa"/>
            <w:right w:w="0" w:type="dxa"/>
          </w:tblCellMar>
        </w:tblPrEx>
        <w:trPr>
          <w:tblCellSpacing w:w="0" w:type="dxa"/>
          <w:jc w:val="center"/>
        </w:trPr>
        <w:tc>
          <w:tcPr>
            <w:tcW w:w="5000" w:type="pct"/>
            <w:gridSpan w:val="10"/>
            <w:vAlign w:val="center"/>
          </w:tcPr>
          <w:p>
            <w:pPr>
              <w:pStyle w:val="4"/>
              <w:jc w:val="center"/>
              <w:rPr>
                <w:sz w:val="40"/>
                <w:szCs w:val="40"/>
              </w:rPr>
            </w:pPr>
            <w:r>
              <w:rPr>
                <w:rFonts w:hint="eastAsia"/>
                <w:sz w:val="40"/>
                <w:szCs w:val="40"/>
              </w:rPr>
              <w:t xml:space="preserve">政府性基金预算财政拨款收入支出决算表 </w:t>
            </w:r>
          </w:p>
        </w:tc>
      </w:tr>
      <w:tr>
        <w:tblPrEx>
          <w:tblCellMar>
            <w:top w:w="0" w:type="dxa"/>
            <w:left w:w="0" w:type="dxa"/>
            <w:bottom w:w="0" w:type="dxa"/>
            <w:right w:w="0" w:type="dxa"/>
          </w:tblCellMar>
        </w:tblPrEx>
        <w:trPr>
          <w:tblCellSpacing w:w="0" w:type="dxa"/>
          <w:jc w:val="center"/>
        </w:trPr>
        <w:tc>
          <w:tcPr>
            <w:tcW w:w="112" w:type="pct"/>
            <w:vAlign w:val="center"/>
          </w:tcPr>
          <w:p>
            <w:pPr>
              <w:pStyle w:val="4"/>
            </w:pPr>
          </w:p>
        </w:tc>
        <w:tc>
          <w:tcPr>
            <w:tcW w:w="112" w:type="pct"/>
            <w:vAlign w:val="center"/>
          </w:tcPr>
          <w:p>
            <w:pPr>
              <w:pStyle w:val="4"/>
            </w:pPr>
          </w:p>
        </w:tc>
        <w:tc>
          <w:tcPr>
            <w:tcW w:w="112" w:type="pct"/>
            <w:vAlign w:val="center"/>
          </w:tcPr>
          <w:p>
            <w:pPr>
              <w:pStyle w:val="4"/>
            </w:pPr>
          </w:p>
        </w:tc>
        <w:tc>
          <w:tcPr>
            <w:tcW w:w="1118" w:type="pct"/>
            <w:vAlign w:val="center"/>
          </w:tcPr>
          <w:p>
            <w:pPr>
              <w:pStyle w:val="4"/>
            </w:pPr>
          </w:p>
        </w:tc>
        <w:tc>
          <w:tcPr>
            <w:tcW w:w="578" w:type="pct"/>
            <w:vAlign w:val="center"/>
          </w:tcPr>
          <w:p>
            <w:pPr>
              <w:pStyle w:val="4"/>
            </w:pPr>
          </w:p>
        </w:tc>
        <w:tc>
          <w:tcPr>
            <w:tcW w:w="637" w:type="pct"/>
            <w:vAlign w:val="center"/>
          </w:tcPr>
          <w:p>
            <w:pPr>
              <w:pStyle w:val="4"/>
            </w:pPr>
          </w:p>
        </w:tc>
        <w:tc>
          <w:tcPr>
            <w:tcW w:w="564" w:type="pct"/>
            <w:vAlign w:val="center"/>
          </w:tcPr>
          <w:p>
            <w:pPr>
              <w:pStyle w:val="4"/>
            </w:pPr>
          </w:p>
        </w:tc>
        <w:tc>
          <w:tcPr>
            <w:tcW w:w="549" w:type="pct"/>
            <w:vAlign w:val="center"/>
          </w:tcPr>
          <w:p>
            <w:pPr>
              <w:pStyle w:val="4"/>
            </w:pPr>
          </w:p>
        </w:tc>
        <w:tc>
          <w:tcPr>
            <w:tcW w:w="564" w:type="pct"/>
            <w:vAlign w:val="center"/>
          </w:tcPr>
          <w:p>
            <w:pPr>
              <w:pStyle w:val="4"/>
            </w:pPr>
          </w:p>
        </w:tc>
        <w:tc>
          <w:tcPr>
            <w:tcW w:w="647" w:type="pct"/>
            <w:vAlign w:val="center"/>
          </w:tcPr>
          <w:p>
            <w:pPr>
              <w:pStyle w:val="4"/>
              <w:jc w:val="right"/>
            </w:pPr>
            <w:r>
              <w:rPr>
                <w:rFonts w:hint="eastAsia"/>
              </w:rPr>
              <w:t xml:space="preserve">公开07表 </w:t>
            </w:r>
          </w:p>
        </w:tc>
      </w:tr>
      <w:tr>
        <w:tblPrEx>
          <w:tblCellMar>
            <w:top w:w="0" w:type="dxa"/>
            <w:left w:w="0" w:type="dxa"/>
            <w:bottom w:w="0" w:type="dxa"/>
            <w:right w:w="0" w:type="dxa"/>
          </w:tblCellMar>
        </w:tblPrEx>
        <w:trPr>
          <w:tblCellSpacing w:w="0" w:type="dxa"/>
          <w:jc w:val="center"/>
        </w:trPr>
        <w:tc>
          <w:tcPr>
            <w:tcW w:w="3788" w:type="pct"/>
            <w:gridSpan w:val="8"/>
            <w:vAlign w:val="center"/>
          </w:tcPr>
          <w:p>
            <w:pPr>
              <w:pStyle w:val="4"/>
            </w:pPr>
            <w:r>
              <w:rPr>
                <w:rFonts w:hint="eastAsia"/>
              </w:rPr>
              <w:t xml:space="preserve">部门：浏阳市社港镇人民政府 </w:t>
            </w:r>
          </w:p>
        </w:tc>
        <w:tc>
          <w:tcPr>
            <w:tcW w:w="564" w:type="pct"/>
            <w:vAlign w:val="center"/>
          </w:tcPr>
          <w:p>
            <w:pPr>
              <w:pStyle w:val="4"/>
            </w:pPr>
          </w:p>
        </w:tc>
        <w:tc>
          <w:tcPr>
            <w:tcW w:w="647" w:type="pct"/>
            <w:vAlign w:val="center"/>
          </w:tcPr>
          <w:p>
            <w:pPr>
              <w:pStyle w:val="4"/>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1457"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项目 </w:t>
            </w:r>
          </w:p>
        </w:tc>
        <w:tc>
          <w:tcPr>
            <w:tcW w:w="0" w:type="pct"/>
            <w:vMerge w:val="restart"/>
            <w:tcBorders>
              <w:top w:val="single" w:color="666666" w:sz="6" w:space="0"/>
              <w:bottom w:val="single" w:color="666666" w:sz="6" w:space="0"/>
              <w:right w:val="single" w:color="666666" w:sz="6" w:space="0"/>
            </w:tcBorders>
            <w:vAlign w:val="center"/>
          </w:tcPr>
          <w:p>
            <w:pPr>
              <w:pStyle w:val="4"/>
              <w:jc w:val="center"/>
            </w:pPr>
            <w:r>
              <w:rPr>
                <w:rFonts w:hint="eastAsia"/>
              </w:rPr>
              <w:t xml:space="preserve">年初结转和结余 </w:t>
            </w:r>
          </w:p>
        </w:tc>
        <w:tc>
          <w:tcPr>
            <w:tcW w:w="0" w:type="pct"/>
            <w:vMerge w:val="restart"/>
            <w:tcBorders>
              <w:top w:val="single" w:color="666666" w:sz="6" w:space="0"/>
              <w:bottom w:val="single" w:color="666666" w:sz="6" w:space="0"/>
              <w:right w:val="single" w:color="666666" w:sz="6" w:space="0"/>
            </w:tcBorders>
            <w:vAlign w:val="center"/>
          </w:tcPr>
          <w:p>
            <w:pPr>
              <w:pStyle w:val="4"/>
              <w:jc w:val="center"/>
            </w:pPr>
            <w:r>
              <w:rPr>
                <w:rFonts w:hint="eastAsia"/>
              </w:rPr>
              <w:t xml:space="preserve">本年收入 </w:t>
            </w:r>
          </w:p>
        </w:tc>
        <w:tc>
          <w:tcPr>
            <w:tcW w:w="1678" w:type="pct"/>
            <w:gridSpan w:val="3"/>
            <w:tcBorders>
              <w:top w:val="single" w:color="666666" w:sz="6" w:space="0"/>
              <w:bottom w:val="single" w:color="666666" w:sz="6" w:space="0"/>
              <w:right w:val="single" w:color="666666" w:sz="6" w:space="0"/>
            </w:tcBorders>
            <w:vAlign w:val="center"/>
          </w:tcPr>
          <w:p>
            <w:pPr>
              <w:pStyle w:val="4"/>
              <w:jc w:val="center"/>
            </w:pPr>
            <w:r>
              <w:rPr>
                <w:rFonts w:hint="eastAsia"/>
              </w:rPr>
              <w:t xml:space="preserve">本年支出 </w:t>
            </w:r>
          </w:p>
        </w:tc>
        <w:tc>
          <w:tcPr>
            <w:tcW w:w="0" w:type="pct"/>
            <w:vMerge w:val="restart"/>
            <w:tcBorders>
              <w:top w:val="single" w:color="666666" w:sz="6" w:space="0"/>
              <w:bottom w:val="single" w:color="666666" w:sz="6" w:space="0"/>
              <w:right w:val="single" w:color="666666" w:sz="6" w:space="0"/>
            </w:tcBorders>
            <w:vAlign w:val="center"/>
          </w:tcPr>
          <w:p>
            <w:pPr>
              <w:pStyle w:val="4"/>
              <w:jc w:val="center"/>
            </w:pPr>
            <w:r>
              <w:rPr>
                <w:rFonts w:hint="eastAsia"/>
              </w:rPr>
              <w:t xml:space="preserve">年末结转和结余 </w:t>
            </w:r>
          </w:p>
        </w:tc>
      </w:tr>
      <w:tr>
        <w:tblPrEx>
          <w:tblCellMar>
            <w:top w:w="0" w:type="dxa"/>
            <w:left w:w="0" w:type="dxa"/>
            <w:bottom w:w="0" w:type="dxa"/>
            <w:right w:w="0" w:type="dxa"/>
          </w:tblCellMar>
        </w:tblPrEx>
        <w:trPr>
          <w:trHeight w:val="311" w:hRule="atLeast"/>
          <w:tblCellSpacing w:w="0" w:type="dxa"/>
          <w:jc w:val="center"/>
        </w:trPr>
        <w:tc>
          <w:tcPr>
            <w:tcW w:w="338" w:type="pct"/>
            <w:gridSpan w:val="3"/>
            <w:vMerge w:val="restart"/>
            <w:tcBorders>
              <w:left w:val="single" w:color="666666" w:sz="6" w:space="0"/>
              <w:bottom w:val="single" w:color="666666" w:sz="6" w:space="0"/>
              <w:right w:val="single" w:color="666666" w:sz="6" w:space="0"/>
            </w:tcBorders>
            <w:vAlign w:val="center"/>
          </w:tcPr>
          <w:p>
            <w:pPr>
              <w:pStyle w:val="4"/>
              <w:jc w:val="center"/>
            </w:pPr>
            <w:r>
              <w:rPr>
                <w:rFonts w:hint="eastAsia"/>
              </w:rPr>
              <w:t xml:space="preserve">科目代码 </w:t>
            </w:r>
          </w:p>
        </w:tc>
        <w:tc>
          <w:tcPr>
            <w:tcW w:w="0" w:type="pct"/>
            <w:vMerge w:val="restart"/>
            <w:tcBorders>
              <w:bottom w:val="single" w:color="666666" w:sz="6" w:space="0"/>
              <w:right w:val="single" w:color="666666" w:sz="6" w:space="0"/>
            </w:tcBorders>
            <w:vAlign w:val="center"/>
          </w:tcPr>
          <w:p>
            <w:pPr>
              <w:pStyle w:val="4"/>
              <w:jc w:val="center"/>
            </w:pPr>
            <w:r>
              <w:rPr>
                <w:rFonts w:hint="eastAsia"/>
              </w:rPr>
              <w:t xml:space="preserve">科目名称 </w:t>
            </w: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pct"/>
            <w:vMerge w:val="restart"/>
            <w:tcBorders>
              <w:bottom w:val="single" w:color="666666" w:sz="6" w:space="0"/>
              <w:right w:val="single" w:color="666666" w:sz="6" w:space="0"/>
            </w:tcBorders>
            <w:vAlign w:val="center"/>
          </w:tcPr>
          <w:p>
            <w:pPr>
              <w:pStyle w:val="4"/>
              <w:jc w:val="center"/>
            </w:pPr>
            <w:r>
              <w:rPr>
                <w:rFonts w:hint="eastAsia"/>
              </w:rPr>
              <w:t xml:space="preserve">小计 </w:t>
            </w:r>
          </w:p>
        </w:tc>
        <w:tc>
          <w:tcPr>
            <w:tcW w:w="0" w:type="pct"/>
            <w:vMerge w:val="restart"/>
            <w:tcBorders>
              <w:bottom w:val="single" w:color="666666" w:sz="6" w:space="0"/>
              <w:right w:val="single" w:color="666666" w:sz="6" w:space="0"/>
            </w:tcBorders>
            <w:vAlign w:val="center"/>
          </w:tcPr>
          <w:p>
            <w:pPr>
              <w:pStyle w:val="4"/>
              <w:jc w:val="center"/>
            </w:pPr>
            <w:r>
              <w:rPr>
                <w:rFonts w:hint="eastAsia"/>
              </w:rPr>
              <w:t xml:space="preserve">基本支出 </w:t>
            </w:r>
          </w:p>
        </w:tc>
        <w:tc>
          <w:tcPr>
            <w:tcW w:w="0" w:type="pct"/>
            <w:vMerge w:val="restart"/>
            <w:tcBorders>
              <w:bottom w:val="single" w:color="666666" w:sz="6" w:space="0"/>
              <w:right w:val="single" w:color="666666" w:sz="6" w:space="0"/>
            </w:tcBorders>
            <w:vAlign w:val="center"/>
          </w:tcPr>
          <w:p>
            <w:pPr>
              <w:pStyle w:val="4"/>
              <w:jc w:val="center"/>
            </w:pPr>
            <w:r>
              <w:rPr>
                <w:rFonts w:hint="eastAsia"/>
              </w:rPr>
              <w:t xml:space="preserve">项目支出 </w:t>
            </w: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7" w:type="pct"/>
            <w:gridSpan w:val="4"/>
            <w:tcBorders>
              <w:left w:val="single" w:color="666666" w:sz="6" w:space="0"/>
              <w:bottom w:val="single" w:color="666666" w:sz="6" w:space="0"/>
              <w:right w:val="single" w:color="666666" w:sz="6" w:space="0"/>
            </w:tcBorders>
            <w:vAlign w:val="center"/>
          </w:tcPr>
          <w:p>
            <w:pPr>
              <w:pStyle w:val="4"/>
              <w:jc w:val="center"/>
            </w:pPr>
            <w:r>
              <w:rPr>
                <w:rFonts w:hint="eastAsia"/>
              </w:rPr>
              <w:t xml:space="preserve">栏次 </w:t>
            </w:r>
          </w:p>
        </w:tc>
        <w:tc>
          <w:tcPr>
            <w:tcW w:w="578" w:type="pct"/>
            <w:tcBorders>
              <w:bottom w:val="single" w:color="666666" w:sz="6" w:space="0"/>
              <w:right w:val="single" w:color="666666" w:sz="6" w:space="0"/>
            </w:tcBorders>
            <w:vAlign w:val="center"/>
          </w:tcPr>
          <w:p>
            <w:pPr>
              <w:pStyle w:val="4"/>
              <w:jc w:val="center"/>
            </w:pPr>
            <w:r>
              <w:rPr>
                <w:rFonts w:hint="eastAsia"/>
              </w:rPr>
              <w:t xml:space="preserve">1 </w:t>
            </w:r>
          </w:p>
        </w:tc>
        <w:tc>
          <w:tcPr>
            <w:tcW w:w="637" w:type="pct"/>
            <w:tcBorders>
              <w:bottom w:val="single" w:color="666666" w:sz="6" w:space="0"/>
              <w:right w:val="single" w:color="666666" w:sz="6" w:space="0"/>
            </w:tcBorders>
            <w:vAlign w:val="center"/>
          </w:tcPr>
          <w:p>
            <w:pPr>
              <w:pStyle w:val="4"/>
              <w:jc w:val="center"/>
            </w:pPr>
            <w:r>
              <w:rPr>
                <w:rFonts w:hint="eastAsia"/>
              </w:rPr>
              <w:t xml:space="preserve">2 </w:t>
            </w:r>
          </w:p>
        </w:tc>
        <w:tc>
          <w:tcPr>
            <w:tcW w:w="564" w:type="pct"/>
            <w:tcBorders>
              <w:bottom w:val="single" w:color="666666" w:sz="6" w:space="0"/>
              <w:right w:val="single" w:color="666666" w:sz="6" w:space="0"/>
            </w:tcBorders>
            <w:vAlign w:val="center"/>
          </w:tcPr>
          <w:p>
            <w:pPr>
              <w:pStyle w:val="4"/>
              <w:jc w:val="center"/>
            </w:pPr>
            <w:r>
              <w:rPr>
                <w:rFonts w:hint="eastAsia"/>
              </w:rPr>
              <w:t xml:space="preserve">3 </w:t>
            </w:r>
          </w:p>
        </w:tc>
        <w:tc>
          <w:tcPr>
            <w:tcW w:w="549" w:type="pct"/>
            <w:tcBorders>
              <w:bottom w:val="single" w:color="666666" w:sz="6" w:space="0"/>
              <w:right w:val="single" w:color="666666" w:sz="6" w:space="0"/>
            </w:tcBorders>
            <w:vAlign w:val="center"/>
          </w:tcPr>
          <w:p>
            <w:pPr>
              <w:pStyle w:val="4"/>
              <w:jc w:val="center"/>
            </w:pPr>
            <w:r>
              <w:rPr>
                <w:rFonts w:hint="eastAsia"/>
              </w:rPr>
              <w:t xml:space="preserve">4 </w:t>
            </w:r>
          </w:p>
        </w:tc>
        <w:tc>
          <w:tcPr>
            <w:tcW w:w="564" w:type="pct"/>
            <w:tcBorders>
              <w:bottom w:val="single" w:color="666666" w:sz="6" w:space="0"/>
              <w:right w:val="single" w:color="666666" w:sz="6" w:space="0"/>
            </w:tcBorders>
            <w:vAlign w:val="center"/>
          </w:tcPr>
          <w:p>
            <w:pPr>
              <w:pStyle w:val="4"/>
              <w:jc w:val="center"/>
            </w:pPr>
            <w:r>
              <w:rPr>
                <w:rFonts w:hint="eastAsia"/>
              </w:rPr>
              <w:t xml:space="preserve">5 </w:t>
            </w:r>
          </w:p>
        </w:tc>
        <w:tc>
          <w:tcPr>
            <w:tcW w:w="647" w:type="pct"/>
            <w:tcBorders>
              <w:bottom w:val="single" w:color="666666" w:sz="6" w:space="0"/>
              <w:right w:val="single" w:color="666666" w:sz="6" w:space="0"/>
            </w:tcBorders>
            <w:vAlign w:val="center"/>
          </w:tcPr>
          <w:p>
            <w:pPr>
              <w:pStyle w:val="4"/>
              <w:jc w:val="center"/>
            </w:pPr>
            <w:r>
              <w:rPr>
                <w:rFonts w:hint="eastAsia"/>
              </w:rPr>
              <w:t xml:space="preserve">6 </w:t>
            </w:r>
          </w:p>
        </w:tc>
      </w:tr>
      <w:tr>
        <w:tblPrEx>
          <w:tblCellMar>
            <w:top w:w="0" w:type="dxa"/>
            <w:left w:w="0" w:type="dxa"/>
            <w:bottom w:w="0" w:type="dxa"/>
            <w:right w:w="0" w:type="dxa"/>
          </w:tblCellMar>
        </w:tblPrEx>
        <w:trPr>
          <w:tblCellSpacing w:w="0" w:type="dxa"/>
          <w:jc w:val="center"/>
        </w:trPr>
        <w:tc>
          <w:tcPr>
            <w:tcW w:w="1457" w:type="pct"/>
            <w:gridSpan w:val="4"/>
            <w:tcBorders>
              <w:left w:val="single" w:color="666666" w:sz="6" w:space="0"/>
              <w:bottom w:val="single" w:color="666666" w:sz="6" w:space="0"/>
              <w:right w:val="single" w:color="666666" w:sz="6" w:space="0"/>
            </w:tcBorders>
            <w:vAlign w:val="center"/>
          </w:tcPr>
          <w:p>
            <w:pPr>
              <w:pStyle w:val="4"/>
              <w:jc w:val="center"/>
            </w:pPr>
            <w:r>
              <w:rPr>
                <w:rFonts w:hint="eastAsia"/>
              </w:rPr>
              <w:t xml:space="preserve">合计 </w:t>
            </w:r>
          </w:p>
        </w:tc>
        <w:tc>
          <w:tcPr>
            <w:tcW w:w="578" w:type="pct"/>
            <w:tcBorders>
              <w:bottom w:val="single" w:color="666666" w:sz="6" w:space="0"/>
              <w:right w:val="single" w:color="666666" w:sz="6" w:space="0"/>
            </w:tcBorders>
            <w:vAlign w:val="center"/>
          </w:tcPr>
          <w:p>
            <w:pPr>
              <w:pStyle w:val="4"/>
              <w:jc w:val="right"/>
              <w:rPr>
                <w:b/>
                <w:bCs/>
              </w:rPr>
            </w:pPr>
            <w:r>
              <w:rPr>
                <w:rFonts w:hint="eastAsia"/>
                <w:b/>
                <w:bCs/>
              </w:rPr>
              <w:t xml:space="preserve">0 </w:t>
            </w:r>
          </w:p>
        </w:tc>
        <w:tc>
          <w:tcPr>
            <w:tcW w:w="637" w:type="pct"/>
            <w:tcBorders>
              <w:bottom w:val="single" w:color="666666" w:sz="6" w:space="0"/>
              <w:right w:val="single" w:color="666666" w:sz="6" w:space="0"/>
            </w:tcBorders>
            <w:vAlign w:val="center"/>
          </w:tcPr>
          <w:p>
            <w:pPr>
              <w:pStyle w:val="4"/>
              <w:jc w:val="right"/>
              <w:rPr>
                <w:b/>
                <w:bCs/>
              </w:rPr>
            </w:pPr>
            <w:r>
              <w:rPr>
                <w:rFonts w:hint="eastAsia"/>
                <w:b/>
                <w:bCs/>
              </w:rPr>
              <w:t xml:space="preserve">322.65 </w:t>
            </w:r>
          </w:p>
        </w:tc>
        <w:tc>
          <w:tcPr>
            <w:tcW w:w="564" w:type="pct"/>
            <w:tcBorders>
              <w:bottom w:val="single" w:color="666666" w:sz="6" w:space="0"/>
              <w:right w:val="single" w:color="666666" w:sz="6" w:space="0"/>
            </w:tcBorders>
            <w:vAlign w:val="center"/>
          </w:tcPr>
          <w:p>
            <w:pPr>
              <w:pStyle w:val="4"/>
              <w:jc w:val="right"/>
              <w:rPr>
                <w:b/>
                <w:bCs/>
              </w:rPr>
            </w:pPr>
            <w:r>
              <w:rPr>
                <w:rFonts w:hint="eastAsia"/>
                <w:b/>
                <w:bCs/>
              </w:rPr>
              <w:t xml:space="preserve">322.65 </w:t>
            </w:r>
          </w:p>
        </w:tc>
        <w:tc>
          <w:tcPr>
            <w:tcW w:w="549" w:type="pct"/>
            <w:tcBorders>
              <w:bottom w:val="single" w:color="666666" w:sz="6" w:space="0"/>
              <w:right w:val="single" w:color="666666" w:sz="6" w:space="0"/>
            </w:tcBorders>
            <w:vAlign w:val="center"/>
          </w:tcPr>
          <w:p>
            <w:pPr>
              <w:pStyle w:val="4"/>
              <w:jc w:val="right"/>
              <w:rPr>
                <w:b/>
                <w:bCs/>
              </w:rPr>
            </w:pPr>
            <w:r>
              <w:rPr>
                <w:rFonts w:hint="eastAsia"/>
                <w:b/>
                <w:bCs/>
              </w:rPr>
              <w:t xml:space="preserve">0 </w:t>
            </w:r>
          </w:p>
        </w:tc>
        <w:tc>
          <w:tcPr>
            <w:tcW w:w="564" w:type="pct"/>
            <w:tcBorders>
              <w:bottom w:val="single" w:color="666666" w:sz="6" w:space="0"/>
              <w:right w:val="single" w:color="666666" w:sz="6" w:space="0"/>
            </w:tcBorders>
            <w:vAlign w:val="center"/>
          </w:tcPr>
          <w:p>
            <w:pPr>
              <w:pStyle w:val="4"/>
              <w:jc w:val="right"/>
              <w:rPr>
                <w:b/>
                <w:bCs/>
              </w:rPr>
            </w:pPr>
            <w:r>
              <w:rPr>
                <w:rFonts w:hint="eastAsia"/>
                <w:b/>
                <w:bCs/>
              </w:rPr>
              <w:t xml:space="preserve">322.65 </w:t>
            </w:r>
          </w:p>
        </w:tc>
        <w:tc>
          <w:tcPr>
            <w:tcW w:w="647" w:type="pct"/>
            <w:tcBorders>
              <w:bottom w:val="single" w:color="666666" w:sz="6" w:space="0"/>
              <w:right w:val="single" w:color="666666" w:sz="6" w:space="0"/>
            </w:tcBorders>
            <w:vAlign w:val="center"/>
          </w:tcPr>
          <w:p>
            <w:pPr>
              <w:pStyle w:val="4"/>
              <w:jc w:val="right"/>
              <w:rPr>
                <w:b/>
                <w:bCs/>
              </w:rPr>
            </w:pPr>
            <w:r>
              <w:rPr>
                <w:rFonts w:hint="eastAsia"/>
                <w:b/>
                <w:bCs/>
              </w:rPr>
              <w:t xml:space="preserve">0 </w:t>
            </w: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4"/>
            </w:pPr>
            <w:r>
              <w:rPr>
                <w:rFonts w:hint="eastAsia"/>
              </w:rPr>
              <w:t xml:space="preserve">208 </w:t>
            </w:r>
          </w:p>
        </w:tc>
        <w:tc>
          <w:tcPr>
            <w:tcW w:w="1118" w:type="pct"/>
            <w:tcBorders>
              <w:bottom w:val="single" w:color="666666" w:sz="6" w:space="0"/>
              <w:right w:val="single" w:color="666666" w:sz="6" w:space="0"/>
            </w:tcBorders>
            <w:vAlign w:val="center"/>
          </w:tcPr>
          <w:p>
            <w:pPr>
              <w:pStyle w:val="4"/>
            </w:pPr>
            <w:r>
              <w:rPr>
                <w:rFonts w:hint="eastAsia"/>
              </w:rPr>
              <w:t xml:space="preserve">社会保障和就业支出 </w:t>
            </w:r>
          </w:p>
        </w:tc>
        <w:tc>
          <w:tcPr>
            <w:tcW w:w="578" w:type="pct"/>
            <w:tcBorders>
              <w:bottom w:val="single" w:color="666666" w:sz="6" w:space="0"/>
              <w:right w:val="single" w:color="666666" w:sz="6" w:space="0"/>
            </w:tcBorders>
            <w:vAlign w:val="center"/>
          </w:tcPr>
          <w:p>
            <w:pPr>
              <w:pStyle w:val="4"/>
              <w:jc w:val="right"/>
            </w:pPr>
            <w:r>
              <w:rPr>
                <w:rFonts w:hint="eastAsia"/>
              </w:rPr>
              <w:t xml:space="preserve">0.00 </w:t>
            </w:r>
          </w:p>
        </w:tc>
        <w:tc>
          <w:tcPr>
            <w:tcW w:w="637" w:type="pct"/>
            <w:tcBorders>
              <w:bottom w:val="single" w:color="666666" w:sz="6" w:space="0"/>
              <w:right w:val="single" w:color="666666" w:sz="6" w:space="0"/>
            </w:tcBorders>
            <w:vAlign w:val="center"/>
          </w:tcPr>
          <w:p>
            <w:pPr>
              <w:pStyle w:val="4"/>
              <w:jc w:val="right"/>
            </w:pPr>
            <w:r>
              <w:rPr>
                <w:rFonts w:hint="eastAsia"/>
              </w:rPr>
              <w:t xml:space="preserve">30.00 </w:t>
            </w:r>
          </w:p>
        </w:tc>
        <w:tc>
          <w:tcPr>
            <w:tcW w:w="564" w:type="pct"/>
            <w:tcBorders>
              <w:bottom w:val="single" w:color="666666" w:sz="6" w:space="0"/>
              <w:right w:val="single" w:color="666666" w:sz="6" w:space="0"/>
            </w:tcBorders>
            <w:vAlign w:val="center"/>
          </w:tcPr>
          <w:p>
            <w:pPr>
              <w:pStyle w:val="4"/>
              <w:jc w:val="right"/>
            </w:pPr>
            <w:r>
              <w:rPr>
                <w:rFonts w:hint="eastAsia"/>
              </w:rPr>
              <w:t xml:space="preserve">30.00 </w:t>
            </w:r>
          </w:p>
        </w:tc>
        <w:tc>
          <w:tcPr>
            <w:tcW w:w="549" w:type="pct"/>
            <w:tcBorders>
              <w:bottom w:val="single" w:color="666666" w:sz="6" w:space="0"/>
              <w:right w:val="single" w:color="666666" w:sz="6" w:space="0"/>
            </w:tcBorders>
            <w:vAlign w:val="center"/>
          </w:tcPr>
          <w:p>
            <w:pPr>
              <w:pStyle w:val="4"/>
              <w:jc w:val="right"/>
            </w:pPr>
            <w:r>
              <w:rPr>
                <w:rFonts w:hint="eastAsia"/>
              </w:rPr>
              <w:t xml:space="preserve">0.00 </w:t>
            </w:r>
          </w:p>
        </w:tc>
        <w:tc>
          <w:tcPr>
            <w:tcW w:w="564" w:type="pct"/>
            <w:tcBorders>
              <w:bottom w:val="single" w:color="666666" w:sz="6" w:space="0"/>
              <w:right w:val="single" w:color="666666" w:sz="6" w:space="0"/>
            </w:tcBorders>
            <w:vAlign w:val="center"/>
          </w:tcPr>
          <w:p>
            <w:pPr>
              <w:pStyle w:val="4"/>
              <w:jc w:val="right"/>
            </w:pPr>
            <w:r>
              <w:rPr>
                <w:rFonts w:hint="eastAsia"/>
              </w:rPr>
              <w:t xml:space="preserve">30.00 </w:t>
            </w:r>
          </w:p>
        </w:tc>
        <w:tc>
          <w:tcPr>
            <w:tcW w:w="647" w:type="pct"/>
            <w:tcBorders>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4"/>
            </w:pPr>
            <w:r>
              <w:rPr>
                <w:rFonts w:hint="eastAsia"/>
              </w:rPr>
              <w:t xml:space="preserve">20822 </w:t>
            </w:r>
          </w:p>
        </w:tc>
        <w:tc>
          <w:tcPr>
            <w:tcW w:w="1118" w:type="pct"/>
            <w:tcBorders>
              <w:bottom w:val="single" w:color="666666" w:sz="6" w:space="0"/>
              <w:right w:val="single" w:color="666666" w:sz="6" w:space="0"/>
            </w:tcBorders>
            <w:vAlign w:val="center"/>
          </w:tcPr>
          <w:p>
            <w:pPr>
              <w:pStyle w:val="4"/>
            </w:pPr>
            <w:r>
              <w:rPr>
                <w:rFonts w:hint="eastAsia"/>
              </w:rPr>
              <w:t xml:space="preserve">大中型水库移民后期扶持基金支出 </w:t>
            </w:r>
          </w:p>
        </w:tc>
        <w:tc>
          <w:tcPr>
            <w:tcW w:w="578" w:type="pct"/>
            <w:tcBorders>
              <w:bottom w:val="single" w:color="666666" w:sz="6" w:space="0"/>
              <w:right w:val="single" w:color="666666" w:sz="6" w:space="0"/>
            </w:tcBorders>
            <w:vAlign w:val="center"/>
          </w:tcPr>
          <w:p>
            <w:pPr>
              <w:pStyle w:val="4"/>
              <w:jc w:val="right"/>
            </w:pPr>
            <w:r>
              <w:rPr>
                <w:rFonts w:hint="eastAsia"/>
              </w:rPr>
              <w:t xml:space="preserve">0.00 </w:t>
            </w:r>
          </w:p>
        </w:tc>
        <w:tc>
          <w:tcPr>
            <w:tcW w:w="637" w:type="pct"/>
            <w:tcBorders>
              <w:bottom w:val="single" w:color="666666" w:sz="6" w:space="0"/>
              <w:right w:val="single" w:color="666666" w:sz="6" w:space="0"/>
            </w:tcBorders>
            <w:vAlign w:val="center"/>
          </w:tcPr>
          <w:p>
            <w:pPr>
              <w:pStyle w:val="4"/>
              <w:jc w:val="right"/>
            </w:pPr>
            <w:r>
              <w:rPr>
                <w:rFonts w:hint="eastAsia"/>
              </w:rPr>
              <w:t xml:space="preserve">30.00 </w:t>
            </w:r>
          </w:p>
        </w:tc>
        <w:tc>
          <w:tcPr>
            <w:tcW w:w="564" w:type="pct"/>
            <w:tcBorders>
              <w:bottom w:val="single" w:color="666666" w:sz="6" w:space="0"/>
              <w:right w:val="single" w:color="666666" w:sz="6" w:space="0"/>
            </w:tcBorders>
            <w:vAlign w:val="center"/>
          </w:tcPr>
          <w:p>
            <w:pPr>
              <w:pStyle w:val="4"/>
              <w:jc w:val="right"/>
            </w:pPr>
            <w:r>
              <w:rPr>
                <w:rFonts w:hint="eastAsia"/>
              </w:rPr>
              <w:t xml:space="preserve">30.00 </w:t>
            </w:r>
          </w:p>
        </w:tc>
        <w:tc>
          <w:tcPr>
            <w:tcW w:w="549" w:type="pct"/>
            <w:tcBorders>
              <w:bottom w:val="single" w:color="666666" w:sz="6" w:space="0"/>
              <w:right w:val="single" w:color="666666" w:sz="6" w:space="0"/>
            </w:tcBorders>
            <w:vAlign w:val="center"/>
          </w:tcPr>
          <w:p>
            <w:pPr>
              <w:pStyle w:val="4"/>
              <w:jc w:val="right"/>
            </w:pPr>
            <w:r>
              <w:rPr>
                <w:rFonts w:hint="eastAsia"/>
              </w:rPr>
              <w:t xml:space="preserve">0.00 </w:t>
            </w:r>
          </w:p>
        </w:tc>
        <w:tc>
          <w:tcPr>
            <w:tcW w:w="564" w:type="pct"/>
            <w:tcBorders>
              <w:bottom w:val="single" w:color="666666" w:sz="6" w:space="0"/>
              <w:right w:val="single" w:color="666666" w:sz="6" w:space="0"/>
            </w:tcBorders>
            <w:vAlign w:val="center"/>
          </w:tcPr>
          <w:p>
            <w:pPr>
              <w:pStyle w:val="4"/>
              <w:jc w:val="right"/>
            </w:pPr>
            <w:r>
              <w:rPr>
                <w:rFonts w:hint="eastAsia"/>
              </w:rPr>
              <w:t xml:space="preserve">30.00 </w:t>
            </w:r>
          </w:p>
        </w:tc>
        <w:tc>
          <w:tcPr>
            <w:tcW w:w="647" w:type="pct"/>
            <w:tcBorders>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4"/>
            </w:pPr>
            <w:r>
              <w:rPr>
                <w:rFonts w:hint="eastAsia"/>
              </w:rPr>
              <w:t xml:space="preserve">2082201 </w:t>
            </w:r>
          </w:p>
        </w:tc>
        <w:tc>
          <w:tcPr>
            <w:tcW w:w="1118" w:type="pct"/>
            <w:tcBorders>
              <w:bottom w:val="single" w:color="666666" w:sz="6" w:space="0"/>
              <w:right w:val="single" w:color="666666" w:sz="6" w:space="0"/>
            </w:tcBorders>
            <w:vAlign w:val="center"/>
          </w:tcPr>
          <w:p>
            <w:pPr>
              <w:pStyle w:val="4"/>
            </w:pPr>
            <w:r>
              <w:rPr>
                <w:rFonts w:hint="eastAsia"/>
              </w:rPr>
              <w:t xml:space="preserve">移民补助 </w:t>
            </w:r>
          </w:p>
        </w:tc>
        <w:tc>
          <w:tcPr>
            <w:tcW w:w="578" w:type="pct"/>
            <w:tcBorders>
              <w:bottom w:val="single" w:color="666666" w:sz="6" w:space="0"/>
              <w:right w:val="single" w:color="666666" w:sz="6" w:space="0"/>
            </w:tcBorders>
            <w:vAlign w:val="center"/>
          </w:tcPr>
          <w:p>
            <w:pPr>
              <w:pStyle w:val="4"/>
              <w:jc w:val="right"/>
            </w:pPr>
            <w:r>
              <w:rPr>
                <w:rFonts w:hint="eastAsia"/>
              </w:rPr>
              <w:t xml:space="preserve">0.00 </w:t>
            </w:r>
          </w:p>
        </w:tc>
        <w:tc>
          <w:tcPr>
            <w:tcW w:w="637" w:type="pct"/>
            <w:tcBorders>
              <w:bottom w:val="single" w:color="666666" w:sz="6" w:space="0"/>
              <w:right w:val="single" w:color="666666" w:sz="6" w:space="0"/>
            </w:tcBorders>
            <w:vAlign w:val="center"/>
          </w:tcPr>
          <w:p>
            <w:pPr>
              <w:pStyle w:val="4"/>
              <w:jc w:val="right"/>
            </w:pPr>
            <w:r>
              <w:rPr>
                <w:rFonts w:hint="eastAsia"/>
              </w:rPr>
              <w:t xml:space="preserve">18.00 </w:t>
            </w:r>
          </w:p>
        </w:tc>
        <w:tc>
          <w:tcPr>
            <w:tcW w:w="564" w:type="pct"/>
            <w:tcBorders>
              <w:bottom w:val="single" w:color="666666" w:sz="6" w:space="0"/>
              <w:right w:val="single" w:color="666666" w:sz="6" w:space="0"/>
            </w:tcBorders>
            <w:vAlign w:val="center"/>
          </w:tcPr>
          <w:p>
            <w:pPr>
              <w:pStyle w:val="4"/>
              <w:jc w:val="right"/>
            </w:pPr>
            <w:r>
              <w:rPr>
                <w:rFonts w:hint="eastAsia"/>
              </w:rPr>
              <w:t xml:space="preserve">18.00 </w:t>
            </w:r>
          </w:p>
        </w:tc>
        <w:tc>
          <w:tcPr>
            <w:tcW w:w="549" w:type="pct"/>
            <w:tcBorders>
              <w:bottom w:val="single" w:color="666666" w:sz="6" w:space="0"/>
              <w:right w:val="single" w:color="666666" w:sz="6" w:space="0"/>
            </w:tcBorders>
            <w:vAlign w:val="center"/>
          </w:tcPr>
          <w:p>
            <w:pPr>
              <w:pStyle w:val="4"/>
              <w:jc w:val="right"/>
            </w:pPr>
            <w:r>
              <w:rPr>
                <w:rFonts w:hint="eastAsia"/>
              </w:rPr>
              <w:t xml:space="preserve">0.00 </w:t>
            </w:r>
          </w:p>
        </w:tc>
        <w:tc>
          <w:tcPr>
            <w:tcW w:w="564" w:type="pct"/>
            <w:tcBorders>
              <w:bottom w:val="single" w:color="666666" w:sz="6" w:space="0"/>
              <w:right w:val="single" w:color="666666" w:sz="6" w:space="0"/>
            </w:tcBorders>
            <w:vAlign w:val="center"/>
          </w:tcPr>
          <w:p>
            <w:pPr>
              <w:pStyle w:val="4"/>
              <w:jc w:val="right"/>
            </w:pPr>
            <w:r>
              <w:rPr>
                <w:rFonts w:hint="eastAsia"/>
              </w:rPr>
              <w:t xml:space="preserve">18.00 </w:t>
            </w:r>
          </w:p>
        </w:tc>
        <w:tc>
          <w:tcPr>
            <w:tcW w:w="647" w:type="pct"/>
            <w:tcBorders>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4"/>
            </w:pPr>
            <w:r>
              <w:rPr>
                <w:rFonts w:hint="eastAsia"/>
              </w:rPr>
              <w:t xml:space="preserve">2082202 </w:t>
            </w:r>
          </w:p>
        </w:tc>
        <w:tc>
          <w:tcPr>
            <w:tcW w:w="1118" w:type="pct"/>
            <w:tcBorders>
              <w:bottom w:val="single" w:color="666666" w:sz="6" w:space="0"/>
              <w:right w:val="single" w:color="666666" w:sz="6" w:space="0"/>
            </w:tcBorders>
            <w:vAlign w:val="center"/>
          </w:tcPr>
          <w:p>
            <w:pPr>
              <w:pStyle w:val="4"/>
            </w:pPr>
            <w:r>
              <w:rPr>
                <w:rFonts w:hint="eastAsia"/>
              </w:rPr>
              <w:t xml:space="preserve">基础设施建设和经济发展 </w:t>
            </w:r>
          </w:p>
        </w:tc>
        <w:tc>
          <w:tcPr>
            <w:tcW w:w="578" w:type="pct"/>
            <w:tcBorders>
              <w:bottom w:val="single" w:color="666666" w:sz="6" w:space="0"/>
              <w:right w:val="single" w:color="666666" w:sz="6" w:space="0"/>
            </w:tcBorders>
            <w:vAlign w:val="center"/>
          </w:tcPr>
          <w:p>
            <w:pPr>
              <w:pStyle w:val="4"/>
              <w:jc w:val="right"/>
            </w:pPr>
            <w:r>
              <w:rPr>
                <w:rFonts w:hint="eastAsia"/>
              </w:rPr>
              <w:t xml:space="preserve">0.00 </w:t>
            </w:r>
          </w:p>
        </w:tc>
        <w:tc>
          <w:tcPr>
            <w:tcW w:w="637" w:type="pct"/>
            <w:tcBorders>
              <w:bottom w:val="single" w:color="666666" w:sz="6" w:space="0"/>
              <w:right w:val="single" w:color="666666" w:sz="6" w:space="0"/>
            </w:tcBorders>
            <w:vAlign w:val="center"/>
          </w:tcPr>
          <w:p>
            <w:pPr>
              <w:pStyle w:val="4"/>
              <w:jc w:val="right"/>
            </w:pPr>
            <w:r>
              <w:rPr>
                <w:rFonts w:hint="eastAsia"/>
              </w:rPr>
              <w:t xml:space="preserve">12.00 </w:t>
            </w:r>
          </w:p>
        </w:tc>
        <w:tc>
          <w:tcPr>
            <w:tcW w:w="564" w:type="pct"/>
            <w:tcBorders>
              <w:bottom w:val="single" w:color="666666" w:sz="6" w:space="0"/>
              <w:right w:val="single" w:color="666666" w:sz="6" w:space="0"/>
            </w:tcBorders>
            <w:vAlign w:val="center"/>
          </w:tcPr>
          <w:p>
            <w:pPr>
              <w:pStyle w:val="4"/>
              <w:jc w:val="right"/>
            </w:pPr>
            <w:r>
              <w:rPr>
                <w:rFonts w:hint="eastAsia"/>
              </w:rPr>
              <w:t xml:space="preserve">12.00 </w:t>
            </w:r>
          </w:p>
        </w:tc>
        <w:tc>
          <w:tcPr>
            <w:tcW w:w="549" w:type="pct"/>
            <w:tcBorders>
              <w:bottom w:val="single" w:color="666666" w:sz="6" w:space="0"/>
              <w:right w:val="single" w:color="666666" w:sz="6" w:space="0"/>
            </w:tcBorders>
            <w:vAlign w:val="center"/>
          </w:tcPr>
          <w:p>
            <w:pPr>
              <w:pStyle w:val="4"/>
              <w:jc w:val="right"/>
            </w:pPr>
            <w:r>
              <w:rPr>
                <w:rFonts w:hint="eastAsia"/>
              </w:rPr>
              <w:t xml:space="preserve">0.00 </w:t>
            </w:r>
          </w:p>
        </w:tc>
        <w:tc>
          <w:tcPr>
            <w:tcW w:w="564" w:type="pct"/>
            <w:tcBorders>
              <w:bottom w:val="single" w:color="666666" w:sz="6" w:space="0"/>
              <w:right w:val="single" w:color="666666" w:sz="6" w:space="0"/>
            </w:tcBorders>
            <w:vAlign w:val="center"/>
          </w:tcPr>
          <w:p>
            <w:pPr>
              <w:pStyle w:val="4"/>
              <w:jc w:val="right"/>
            </w:pPr>
            <w:r>
              <w:rPr>
                <w:rFonts w:hint="eastAsia"/>
              </w:rPr>
              <w:t xml:space="preserve">12.00 </w:t>
            </w:r>
          </w:p>
        </w:tc>
        <w:tc>
          <w:tcPr>
            <w:tcW w:w="647" w:type="pct"/>
            <w:tcBorders>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4"/>
            </w:pPr>
            <w:r>
              <w:rPr>
                <w:rFonts w:hint="eastAsia"/>
              </w:rPr>
              <w:t xml:space="preserve">212 </w:t>
            </w:r>
          </w:p>
        </w:tc>
        <w:tc>
          <w:tcPr>
            <w:tcW w:w="1118" w:type="pct"/>
            <w:tcBorders>
              <w:bottom w:val="single" w:color="666666" w:sz="6" w:space="0"/>
              <w:right w:val="single" w:color="666666" w:sz="6" w:space="0"/>
            </w:tcBorders>
            <w:vAlign w:val="center"/>
          </w:tcPr>
          <w:p>
            <w:pPr>
              <w:pStyle w:val="4"/>
            </w:pPr>
            <w:r>
              <w:rPr>
                <w:rFonts w:hint="eastAsia"/>
              </w:rPr>
              <w:t xml:space="preserve">城乡社区支出 </w:t>
            </w:r>
          </w:p>
        </w:tc>
        <w:tc>
          <w:tcPr>
            <w:tcW w:w="578" w:type="pct"/>
            <w:tcBorders>
              <w:bottom w:val="single" w:color="666666" w:sz="6" w:space="0"/>
              <w:right w:val="single" w:color="666666" w:sz="6" w:space="0"/>
            </w:tcBorders>
            <w:vAlign w:val="center"/>
          </w:tcPr>
          <w:p>
            <w:pPr>
              <w:pStyle w:val="4"/>
              <w:jc w:val="right"/>
            </w:pPr>
            <w:r>
              <w:rPr>
                <w:rFonts w:hint="eastAsia"/>
              </w:rPr>
              <w:t xml:space="preserve">0.00 </w:t>
            </w:r>
          </w:p>
        </w:tc>
        <w:tc>
          <w:tcPr>
            <w:tcW w:w="637" w:type="pct"/>
            <w:tcBorders>
              <w:bottom w:val="single" w:color="666666" w:sz="6" w:space="0"/>
              <w:right w:val="single" w:color="666666" w:sz="6" w:space="0"/>
            </w:tcBorders>
            <w:vAlign w:val="center"/>
          </w:tcPr>
          <w:p>
            <w:pPr>
              <w:pStyle w:val="4"/>
              <w:jc w:val="right"/>
            </w:pPr>
            <w:r>
              <w:rPr>
                <w:rFonts w:hint="eastAsia"/>
              </w:rPr>
              <w:t xml:space="preserve">197.65 </w:t>
            </w:r>
          </w:p>
        </w:tc>
        <w:tc>
          <w:tcPr>
            <w:tcW w:w="564" w:type="pct"/>
            <w:tcBorders>
              <w:bottom w:val="single" w:color="666666" w:sz="6" w:space="0"/>
              <w:right w:val="single" w:color="666666" w:sz="6" w:space="0"/>
            </w:tcBorders>
            <w:vAlign w:val="center"/>
          </w:tcPr>
          <w:p>
            <w:pPr>
              <w:pStyle w:val="4"/>
              <w:jc w:val="right"/>
            </w:pPr>
            <w:r>
              <w:rPr>
                <w:rFonts w:hint="eastAsia"/>
              </w:rPr>
              <w:t xml:space="preserve">197.65 </w:t>
            </w:r>
          </w:p>
        </w:tc>
        <w:tc>
          <w:tcPr>
            <w:tcW w:w="549" w:type="pct"/>
            <w:tcBorders>
              <w:bottom w:val="single" w:color="666666" w:sz="6" w:space="0"/>
              <w:right w:val="single" w:color="666666" w:sz="6" w:space="0"/>
            </w:tcBorders>
            <w:vAlign w:val="center"/>
          </w:tcPr>
          <w:p>
            <w:pPr>
              <w:pStyle w:val="4"/>
              <w:jc w:val="right"/>
            </w:pPr>
            <w:r>
              <w:rPr>
                <w:rFonts w:hint="eastAsia"/>
              </w:rPr>
              <w:t xml:space="preserve">0.00 </w:t>
            </w:r>
          </w:p>
        </w:tc>
        <w:tc>
          <w:tcPr>
            <w:tcW w:w="564" w:type="pct"/>
            <w:tcBorders>
              <w:bottom w:val="single" w:color="666666" w:sz="6" w:space="0"/>
              <w:right w:val="single" w:color="666666" w:sz="6" w:space="0"/>
            </w:tcBorders>
            <w:vAlign w:val="center"/>
          </w:tcPr>
          <w:p>
            <w:pPr>
              <w:pStyle w:val="4"/>
              <w:jc w:val="right"/>
            </w:pPr>
            <w:r>
              <w:rPr>
                <w:rFonts w:hint="eastAsia"/>
              </w:rPr>
              <w:t xml:space="preserve">197.65 </w:t>
            </w:r>
          </w:p>
        </w:tc>
        <w:tc>
          <w:tcPr>
            <w:tcW w:w="647" w:type="pct"/>
            <w:tcBorders>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4"/>
            </w:pPr>
            <w:r>
              <w:rPr>
                <w:rFonts w:hint="eastAsia"/>
              </w:rPr>
              <w:t xml:space="preserve">21208 </w:t>
            </w:r>
          </w:p>
        </w:tc>
        <w:tc>
          <w:tcPr>
            <w:tcW w:w="1118" w:type="pct"/>
            <w:tcBorders>
              <w:bottom w:val="single" w:color="666666" w:sz="6" w:space="0"/>
              <w:right w:val="single" w:color="666666" w:sz="6" w:space="0"/>
            </w:tcBorders>
            <w:vAlign w:val="center"/>
          </w:tcPr>
          <w:p>
            <w:pPr>
              <w:pStyle w:val="4"/>
            </w:pPr>
            <w:r>
              <w:rPr>
                <w:rFonts w:hint="eastAsia"/>
              </w:rPr>
              <w:t xml:space="preserve">国有土地使用权出让收入安排的支出 </w:t>
            </w:r>
          </w:p>
        </w:tc>
        <w:tc>
          <w:tcPr>
            <w:tcW w:w="578" w:type="pct"/>
            <w:tcBorders>
              <w:bottom w:val="single" w:color="666666" w:sz="6" w:space="0"/>
              <w:right w:val="single" w:color="666666" w:sz="6" w:space="0"/>
            </w:tcBorders>
            <w:vAlign w:val="center"/>
          </w:tcPr>
          <w:p>
            <w:pPr>
              <w:pStyle w:val="4"/>
              <w:jc w:val="right"/>
            </w:pPr>
            <w:r>
              <w:rPr>
                <w:rFonts w:hint="eastAsia"/>
              </w:rPr>
              <w:t xml:space="preserve">0.00 </w:t>
            </w:r>
          </w:p>
        </w:tc>
        <w:tc>
          <w:tcPr>
            <w:tcW w:w="637" w:type="pct"/>
            <w:tcBorders>
              <w:bottom w:val="single" w:color="666666" w:sz="6" w:space="0"/>
              <w:right w:val="single" w:color="666666" w:sz="6" w:space="0"/>
            </w:tcBorders>
            <w:vAlign w:val="center"/>
          </w:tcPr>
          <w:p>
            <w:pPr>
              <w:pStyle w:val="4"/>
              <w:jc w:val="right"/>
            </w:pPr>
            <w:r>
              <w:rPr>
                <w:rFonts w:hint="eastAsia"/>
              </w:rPr>
              <w:t xml:space="preserve">183.53 </w:t>
            </w:r>
          </w:p>
        </w:tc>
        <w:tc>
          <w:tcPr>
            <w:tcW w:w="564" w:type="pct"/>
            <w:tcBorders>
              <w:bottom w:val="single" w:color="666666" w:sz="6" w:space="0"/>
              <w:right w:val="single" w:color="666666" w:sz="6" w:space="0"/>
            </w:tcBorders>
            <w:vAlign w:val="center"/>
          </w:tcPr>
          <w:p>
            <w:pPr>
              <w:pStyle w:val="4"/>
              <w:jc w:val="right"/>
            </w:pPr>
            <w:r>
              <w:rPr>
                <w:rFonts w:hint="eastAsia"/>
              </w:rPr>
              <w:t xml:space="preserve">183.53 </w:t>
            </w:r>
          </w:p>
        </w:tc>
        <w:tc>
          <w:tcPr>
            <w:tcW w:w="549" w:type="pct"/>
            <w:tcBorders>
              <w:bottom w:val="single" w:color="666666" w:sz="6" w:space="0"/>
              <w:right w:val="single" w:color="666666" w:sz="6" w:space="0"/>
            </w:tcBorders>
            <w:vAlign w:val="center"/>
          </w:tcPr>
          <w:p>
            <w:pPr>
              <w:pStyle w:val="4"/>
              <w:jc w:val="right"/>
            </w:pPr>
            <w:r>
              <w:rPr>
                <w:rFonts w:hint="eastAsia"/>
              </w:rPr>
              <w:t xml:space="preserve">0.00 </w:t>
            </w:r>
          </w:p>
        </w:tc>
        <w:tc>
          <w:tcPr>
            <w:tcW w:w="564" w:type="pct"/>
            <w:tcBorders>
              <w:bottom w:val="single" w:color="666666" w:sz="6" w:space="0"/>
              <w:right w:val="single" w:color="666666" w:sz="6" w:space="0"/>
            </w:tcBorders>
            <w:vAlign w:val="center"/>
          </w:tcPr>
          <w:p>
            <w:pPr>
              <w:pStyle w:val="4"/>
              <w:jc w:val="right"/>
            </w:pPr>
            <w:r>
              <w:rPr>
                <w:rFonts w:hint="eastAsia"/>
              </w:rPr>
              <w:t xml:space="preserve">183.53 </w:t>
            </w:r>
          </w:p>
        </w:tc>
        <w:tc>
          <w:tcPr>
            <w:tcW w:w="647" w:type="pct"/>
            <w:tcBorders>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4"/>
            </w:pPr>
            <w:r>
              <w:rPr>
                <w:rFonts w:hint="eastAsia"/>
              </w:rPr>
              <w:t xml:space="preserve">2120804 </w:t>
            </w:r>
          </w:p>
        </w:tc>
        <w:tc>
          <w:tcPr>
            <w:tcW w:w="1118" w:type="pct"/>
            <w:tcBorders>
              <w:bottom w:val="single" w:color="666666" w:sz="6" w:space="0"/>
              <w:right w:val="single" w:color="666666" w:sz="6" w:space="0"/>
            </w:tcBorders>
            <w:vAlign w:val="center"/>
          </w:tcPr>
          <w:p>
            <w:pPr>
              <w:pStyle w:val="4"/>
            </w:pPr>
            <w:r>
              <w:rPr>
                <w:rFonts w:hint="eastAsia"/>
              </w:rPr>
              <w:t xml:space="preserve">农村基础设施建设支出 </w:t>
            </w:r>
          </w:p>
        </w:tc>
        <w:tc>
          <w:tcPr>
            <w:tcW w:w="578" w:type="pct"/>
            <w:tcBorders>
              <w:bottom w:val="single" w:color="666666" w:sz="6" w:space="0"/>
              <w:right w:val="single" w:color="666666" w:sz="6" w:space="0"/>
            </w:tcBorders>
            <w:vAlign w:val="center"/>
          </w:tcPr>
          <w:p>
            <w:pPr>
              <w:pStyle w:val="4"/>
              <w:jc w:val="right"/>
            </w:pPr>
            <w:r>
              <w:rPr>
                <w:rFonts w:hint="eastAsia"/>
              </w:rPr>
              <w:t xml:space="preserve">0.00 </w:t>
            </w:r>
          </w:p>
        </w:tc>
        <w:tc>
          <w:tcPr>
            <w:tcW w:w="637" w:type="pct"/>
            <w:tcBorders>
              <w:bottom w:val="single" w:color="666666" w:sz="6" w:space="0"/>
              <w:right w:val="single" w:color="666666" w:sz="6" w:space="0"/>
            </w:tcBorders>
            <w:vAlign w:val="center"/>
          </w:tcPr>
          <w:p>
            <w:pPr>
              <w:pStyle w:val="4"/>
              <w:jc w:val="right"/>
            </w:pPr>
            <w:r>
              <w:rPr>
                <w:rFonts w:hint="eastAsia"/>
              </w:rPr>
              <w:t xml:space="preserve">183.53 </w:t>
            </w:r>
          </w:p>
        </w:tc>
        <w:tc>
          <w:tcPr>
            <w:tcW w:w="564" w:type="pct"/>
            <w:tcBorders>
              <w:bottom w:val="single" w:color="666666" w:sz="6" w:space="0"/>
              <w:right w:val="single" w:color="666666" w:sz="6" w:space="0"/>
            </w:tcBorders>
            <w:vAlign w:val="center"/>
          </w:tcPr>
          <w:p>
            <w:pPr>
              <w:pStyle w:val="4"/>
              <w:jc w:val="right"/>
            </w:pPr>
            <w:r>
              <w:rPr>
                <w:rFonts w:hint="eastAsia"/>
              </w:rPr>
              <w:t xml:space="preserve">183.53 </w:t>
            </w:r>
          </w:p>
        </w:tc>
        <w:tc>
          <w:tcPr>
            <w:tcW w:w="549" w:type="pct"/>
            <w:tcBorders>
              <w:bottom w:val="single" w:color="666666" w:sz="6" w:space="0"/>
              <w:right w:val="single" w:color="666666" w:sz="6" w:space="0"/>
            </w:tcBorders>
            <w:vAlign w:val="center"/>
          </w:tcPr>
          <w:p>
            <w:pPr>
              <w:pStyle w:val="4"/>
              <w:jc w:val="right"/>
            </w:pPr>
            <w:r>
              <w:rPr>
                <w:rFonts w:hint="eastAsia"/>
              </w:rPr>
              <w:t xml:space="preserve">0.00 </w:t>
            </w:r>
          </w:p>
        </w:tc>
        <w:tc>
          <w:tcPr>
            <w:tcW w:w="564" w:type="pct"/>
            <w:tcBorders>
              <w:bottom w:val="single" w:color="666666" w:sz="6" w:space="0"/>
              <w:right w:val="single" w:color="666666" w:sz="6" w:space="0"/>
            </w:tcBorders>
            <w:vAlign w:val="center"/>
          </w:tcPr>
          <w:p>
            <w:pPr>
              <w:pStyle w:val="4"/>
              <w:jc w:val="right"/>
            </w:pPr>
            <w:r>
              <w:rPr>
                <w:rFonts w:hint="eastAsia"/>
              </w:rPr>
              <w:t xml:space="preserve">183.53 </w:t>
            </w:r>
          </w:p>
        </w:tc>
        <w:tc>
          <w:tcPr>
            <w:tcW w:w="647" w:type="pct"/>
            <w:tcBorders>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4"/>
            </w:pPr>
            <w:r>
              <w:rPr>
                <w:rFonts w:hint="eastAsia"/>
              </w:rPr>
              <w:t xml:space="preserve">21213 </w:t>
            </w:r>
          </w:p>
        </w:tc>
        <w:tc>
          <w:tcPr>
            <w:tcW w:w="1118" w:type="pct"/>
            <w:tcBorders>
              <w:bottom w:val="single" w:color="666666" w:sz="6" w:space="0"/>
              <w:right w:val="single" w:color="666666" w:sz="6" w:space="0"/>
            </w:tcBorders>
            <w:vAlign w:val="center"/>
          </w:tcPr>
          <w:p>
            <w:pPr>
              <w:pStyle w:val="4"/>
            </w:pPr>
            <w:r>
              <w:rPr>
                <w:rFonts w:hint="eastAsia"/>
              </w:rPr>
              <w:t xml:space="preserve">城市基础设施配套费安排的支出 </w:t>
            </w:r>
          </w:p>
        </w:tc>
        <w:tc>
          <w:tcPr>
            <w:tcW w:w="578" w:type="pct"/>
            <w:tcBorders>
              <w:bottom w:val="single" w:color="666666" w:sz="6" w:space="0"/>
              <w:right w:val="single" w:color="666666" w:sz="6" w:space="0"/>
            </w:tcBorders>
            <w:vAlign w:val="center"/>
          </w:tcPr>
          <w:p>
            <w:pPr>
              <w:pStyle w:val="4"/>
              <w:jc w:val="right"/>
            </w:pPr>
            <w:r>
              <w:rPr>
                <w:rFonts w:hint="eastAsia"/>
              </w:rPr>
              <w:t xml:space="preserve">0.00 </w:t>
            </w:r>
          </w:p>
        </w:tc>
        <w:tc>
          <w:tcPr>
            <w:tcW w:w="637" w:type="pct"/>
            <w:tcBorders>
              <w:bottom w:val="single" w:color="666666" w:sz="6" w:space="0"/>
              <w:right w:val="single" w:color="666666" w:sz="6" w:space="0"/>
            </w:tcBorders>
            <w:vAlign w:val="center"/>
          </w:tcPr>
          <w:p>
            <w:pPr>
              <w:pStyle w:val="4"/>
              <w:jc w:val="right"/>
            </w:pPr>
            <w:r>
              <w:rPr>
                <w:rFonts w:hint="eastAsia"/>
              </w:rPr>
              <w:t xml:space="preserve">14.12 </w:t>
            </w:r>
          </w:p>
        </w:tc>
        <w:tc>
          <w:tcPr>
            <w:tcW w:w="564" w:type="pct"/>
            <w:tcBorders>
              <w:bottom w:val="single" w:color="666666" w:sz="6" w:space="0"/>
              <w:right w:val="single" w:color="666666" w:sz="6" w:space="0"/>
            </w:tcBorders>
            <w:vAlign w:val="center"/>
          </w:tcPr>
          <w:p>
            <w:pPr>
              <w:pStyle w:val="4"/>
              <w:jc w:val="right"/>
            </w:pPr>
            <w:r>
              <w:rPr>
                <w:rFonts w:hint="eastAsia"/>
              </w:rPr>
              <w:t xml:space="preserve">14.12 </w:t>
            </w:r>
          </w:p>
        </w:tc>
        <w:tc>
          <w:tcPr>
            <w:tcW w:w="549" w:type="pct"/>
            <w:tcBorders>
              <w:bottom w:val="single" w:color="666666" w:sz="6" w:space="0"/>
              <w:right w:val="single" w:color="666666" w:sz="6" w:space="0"/>
            </w:tcBorders>
            <w:vAlign w:val="center"/>
          </w:tcPr>
          <w:p>
            <w:pPr>
              <w:pStyle w:val="4"/>
              <w:jc w:val="right"/>
            </w:pPr>
            <w:r>
              <w:rPr>
                <w:rFonts w:hint="eastAsia"/>
              </w:rPr>
              <w:t xml:space="preserve">0.00 </w:t>
            </w:r>
          </w:p>
        </w:tc>
        <w:tc>
          <w:tcPr>
            <w:tcW w:w="564" w:type="pct"/>
            <w:tcBorders>
              <w:bottom w:val="single" w:color="666666" w:sz="6" w:space="0"/>
              <w:right w:val="single" w:color="666666" w:sz="6" w:space="0"/>
            </w:tcBorders>
            <w:vAlign w:val="center"/>
          </w:tcPr>
          <w:p>
            <w:pPr>
              <w:pStyle w:val="4"/>
              <w:jc w:val="right"/>
            </w:pPr>
            <w:r>
              <w:rPr>
                <w:rFonts w:hint="eastAsia"/>
              </w:rPr>
              <w:t xml:space="preserve">14.12 </w:t>
            </w:r>
          </w:p>
        </w:tc>
        <w:tc>
          <w:tcPr>
            <w:tcW w:w="647" w:type="pct"/>
            <w:tcBorders>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4"/>
            </w:pPr>
            <w:r>
              <w:rPr>
                <w:rFonts w:hint="eastAsia"/>
              </w:rPr>
              <w:t xml:space="preserve">2121399 </w:t>
            </w:r>
          </w:p>
        </w:tc>
        <w:tc>
          <w:tcPr>
            <w:tcW w:w="1118" w:type="pct"/>
            <w:tcBorders>
              <w:bottom w:val="single" w:color="666666" w:sz="6" w:space="0"/>
              <w:right w:val="single" w:color="666666" w:sz="6" w:space="0"/>
            </w:tcBorders>
            <w:vAlign w:val="center"/>
          </w:tcPr>
          <w:p>
            <w:pPr>
              <w:pStyle w:val="4"/>
            </w:pPr>
            <w:r>
              <w:rPr>
                <w:rFonts w:hint="eastAsia"/>
              </w:rPr>
              <w:t xml:space="preserve">其他城市基础设施配套费安排的支出 </w:t>
            </w:r>
          </w:p>
        </w:tc>
        <w:tc>
          <w:tcPr>
            <w:tcW w:w="578" w:type="pct"/>
            <w:tcBorders>
              <w:bottom w:val="single" w:color="666666" w:sz="6" w:space="0"/>
              <w:right w:val="single" w:color="666666" w:sz="6" w:space="0"/>
            </w:tcBorders>
            <w:vAlign w:val="center"/>
          </w:tcPr>
          <w:p>
            <w:pPr>
              <w:pStyle w:val="4"/>
              <w:jc w:val="right"/>
            </w:pPr>
            <w:r>
              <w:rPr>
                <w:rFonts w:hint="eastAsia"/>
              </w:rPr>
              <w:t xml:space="preserve">0.00 </w:t>
            </w:r>
          </w:p>
        </w:tc>
        <w:tc>
          <w:tcPr>
            <w:tcW w:w="637" w:type="pct"/>
            <w:tcBorders>
              <w:bottom w:val="single" w:color="666666" w:sz="6" w:space="0"/>
              <w:right w:val="single" w:color="666666" w:sz="6" w:space="0"/>
            </w:tcBorders>
            <w:vAlign w:val="center"/>
          </w:tcPr>
          <w:p>
            <w:pPr>
              <w:pStyle w:val="4"/>
              <w:jc w:val="right"/>
            </w:pPr>
            <w:r>
              <w:rPr>
                <w:rFonts w:hint="eastAsia"/>
              </w:rPr>
              <w:t xml:space="preserve">14.12 </w:t>
            </w:r>
          </w:p>
        </w:tc>
        <w:tc>
          <w:tcPr>
            <w:tcW w:w="564" w:type="pct"/>
            <w:tcBorders>
              <w:bottom w:val="single" w:color="666666" w:sz="6" w:space="0"/>
              <w:right w:val="single" w:color="666666" w:sz="6" w:space="0"/>
            </w:tcBorders>
            <w:vAlign w:val="center"/>
          </w:tcPr>
          <w:p>
            <w:pPr>
              <w:pStyle w:val="4"/>
              <w:jc w:val="right"/>
            </w:pPr>
            <w:r>
              <w:rPr>
                <w:rFonts w:hint="eastAsia"/>
              </w:rPr>
              <w:t xml:space="preserve">14.12 </w:t>
            </w:r>
          </w:p>
        </w:tc>
        <w:tc>
          <w:tcPr>
            <w:tcW w:w="549" w:type="pct"/>
            <w:tcBorders>
              <w:bottom w:val="single" w:color="666666" w:sz="6" w:space="0"/>
              <w:right w:val="single" w:color="666666" w:sz="6" w:space="0"/>
            </w:tcBorders>
            <w:vAlign w:val="center"/>
          </w:tcPr>
          <w:p>
            <w:pPr>
              <w:pStyle w:val="4"/>
              <w:jc w:val="right"/>
            </w:pPr>
            <w:r>
              <w:rPr>
                <w:rFonts w:hint="eastAsia"/>
              </w:rPr>
              <w:t xml:space="preserve">0.00 </w:t>
            </w:r>
          </w:p>
        </w:tc>
        <w:tc>
          <w:tcPr>
            <w:tcW w:w="564" w:type="pct"/>
            <w:tcBorders>
              <w:bottom w:val="single" w:color="666666" w:sz="6" w:space="0"/>
              <w:right w:val="single" w:color="666666" w:sz="6" w:space="0"/>
            </w:tcBorders>
            <w:vAlign w:val="center"/>
          </w:tcPr>
          <w:p>
            <w:pPr>
              <w:pStyle w:val="4"/>
              <w:jc w:val="right"/>
            </w:pPr>
            <w:r>
              <w:rPr>
                <w:rFonts w:hint="eastAsia"/>
              </w:rPr>
              <w:t xml:space="preserve">14.12 </w:t>
            </w:r>
          </w:p>
        </w:tc>
        <w:tc>
          <w:tcPr>
            <w:tcW w:w="647" w:type="pct"/>
            <w:tcBorders>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4"/>
            </w:pPr>
            <w:r>
              <w:rPr>
                <w:rFonts w:hint="eastAsia"/>
              </w:rPr>
              <w:t xml:space="preserve">229 </w:t>
            </w:r>
          </w:p>
        </w:tc>
        <w:tc>
          <w:tcPr>
            <w:tcW w:w="1118" w:type="pct"/>
            <w:tcBorders>
              <w:bottom w:val="single" w:color="666666" w:sz="6" w:space="0"/>
              <w:right w:val="single" w:color="666666" w:sz="6" w:space="0"/>
            </w:tcBorders>
            <w:vAlign w:val="center"/>
          </w:tcPr>
          <w:p>
            <w:pPr>
              <w:pStyle w:val="4"/>
            </w:pPr>
            <w:r>
              <w:rPr>
                <w:rFonts w:hint="eastAsia"/>
              </w:rPr>
              <w:t xml:space="preserve">其他支出 </w:t>
            </w:r>
          </w:p>
        </w:tc>
        <w:tc>
          <w:tcPr>
            <w:tcW w:w="578" w:type="pct"/>
            <w:tcBorders>
              <w:bottom w:val="single" w:color="666666" w:sz="6" w:space="0"/>
              <w:right w:val="single" w:color="666666" w:sz="6" w:space="0"/>
            </w:tcBorders>
            <w:vAlign w:val="center"/>
          </w:tcPr>
          <w:p>
            <w:pPr>
              <w:pStyle w:val="4"/>
              <w:jc w:val="right"/>
            </w:pPr>
            <w:r>
              <w:rPr>
                <w:rFonts w:hint="eastAsia"/>
              </w:rPr>
              <w:t xml:space="preserve">0.00 </w:t>
            </w:r>
          </w:p>
        </w:tc>
        <w:tc>
          <w:tcPr>
            <w:tcW w:w="637" w:type="pct"/>
            <w:tcBorders>
              <w:bottom w:val="single" w:color="666666" w:sz="6" w:space="0"/>
              <w:right w:val="single" w:color="666666" w:sz="6" w:space="0"/>
            </w:tcBorders>
            <w:vAlign w:val="center"/>
          </w:tcPr>
          <w:p>
            <w:pPr>
              <w:pStyle w:val="4"/>
              <w:jc w:val="right"/>
            </w:pPr>
            <w:r>
              <w:rPr>
                <w:rFonts w:hint="eastAsia"/>
              </w:rPr>
              <w:t xml:space="preserve">95.00 </w:t>
            </w:r>
          </w:p>
        </w:tc>
        <w:tc>
          <w:tcPr>
            <w:tcW w:w="564" w:type="pct"/>
            <w:tcBorders>
              <w:bottom w:val="single" w:color="666666" w:sz="6" w:space="0"/>
              <w:right w:val="single" w:color="666666" w:sz="6" w:space="0"/>
            </w:tcBorders>
            <w:vAlign w:val="center"/>
          </w:tcPr>
          <w:p>
            <w:pPr>
              <w:pStyle w:val="4"/>
              <w:jc w:val="right"/>
            </w:pPr>
            <w:r>
              <w:rPr>
                <w:rFonts w:hint="eastAsia"/>
              </w:rPr>
              <w:t xml:space="preserve">95.00 </w:t>
            </w:r>
          </w:p>
        </w:tc>
        <w:tc>
          <w:tcPr>
            <w:tcW w:w="549" w:type="pct"/>
            <w:tcBorders>
              <w:bottom w:val="single" w:color="666666" w:sz="6" w:space="0"/>
              <w:right w:val="single" w:color="666666" w:sz="6" w:space="0"/>
            </w:tcBorders>
            <w:vAlign w:val="center"/>
          </w:tcPr>
          <w:p>
            <w:pPr>
              <w:pStyle w:val="4"/>
              <w:jc w:val="right"/>
            </w:pPr>
            <w:r>
              <w:rPr>
                <w:rFonts w:hint="eastAsia"/>
              </w:rPr>
              <w:t xml:space="preserve">0.00 </w:t>
            </w:r>
          </w:p>
        </w:tc>
        <w:tc>
          <w:tcPr>
            <w:tcW w:w="564" w:type="pct"/>
            <w:tcBorders>
              <w:bottom w:val="single" w:color="666666" w:sz="6" w:space="0"/>
              <w:right w:val="single" w:color="666666" w:sz="6" w:space="0"/>
            </w:tcBorders>
            <w:vAlign w:val="center"/>
          </w:tcPr>
          <w:p>
            <w:pPr>
              <w:pStyle w:val="4"/>
              <w:jc w:val="right"/>
            </w:pPr>
            <w:r>
              <w:rPr>
                <w:rFonts w:hint="eastAsia"/>
              </w:rPr>
              <w:t xml:space="preserve">95.00 </w:t>
            </w:r>
          </w:p>
        </w:tc>
        <w:tc>
          <w:tcPr>
            <w:tcW w:w="647" w:type="pct"/>
            <w:tcBorders>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4"/>
            </w:pPr>
            <w:r>
              <w:rPr>
                <w:rFonts w:hint="eastAsia"/>
              </w:rPr>
              <w:t xml:space="preserve">22960 </w:t>
            </w:r>
          </w:p>
        </w:tc>
        <w:tc>
          <w:tcPr>
            <w:tcW w:w="1118" w:type="pct"/>
            <w:tcBorders>
              <w:bottom w:val="single" w:color="666666" w:sz="6" w:space="0"/>
              <w:right w:val="single" w:color="666666" w:sz="6" w:space="0"/>
            </w:tcBorders>
            <w:vAlign w:val="center"/>
          </w:tcPr>
          <w:p>
            <w:pPr>
              <w:pStyle w:val="4"/>
            </w:pPr>
            <w:r>
              <w:rPr>
                <w:rFonts w:hint="eastAsia"/>
              </w:rPr>
              <w:t xml:space="preserve">彩票公益金安排的支出 </w:t>
            </w:r>
          </w:p>
        </w:tc>
        <w:tc>
          <w:tcPr>
            <w:tcW w:w="578" w:type="pct"/>
            <w:tcBorders>
              <w:bottom w:val="single" w:color="666666" w:sz="6" w:space="0"/>
              <w:right w:val="single" w:color="666666" w:sz="6" w:space="0"/>
            </w:tcBorders>
            <w:vAlign w:val="center"/>
          </w:tcPr>
          <w:p>
            <w:pPr>
              <w:pStyle w:val="4"/>
              <w:jc w:val="right"/>
            </w:pPr>
            <w:r>
              <w:rPr>
                <w:rFonts w:hint="eastAsia"/>
              </w:rPr>
              <w:t xml:space="preserve">0.00 </w:t>
            </w:r>
          </w:p>
        </w:tc>
        <w:tc>
          <w:tcPr>
            <w:tcW w:w="637" w:type="pct"/>
            <w:tcBorders>
              <w:bottom w:val="single" w:color="666666" w:sz="6" w:space="0"/>
              <w:right w:val="single" w:color="666666" w:sz="6" w:space="0"/>
            </w:tcBorders>
            <w:vAlign w:val="center"/>
          </w:tcPr>
          <w:p>
            <w:pPr>
              <w:pStyle w:val="4"/>
              <w:jc w:val="right"/>
            </w:pPr>
            <w:r>
              <w:rPr>
                <w:rFonts w:hint="eastAsia"/>
              </w:rPr>
              <w:t xml:space="preserve">95.00 </w:t>
            </w:r>
          </w:p>
        </w:tc>
        <w:tc>
          <w:tcPr>
            <w:tcW w:w="564" w:type="pct"/>
            <w:tcBorders>
              <w:bottom w:val="single" w:color="666666" w:sz="6" w:space="0"/>
              <w:right w:val="single" w:color="666666" w:sz="6" w:space="0"/>
            </w:tcBorders>
            <w:vAlign w:val="center"/>
          </w:tcPr>
          <w:p>
            <w:pPr>
              <w:pStyle w:val="4"/>
              <w:jc w:val="right"/>
            </w:pPr>
            <w:r>
              <w:rPr>
                <w:rFonts w:hint="eastAsia"/>
              </w:rPr>
              <w:t xml:space="preserve">95.00 </w:t>
            </w:r>
          </w:p>
        </w:tc>
        <w:tc>
          <w:tcPr>
            <w:tcW w:w="549" w:type="pct"/>
            <w:tcBorders>
              <w:bottom w:val="single" w:color="666666" w:sz="6" w:space="0"/>
              <w:right w:val="single" w:color="666666" w:sz="6" w:space="0"/>
            </w:tcBorders>
            <w:vAlign w:val="center"/>
          </w:tcPr>
          <w:p>
            <w:pPr>
              <w:pStyle w:val="4"/>
              <w:jc w:val="right"/>
            </w:pPr>
            <w:r>
              <w:rPr>
                <w:rFonts w:hint="eastAsia"/>
              </w:rPr>
              <w:t xml:space="preserve">0.00 </w:t>
            </w:r>
          </w:p>
        </w:tc>
        <w:tc>
          <w:tcPr>
            <w:tcW w:w="564" w:type="pct"/>
            <w:tcBorders>
              <w:bottom w:val="single" w:color="666666" w:sz="6" w:space="0"/>
              <w:right w:val="single" w:color="666666" w:sz="6" w:space="0"/>
            </w:tcBorders>
            <w:vAlign w:val="center"/>
          </w:tcPr>
          <w:p>
            <w:pPr>
              <w:pStyle w:val="4"/>
              <w:jc w:val="right"/>
            </w:pPr>
            <w:r>
              <w:rPr>
                <w:rFonts w:hint="eastAsia"/>
              </w:rPr>
              <w:t xml:space="preserve">95.00 </w:t>
            </w:r>
          </w:p>
        </w:tc>
        <w:tc>
          <w:tcPr>
            <w:tcW w:w="647" w:type="pct"/>
            <w:tcBorders>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4"/>
            </w:pPr>
            <w:r>
              <w:rPr>
                <w:rFonts w:hint="eastAsia"/>
              </w:rPr>
              <w:t xml:space="preserve">2296002 </w:t>
            </w:r>
          </w:p>
        </w:tc>
        <w:tc>
          <w:tcPr>
            <w:tcW w:w="1118" w:type="pct"/>
            <w:tcBorders>
              <w:bottom w:val="single" w:color="666666" w:sz="6" w:space="0"/>
              <w:right w:val="single" w:color="666666" w:sz="6" w:space="0"/>
            </w:tcBorders>
            <w:vAlign w:val="center"/>
          </w:tcPr>
          <w:p>
            <w:pPr>
              <w:pStyle w:val="4"/>
            </w:pPr>
            <w:r>
              <w:rPr>
                <w:rFonts w:hint="eastAsia"/>
              </w:rPr>
              <w:t xml:space="preserve">用于社会福利的彩票公益金支出 </w:t>
            </w:r>
          </w:p>
        </w:tc>
        <w:tc>
          <w:tcPr>
            <w:tcW w:w="578" w:type="pct"/>
            <w:tcBorders>
              <w:bottom w:val="single" w:color="666666" w:sz="6" w:space="0"/>
              <w:right w:val="single" w:color="666666" w:sz="6" w:space="0"/>
            </w:tcBorders>
            <w:vAlign w:val="center"/>
          </w:tcPr>
          <w:p>
            <w:pPr>
              <w:pStyle w:val="4"/>
              <w:jc w:val="right"/>
            </w:pPr>
            <w:r>
              <w:rPr>
                <w:rFonts w:hint="eastAsia"/>
              </w:rPr>
              <w:t xml:space="preserve">0.00 </w:t>
            </w:r>
          </w:p>
        </w:tc>
        <w:tc>
          <w:tcPr>
            <w:tcW w:w="637" w:type="pct"/>
            <w:tcBorders>
              <w:bottom w:val="single" w:color="666666" w:sz="6" w:space="0"/>
              <w:right w:val="single" w:color="666666" w:sz="6" w:space="0"/>
            </w:tcBorders>
            <w:vAlign w:val="center"/>
          </w:tcPr>
          <w:p>
            <w:pPr>
              <w:pStyle w:val="4"/>
              <w:jc w:val="right"/>
            </w:pPr>
            <w:r>
              <w:rPr>
                <w:rFonts w:hint="eastAsia"/>
              </w:rPr>
              <w:t xml:space="preserve">30.00 </w:t>
            </w:r>
          </w:p>
        </w:tc>
        <w:tc>
          <w:tcPr>
            <w:tcW w:w="564" w:type="pct"/>
            <w:tcBorders>
              <w:bottom w:val="single" w:color="666666" w:sz="6" w:space="0"/>
              <w:right w:val="single" w:color="666666" w:sz="6" w:space="0"/>
            </w:tcBorders>
            <w:vAlign w:val="center"/>
          </w:tcPr>
          <w:p>
            <w:pPr>
              <w:pStyle w:val="4"/>
              <w:jc w:val="right"/>
            </w:pPr>
            <w:r>
              <w:rPr>
                <w:rFonts w:hint="eastAsia"/>
              </w:rPr>
              <w:t xml:space="preserve">30.00 </w:t>
            </w:r>
          </w:p>
        </w:tc>
        <w:tc>
          <w:tcPr>
            <w:tcW w:w="549" w:type="pct"/>
            <w:tcBorders>
              <w:bottom w:val="single" w:color="666666" w:sz="6" w:space="0"/>
              <w:right w:val="single" w:color="666666" w:sz="6" w:space="0"/>
            </w:tcBorders>
            <w:vAlign w:val="center"/>
          </w:tcPr>
          <w:p>
            <w:pPr>
              <w:pStyle w:val="4"/>
              <w:jc w:val="right"/>
            </w:pPr>
            <w:r>
              <w:rPr>
                <w:rFonts w:hint="eastAsia"/>
              </w:rPr>
              <w:t xml:space="preserve">0.00 </w:t>
            </w:r>
          </w:p>
        </w:tc>
        <w:tc>
          <w:tcPr>
            <w:tcW w:w="564" w:type="pct"/>
            <w:tcBorders>
              <w:bottom w:val="single" w:color="666666" w:sz="6" w:space="0"/>
              <w:right w:val="single" w:color="666666" w:sz="6" w:space="0"/>
            </w:tcBorders>
            <w:vAlign w:val="center"/>
          </w:tcPr>
          <w:p>
            <w:pPr>
              <w:pStyle w:val="4"/>
              <w:jc w:val="right"/>
            </w:pPr>
            <w:r>
              <w:rPr>
                <w:rFonts w:hint="eastAsia"/>
              </w:rPr>
              <w:t xml:space="preserve">30.00 </w:t>
            </w:r>
          </w:p>
        </w:tc>
        <w:tc>
          <w:tcPr>
            <w:tcW w:w="647" w:type="pct"/>
            <w:tcBorders>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4"/>
            </w:pPr>
            <w:r>
              <w:rPr>
                <w:rFonts w:hint="eastAsia"/>
              </w:rPr>
              <w:t xml:space="preserve">2296003 </w:t>
            </w:r>
          </w:p>
        </w:tc>
        <w:tc>
          <w:tcPr>
            <w:tcW w:w="1118" w:type="pct"/>
            <w:tcBorders>
              <w:bottom w:val="single" w:color="666666" w:sz="6" w:space="0"/>
              <w:right w:val="single" w:color="666666" w:sz="6" w:space="0"/>
            </w:tcBorders>
            <w:vAlign w:val="center"/>
          </w:tcPr>
          <w:p>
            <w:pPr>
              <w:pStyle w:val="4"/>
            </w:pPr>
            <w:r>
              <w:rPr>
                <w:rFonts w:hint="eastAsia"/>
              </w:rPr>
              <w:t xml:space="preserve">用于体育事业的彩票公益金支出 </w:t>
            </w:r>
          </w:p>
        </w:tc>
        <w:tc>
          <w:tcPr>
            <w:tcW w:w="578" w:type="pct"/>
            <w:tcBorders>
              <w:bottom w:val="single" w:color="666666" w:sz="6" w:space="0"/>
              <w:right w:val="single" w:color="666666" w:sz="6" w:space="0"/>
            </w:tcBorders>
            <w:vAlign w:val="center"/>
          </w:tcPr>
          <w:p>
            <w:pPr>
              <w:pStyle w:val="4"/>
              <w:jc w:val="right"/>
            </w:pPr>
            <w:r>
              <w:rPr>
                <w:rFonts w:hint="eastAsia"/>
              </w:rPr>
              <w:t xml:space="preserve">0.00 </w:t>
            </w:r>
          </w:p>
        </w:tc>
        <w:tc>
          <w:tcPr>
            <w:tcW w:w="637" w:type="pct"/>
            <w:tcBorders>
              <w:bottom w:val="single" w:color="666666" w:sz="6" w:space="0"/>
              <w:right w:val="single" w:color="666666" w:sz="6" w:space="0"/>
            </w:tcBorders>
            <w:vAlign w:val="center"/>
          </w:tcPr>
          <w:p>
            <w:pPr>
              <w:pStyle w:val="4"/>
              <w:jc w:val="right"/>
            </w:pPr>
            <w:r>
              <w:rPr>
                <w:rFonts w:hint="eastAsia"/>
              </w:rPr>
              <w:t xml:space="preserve">65.00 </w:t>
            </w:r>
          </w:p>
        </w:tc>
        <w:tc>
          <w:tcPr>
            <w:tcW w:w="564" w:type="pct"/>
            <w:tcBorders>
              <w:bottom w:val="single" w:color="666666" w:sz="6" w:space="0"/>
              <w:right w:val="single" w:color="666666" w:sz="6" w:space="0"/>
            </w:tcBorders>
            <w:vAlign w:val="center"/>
          </w:tcPr>
          <w:p>
            <w:pPr>
              <w:pStyle w:val="4"/>
              <w:jc w:val="right"/>
            </w:pPr>
            <w:r>
              <w:rPr>
                <w:rFonts w:hint="eastAsia"/>
              </w:rPr>
              <w:t xml:space="preserve">65.00 </w:t>
            </w:r>
          </w:p>
        </w:tc>
        <w:tc>
          <w:tcPr>
            <w:tcW w:w="549" w:type="pct"/>
            <w:tcBorders>
              <w:bottom w:val="single" w:color="666666" w:sz="6" w:space="0"/>
              <w:right w:val="single" w:color="666666" w:sz="6" w:space="0"/>
            </w:tcBorders>
            <w:vAlign w:val="center"/>
          </w:tcPr>
          <w:p>
            <w:pPr>
              <w:pStyle w:val="4"/>
              <w:jc w:val="right"/>
            </w:pPr>
            <w:r>
              <w:rPr>
                <w:rFonts w:hint="eastAsia"/>
              </w:rPr>
              <w:t xml:space="preserve">0.00 </w:t>
            </w:r>
          </w:p>
        </w:tc>
        <w:tc>
          <w:tcPr>
            <w:tcW w:w="564" w:type="pct"/>
            <w:tcBorders>
              <w:bottom w:val="single" w:color="666666" w:sz="6" w:space="0"/>
              <w:right w:val="single" w:color="666666" w:sz="6" w:space="0"/>
            </w:tcBorders>
            <w:vAlign w:val="center"/>
          </w:tcPr>
          <w:p>
            <w:pPr>
              <w:pStyle w:val="4"/>
              <w:jc w:val="right"/>
            </w:pPr>
            <w:r>
              <w:rPr>
                <w:rFonts w:hint="eastAsia"/>
              </w:rPr>
              <w:t xml:space="preserve">65.00 </w:t>
            </w:r>
          </w:p>
        </w:tc>
        <w:tc>
          <w:tcPr>
            <w:tcW w:w="647" w:type="pct"/>
            <w:tcBorders>
              <w:bottom w:val="single" w:color="666666" w:sz="6" w:space="0"/>
              <w:right w:val="single" w:color="666666" w:sz="6" w:space="0"/>
            </w:tcBorders>
            <w:vAlign w:val="center"/>
          </w:tcPr>
          <w:p>
            <w:pPr>
              <w:pStyle w:val="4"/>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000" w:type="pct"/>
            <w:gridSpan w:val="10"/>
            <w:vAlign w:val="center"/>
          </w:tcPr>
          <w:p>
            <w:pPr>
              <w:pStyle w:val="4"/>
            </w:pPr>
            <w:r>
              <w:rPr>
                <w:rFonts w:hint="eastAsia"/>
              </w:rPr>
              <w:t xml:space="preserve">注：本表反映部门本年度政府性基金预算财政拨款收入、支出及结转和结余情况。本表金额转换为万元时，因四舍五入可能存在尾数误差。 </w:t>
            </w:r>
          </w:p>
        </w:tc>
      </w:tr>
    </w:tbl>
    <w:p>
      <w:pPr>
        <w:pStyle w:val="4"/>
        <w:rPr>
          <w:rFonts w:hint="eastAsia"/>
          <w:color w:val="000000"/>
        </w:rPr>
      </w:pPr>
    </w:p>
    <w:p>
      <w:pPr>
        <w:pStyle w:val="4"/>
        <w:spacing w:before="0" w:beforeAutospacing="0" w:after="2" w:afterAutospacing="0"/>
        <w:rPr>
          <w:color w:val="000000"/>
        </w:rPr>
      </w:pPr>
    </w:p>
    <w:tbl>
      <w:tblPr>
        <w:tblStyle w:val="5"/>
        <w:tblW w:w="5000" w:type="pct"/>
        <w:jc w:val="center"/>
        <w:tblCellSpacing w:w="0" w:type="dxa"/>
        <w:tblLayout w:type="autofit"/>
        <w:tblCellMar>
          <w:top w:w="0" w:type="dxa"/>
          <w:left w:w="0" w:type="dxa"/>
          <w:bottom w:w="0" w:type="dxa"/>
          <w:right w:w="0" w:type="dxa"/>
        </w:tblCellMar>
      </w:tblPr>
      <w:tblGrid>
        <w:gridCol w:w="641"/>
        <w:gridCol w:w="641"/>
        <w:gridCol w:w="645"/>
        <w:gridCol w:w="5065"/>
        <w:gridCol w:w="3012"/>
        <w:gridCol w:w="3012"/>
        <w:gridCol w:w="3022"/>
      </w:tblGrid>
      <w:tr>
        <w:tblPrEx>
          <w:tblCellMar>
            <w:top w:w="0" w:type="dxa"/>
            <w:left w:w="0" w:type="dxa"/>
            <w:bottom w:w="0" w:type="dxa"/>
            <w:right w:w="0" w:type="dxa"/>
          </w:tblCellMar>
        </w:tblPrEx>
        <w:trPr>
          <w:tblCellSpacing w:w="0" w:type="dxa"/>
          <w:jc w:val="center"/>
        </w:trPr>
        <w:tc>
          <w:tcPr>
            <w:tcW w:w="5000" w:type="pct"/>
            <w:gridSpan w:val="7"/>
            <w:vAlign w:val="center"/>
          </w:tcPr>
          <w:p>
            <w:pPr>
              <w:pStyle w:val="4"/>
              <w:jc w:val="center"/>
              <w:rPr>
                <w:sz w:val="40"/>
                <w:szCs w:val="40"/>
              </w:rPr>
            </w:pPr>
            <w:r>
              <w:rPr>
                <w:rFonts w:hint="eastAsia"/>
                <w:sz w:val="40"/>
                <w:szCs w:val="40"/>
              </w:rPr>
              <w:t xml:space="preserve">国有资本经营预算财政拨款支出决算表 </w:t>
            </w:r>
          </w:p>
        </w:tc>
      </w:tr>
      <w:tr>
        <w:tblPrEx>
          <w:tblCellMar>
            <w:top w:w="0" w:type="dxa"/>
            <w:left w:w="0" w:type="dxa"/>
            <w:bottom w:w="0" w:type="dxa"/>
            <w:right w:w="0" w:type="dxa"/>
          </w:tblCellMar>
        </w:tblPrEx>
        <w:trPr>
          <w:tblCellSpacing w:w="0" w:type="dxa"/>
          <w:jc w:val="center"/>
        </w:trPr>
        <w:tc>
          <w:tcPr>
            <w:tcW w:w="200" w:type="pct"/>
            <w:vAlign w:val="center"/>
          </w:tcPr>
          <w:p>
            <w:pPr>
              <w:pStyle w:val="4"/>
            </w:pPr>
          </w:p>
        </w:tc>
        <w:tc>
          <w:tcPr>
            <w:tcW w:w="200" w:type="pct"/>
            <w:vAlign w:val="center"/>
          </w:tcPr>
          <w:p>
            <w:pPr>
              <w:pStyle w:val="4"/>
            </w:pPr>
          </w:p>
        </w:tc>
        <w:tc>
          <w:tcPr>
            <w:tcW w:w="200" w:type="pct"/>
            <w:vAlign w:val="center"/>
          </w:tcPr>
          <w:p>
            <w:pPr>
              <w:pStyle w:val="4"/>
            </w:pPr>
          </w:p>
        </w:tc>
        <w:tc>
          <w:tcPr>
            <w:tcW w:w="1578" w:type="pct"/>
            <w:vAlign w:val="center"/>
          </w:tcPr>
          <w:p>
            <w:pPr>
              <w:pStyle w:val="4"/>
            </w:pPr>
          </w:p>
        </w:tc>
        <w:tc>
          <w:tcPr>
            <w:tcW w:w="939" w:type="pct"/>
            <w:vAlign w:val="center"/>
          </w:tcPr>
          <w:p>
            <w:pPr>
              <w:pStyle w:val="4"/>
              <w:jc w:val="right"/>
            </w:pPr>
          </w:p>
        </w:tc>
        <w:tc>
          <w:tcPr>
            <w:tcW w:w="1879" w:type="pct"/>
            <w:gridSpan w:val="2"/>
            <w:vAlign w:val="center"/>
          </w:tcPr>
          <w:p>
            <w:pPr>
              <w:pStyle w:val="4"/>
              <w:jc w:val="right"/>
            </w:pPr>
            <w:r>
              <w:rPr>
                <w:rFonts w:hint="eastAsia"/>
              </w:rPr>
              <w:t xml:space="preserve">公开08表 </w:t>
            </w:r>
          </w:p>
        </w:tc>
      </w:tr>
      <w:tr>
        <w:tblPrEx>
          <w:tblCellMar>
            <w:top w:w="0" w:type="dxa"/>
            <w:left w:w="0" w:type="dxa"/>
            <w:bottom w:w="0" w:type="dxa"/>
            <w:right w:w="0" w:type="dxa"/>
          </w:tblCellMar>
        </w:tblPrEx>
        <w:trPr>
          <w:tblCellSpacing w:w="0" w:type="dxa"/>
          <w:jc w:val="center"/>
        </w:trPr>
        <w:tc>
          <w:tcPr>
            <w:tcW w:w="2180" w:type="pct"/>
            <w:gridSpan w:val="4"/>
            <w:vAlign w:val="center"/>
          </w:tcPr>
          <w:p>
            <w:pPr>
              <w:pStyle w:val="4"/>
            </w:pPr>
            <w:r>
              <w:rPr>
                <w:rFonts w:hint="eastAsia"/>
              </w:rPr>
              <w:t xml:space="preserve">部门：浏阳市社港镇人民政府 </w:t>
            </w:r>
          </w:p>
        </w:tc>
        <w:tc>
          <w:tcPr>
            <w:tcW w:w="939" w:type="pct"/>
            <w:vAlign w:val="center"/>
          </w:tcPr>
          <w:p>
            <w:pPr>
              <w:pStyle w:val="4"/>
              <w:jc w:val="right"/>
            </w:pPr>
          </w:p>
        </w:tc>
        <w:tc>
          <w:tcPr>
            <w:tcW w:w="1879" w:type="pct"/>
            <w:gridSpan w:val="2"/>
            <w:vAlign w:val="center"/>
          </w:tcPr>
          <w:p>
            <w:pPr>
              <w:pStyle w:val="4"/>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601"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科目名称 </w:t>
            </w:r>
          </w:p>
        </w:tc>
        <w:tc>
          <w:tcPr>
            <w:tcW w:w="2819"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本年支出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601"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项目支出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2180"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栏次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 </w:t>
            </w:r>
          </w:p>
        </w:tc>
      </w:tr>
      <w:tr>
        <w:tblPrEx>
          <w:tblCellMar>
            <w:top w:w="0" w:type="dxa"/>
            <w:left w:w="0" w:type="dxa"/>
            <w:bottom w:w="0" w:type="dxa"/>
            <w:right w:w="0" w:type="dxa"/>
          </w:tblCellMar>
        </w:tblPrEx>
        <w:trPr>
          <w:tblCellSpacing w:w="0" w:type="dxa"/>
          <w:jc w:val="center"/>
        </w:trPr>
        <w:tc>
          <w:tcPr>
            <w:tcW w:w="2180" w:type="pct"/>
            <w:gridSpan w:val="4"/>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合计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0.78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0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rPr>
                <w:b/>
                <w:bCs/>
              </w:rPr>
            </w:pPr>
            <w:r>
              <w:rPr>
                <w:rFonts w:hint="eastAsia"/>
                <w:b/>
                <w:bCs/>
              </w:rPr>
              <w:t xml:space="preserve">0.78 </w:t>
            </w: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223 </w:t>
            </w:r>
          </w:p>
        </w:tc>
        <w:tc>
          <w:tcPr>
            <w:tcW w:w="157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国有资本经营预算支出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22301 </w:t>
            </w:r>
          </w:p>
        </w:tc>
        <w:tc>
          <w:tcPr>
            <w:tcW w:w="157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解决历史遗留问题及改革成本支出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2230105 </w:t>
            </w:r>
          </w:p>
        </w:tc>
        <w:tc>
          <w:tcPr>
            <w:tcW w:w="1578" w:type="pct"/>
            <w:tcBorders>
              <w:top w:val="single" w:color="666666" w:sz="6" w:space="0"/>
              <w:left w:val="single" w:color="666666" w:sz="6" w:space="0"/>
              <w:bottom w:val="single" w:color="666666" w:sz="6" w:space="0"/>
              <w:right w:val="single" w:color="666666" w:sz="6" w:space="0"/>
            </w:tcBorders>
            <w:vAlign w:val="center"/>
          </w:tcPr>
          <w:p>
            <w:pPr>
              <w:pStyle w:val="4"/>
            </w:pPr>
            <w:r>
              <w:rPr>
                <w:rFonts w:hint="eastAsia"/>
              </w:rPr>
              <w:t xml:space="preserve">国有企业退休人员社会化管理补助支出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0.78 </w:t>
            </w: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vAlign w:val="center"/>
          </w:tcPr>
          <w:p>
            <w:pPr>
              <w:pStyle w:val="4"/>
            </w:pPr>
          </w:p>
        </w:tc>
        <w:tc>
          <w:tcPr>
            <w:tcW w:w="1578"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vAlign w:val="center"/>
          </w:tcPr>
          <w:p>
            <w:pPr>
              <w:pStyle w:val="4"/>
            </w:pPr>
          </w:p>
        </w:tc>
        <w:tc>
          <w:tcPr>
            <w:tcW w:w="1578"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vAlign w:val="center"/>
          </w:tcPr>
          <w:p>
            <w:pPr>
              <w:pStyle w:val="4"/>
            </w:pPr>
          </w:p>
        </w:tc>
        <w:tc>
          <w:tcPr>
            <w:tcW w:w="1578"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vAlign w:val="center"/>
          </w:tcPr>
          <w:p>
            <w:pPr>
              <w:pStyle w:val="4"/>
            </w:pPr>
          </w:p>
        </w:tc>
        <w:tc>
          <w:tcPr>
            <w:tcW w:w="1578"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vAlign w:val="center"/>
          </w:tcPr>
          <w:p>
            <w:pPr>
              <w:pStyle w:val="4"/>
            </w:pPr>
          </w:p>
        </w:tc>
        <w:tc>
          <w:tcPr>
            <w:tcW w:w="1578" w:type="pct"/>
            <w:tcBorders>
              <w:top w:val="single" w:color="666666" w:sz="6" w:space="0"/>
              <w:left w:val="single" w:color="666666" w:sz="6" w:space="0"/>
              <w:bottom w:val="single" w:color="666666" w:sz="6" w:space="0"/>
              <w:right w:val="single" w:color="666666" w:sz="6" w:space="0"/>
            </w:tcBorders>
            <w:vAlign w:val="center"/>
          </w:tcPr>
          <w:p>
            <w:pPr>
              <w:pStyle w:val="4"/>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4"/>
              <w:jc w:val="right"/>
            </w:pPr>
          </w:p>
        </w:tc>
      </w:tr>
      <w:tr>
        <w:tblPrEx>
          <w:tblCellMar>
            <w:top w:w="0" w:type="dxa"/>
            <w:left w:w="0" w:type="dxa"/>
            <w:bottom w:w="0" w:type="dxa"/>
            <w:right w:w="0" w:type="dxa"/>
          </w:tblCellMar>
        </w:tblPrEx>
        <w:trPr>
          <w:tblCellSpacing w:w="0" w:type="dxa"/>
          <w:jc w:val="center"/>
        </w:trPr>
        <w:tc>
          <w:tcPr>
            <w:tcW w:w="5000" w:type="pct"/>
            <w:gridSpan w:val="7"/>
            <w:vAlign w:val="center"/>
          </w:tcPr>
          <w:p>
            <w:pPr>
              <w:pStyle w:val="4"/>
            </w:pPr>
            <w:r>
              <w:rPr>
                <w:rFonts w:hint="eastAsia"/>
              </w:rPr>
              <w:t xml:space="preserve">注：本表反映部门本年度国有资本经营预算财政拨款支出情况。本表金额转换为万元时，因四舍五入可能存在尾数误差。 </w:t>
            </w:r>
          </w:p>
        </w:tc>
      </w:tr>
    </w:tbl>
    <w:p>
      <w:pPr>
        <w:pStyle w:val="4"/>
        <w:rPr>
          <w:color w:val="000000"/>
        </w:rPr>
      </w:pPr>
    </w:p>
    <w:p>
      <w:pPr>
        <w:pStyle w:val="4"/>
        <w:spacing w:before="0" w:beforeAutospacing="0" w:after="2" w:afterAutospacing="0"/>
        <w:rPr>
          <w:color w:val="000000"/>
        </w:rPr>
      </w:pPr>
      <w:r>
        <w:rPr>
          <w:rFonts w:hint="eastAsia"/>
          <w:color w:val="000000"/>
        </w:rPr>
        <w:br w:type="textWrapping"/>
      </w:r>
    </w:p>
    <w:tbl>
      <w:tblPr>
        <w:tblStyle w:val="5"/>
        <w:tblW w:w="5000" w:type="pct"/>
        <w:jc w:val="center"/>
        <w:tblCellSpacing w:w="0" w:type="dxa"/>
        <w:tblLayout w:type="autofit"/>
        <w:tblCellMar>
          <w:top w:w="0" w:type="dxa"/>
          <w:left w:w="0" w:type="dxa"/>
          <w:bottom w:w="0" w:type="dxa"/>
          <w:right w:w="0" w:type="dxa"/>
        </w:tblCellMar>
      </w:tblPr>
      <w:tblGrid>
        <w:gridCol w:w="1334"/>
        <w:gridCol w:w="1334"/>
        <w:gridCol w:w="1334"/>
        <w:gridCol w:w="1334"/>
        <w:gridCol w:w="1341"/>
        <w:gridCol w:w="1347"/>
        <w:gridCol w:w="1334"/>
        <w:gridCol w:w="1334"/>
        <w:gridCol w:w="1334"/>
        <w:gridCol w:w="1342"/>
        <w:gridCol w:w="1335"/>
        <w:gridCol w:w="1335"/>
      </w:tblGrid>
      <w:tr>
        <w:tblPrEx>
          <w:tblCellMar>
            <w:top w:w="0" w:type="dxa"/>
            <w:left w:w="0" w:type="dxa"/>
            <w:bottom w:w="0" w:type="dxa"/>
            <w:right w:w="0" w:type="dxa"/>
          </w:tblCellMar>
        </w:tblPrEx>
        <w:trPr>
          <w:tblCellSpacing w:w="0" w:type="dxa"/>
          <w:jc w:val="center"/>
        </w:trPr>
        <w:tc>
          <w:tcPr>
            <w:tcW w:w="5000" w:type="pct"/>
            <w:gridSpan w:val="12"/>
            <w:vAlign w:val="center"/>
          </w:tcPr>
          <w:p>
            <w:pPr>
              <w:pStyle w:val="4"/>
              <w:jc w:val="center"/>
              <w:rPr>
                <w:sz w:val="40"/>
                <w:szCs w:val="40"/>
              </w:rPr>
            </w:pPr>
            <w:r>
              <w:rPr>
                <w:rFonts w:hint="eastAsia"/>
                <w:sz w:val="40"/>
                <w:szCs w:val="40"/>
              </w:rPr>
              <w:t xml:space="preserve">财政拨款“三公”经费支出决算表 </w:t>
            </w:r>
          </w:p>
        </w:tc>
      </w:tr>
      <w:tr>
        <w:tblPrEx>
          <w:tblCellMar>
            <w:top w:w="0" w:type="dxa"/>
            <w:left w:w="0" w:type="dxa"/>
            <w:bottom w:w="0" w:type="dxa"/>
            <w:right w:w="0" w:type="dxa"/>
          </w:tblCellMar>
        </w:tblPrEx>
        <w:trPr>
          <w:tblCellSpacing w:w="0" w:type="dxa"/>
          <w:jc w:val="center"/>
        </w:trPr>
        <w:tc>
          <w:tcPr>
            <w:tcW w:w="416" w:type="pct"/>
            <w:vAlign w:val="center"/>
          </w:tcPr>
          <w:p>
            <w:pPr>
              <w:pStyle w:val="4"/>
            </w:pPr>
          </w:p>
        </w:tc>
        <w:tc>
          <w:tcPr>
            <w:tcW w:w="416" w:type="pct"/>
            <w:vAlign w:val="center"/>
          </w:tcPr>
          <w:p>
            <w:pPr>
              <w:pStyle w:val="4"/>
            </w:pPr>
          </w:p>
        </w:tc>
        <w:tc>
          <w:tcPr>
            <w:tcW w:w="416" w:type="pct"/>
            <w:vAlign w:val="center"/>
          </w:tcPr>
          <w:p>
            <w:pPr>
              <w:pStyle w:val="4"/>
            </w:pPr>
          </w:p>
        </w:tc>
        <w:tc>
          <w:tcPr>
            <w:tcW w:w="416" w:type="pct"/>
            <w:vAlign w:val="center"/>
          </w:tcPr>
          <w:p>
            <w:pPr>
              <w:pStyle w:val="4"/>
            </w:pPr>
          </w:p>
        </w:tc>
        <w:tc>
          <w:tcPr>
            <w:tcW w:w="416" w:type="pct"/>
            <w:vAlign w:val="center"/>
          </w:tcPr>
          <w:p>
            <w:pPr>
              <w:pStyle w:val="4"/>
            </w:pPr>
          </w:p>
        </w:tc>
        <w:tc>
          <w:tcPr>
            <w:tcW w:w="416" w:type="pct"/>
            <w:vAlign w:val="center"/>
          </w:tcPr>
          <w:p>
            <w:pPr>
              <w:pStyle w:val="4"/>
            </w:pPr>
          </w:p>
        </w:tc>
        <w:tc>
          <w:tcPr>
            <w:tcW w:w="416" w:type="pct"/>
            <w:vAlign w:val="center"/>
          </w:tcPr>
          <w:p>
            <w:pPr>
              <w:pStyle w:val="4"/>
            </w:pPr>
          </w:p>
        </w:tc>
        <w:tc>
          <w:tcPr>
            <w:tcW w:w="416" w:type="pct"/>
            <w:vAlign w:val="center"/>
          </w:tcPr>
          <w:p>
            <w:pPr>
              <w:pStyle w:val="4"/>
            </w:pPr>
          </w:p>
        </w:tc>
        <w:tc>
          <w:tcPr>
            <w:tcW w:w="416" w:type="pct"/>
            <w:vAlign w:val="center"/>
          </w:tcPr>
          <w:p>
            <w:pPr>
              <w:pStyle w:val="4"/>
            </w:pPr>
          </w:p>
        </w:tc>
        <w:tc>
          <w:tcPr>
            <w:tcW w:w="416" w:type="pct"/>
            <w:vAlign w:val="center"/>
          </w:tcPr>
          <w:p>
            <w:pPr>
              <w:pStyle w:val="4"/>
            </w:pPr>
          </w:p>
        </w:tc>
        <w:tc>
          <w:tcPr>
            <w:tcW w:w="833" w:type="pct"/>
            <w:gridSpan w:val="2"/>
            <w:vAlign w:val="center"/>
          </w:tcPr>
          <w:p>
            <w:pPr>
              <w:pStyle w:val="4"/>
              <w:jc w:val="right"/>
            </w:pPr>
            <w:r>
              <w:rPr>
                <w:rFonts w:hint="eastAsia"/>
              </w:rPr>
              <w:t xml:space="preserve">公开09表 </w:t>
            </w:r>
          </w:p>
        </w:tc>
      </w:tr>
      <w:tr>
        <w:tblPrEx>
          <w:tblCellMar>
            <w:top w:w="0" w:type="dxa"/>
            <w:left w:w="0" w:type="dxa"/>
            <w:bottom w:w="0" w:type="dxa"/>
            <w:right w:w="0" w:type="dxa"/>
          </w:tblCellMar>
        </w:tblPrEx>
        <w:trPr>
          <w:tblCellSpacing w:w="0" w:type="dxa"/>
          <w:jc w:val="center"/>
        </w:trPr>
        <w:tc>
          <w:tcPr>
            <w:tcW w:w="4166" w:type="pct"/>
            <w:gridSpan w:val="10"/>
            <w:vAlign w:val="center"/>
          </w:tcPr>
          <w:p>
            <w:pPr>
              <w:pStyle w:val="4"/>
            </w:pPr>
            <w:r>
              <w:rPr>
                <w:rFonts w:hint="eastAsia"/>
              </w:rPr>
              <w:t xml:space="preserve">部门：浏阳市社港镇人民政府 </w:t>
            </w:r>
          </w:p>
        </w:tc>
        <w:tc>
          <w:tcPr>
            <w:tcW w:w="833" w:type="pct"/>
            <w:gridSpan w:val="2"/>
            <w:vAlign w:val="center"/>
          </w:tcPr>
          <w:p>
            <w:pPr>
              <w:pStyle w:val="4"/>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2500" w:type="pct"/>
            <w:gridSpan w:val="6"/>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预算数 </w:t>
            </w:r>
          </w:p>
        </w:tc>
        <w:tc>
          <w:tcPr>
            <w:tcW w:w="2500" w:type="pct"/>
            <w:gridSpan w:val="6"/>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决算数 </w:t>
            </w:r>
          </w:p>
        </w:tc>
      </w:tr>
      <w:tr>
        <w:tblPrEx>
          <w:tblCellMar>
            <w:top w:w="0" w:type="dxa"/>
            <w:left w:w="0" w:type="dxa"/>
            <w:bottom w:w="0" w:type="dxa"/>
            <w:right w:w="0" w:type="dxa"/>
          </w:tblCellMar>
        </w:tblPrEx>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公务接待费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公务接待费 </w:t>
            </w:r>
          </w:p>
        </w:tc>
      </w:tr>
      <w:tr>
        <w:tblPrEx>
          <w:tblCellMar>
            <w:top w:w="0" w:type="dxa"/>
            <w:left w:w="0" w:type="dxa"/>
            <w:bottom w:w="0" w:type="dxa"/>
            <w:right w:w="0" w:type="dxa"/>
          </w:tblCellMar>
        </w:tblPrEx>
        <w:trPr>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小计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公务用车运行费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小计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公务用车运行费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2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3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4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5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6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7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8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9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11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center"/>
            </w:pPr>
            <w:r>
              <w:rPr>
                <w:rFonts w:hint="eastAsia"/>
              </w:rPr>
              <w:t xml:space="preserve">12 </w:t>
            </w:r>
          </w:p>
        </w:tc>
      </w:tr>
      <w:tr>
        <w:tblPrEx>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39.23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29.23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11.59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4"/>
              <w:jc w:val="right"/>
            </w:pPr>
            <w:r>
              <w:rPr>
                <w:rFonts w:hint="eastAsia"/>
              </w:rPr>
              <w:t xml:space="preserve">11.59 </w:t>
            </w:r>
          </w:p>
        </w:tc>
      </w:tr>
      <w:tr>
        <w:tblPrEx>
          <w:tblCellMar>
            <w:top w:w="0" w:type="dxa"/>
            <w:left w:w="0" w:type="dxa"/>
            <w:bottom w:w="0" w:type="dxa"/>
            <w:right w:w="0" w:type="dxa"/>
          </w:tblCellMar>
        </w:tblPrEx>
        <w:trPr>
          <w:tblCellSpacing w:w="0" w:type="dxa"/>
          <w:jc w:val="center"/>
        </w:trPr>
        <w:tc>
          <w:tcPr>
            <w:tcW w:w="5000" w:type="pct"/>
            <w:gridSpan w:val="12"/>
            <w:vAlign w:val="center"/>
          </w:tcPr>
          <w:p>
            <w:pPr>
              <w:pStyle w:val="4"/>
            </w:pPr>
            <w:r>
              <w:rPr>
                <w:rFonts w:hint="eastAsia"/>
              </w:rPr>
              <w:t xml:space="preserve">注：本表反映部门本年度财政拨款“三公”经费支出预决算情况。其中，预算数为“三公”经费全年预算数，反映按规定程序调整后的预算数；决算数是包括当年财政拨款和以前年度结转资金安排的实际支出。本表金额转换为万元时，因四舍五入可能存在尾数误差。 </w:t>
            </w:r>
          </w:p>
        </w:tc>
      </w:tr>
    </w:tbl>
    <w:p>
      <w:pPr>
        <w:pStyle w:val="4"/>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spacing w:after="2"/>
        <w:jc w:val="center"/>
        <w:rPr>
          <w:color w:val="000000"/>
          <w:szCs w:val="21"/>
        </w:rPr>
      </w:pPr>
      <w:r>
        <w:rPr>
          <w:rFonts w:hint="eastAsia" w:ascii="宋体" w:hAnsi="宋体" w:eastAsia="宋体"/>
          <w:b/>
          <w:bCs/>
          <w:color w:val="000000"/>
          <w:sz w:val="36"/>
          <w:szCs w:val="36"/>
        </w:rPr>
        <w:t>第三部分 2022年度部门决算情况说明</w:t>
      </w:r>
      <w:r>
        <w:rPr>
          <w:rFonts w:hint="eastAsia"/>
          <w:color w:val="000000"/>
          <w:szCs w:val="21"/>
        </w:rPr>
        <w:t xml:space="preserve"> </w:t>
      </w:r>
    </w:p>
    <w:p>
      <w:pPr>
        <w:rPr>
          <w:rFonts w:hint="eastAsia"/>
          <w:color w:val="000000"/>
        </w:rPr>
      </w:pPr>
    </w:p>
    <w:p>
      <w:pPr>
        <w:pStyle w:val="10"/>
        <w:spacing w:after="2"/>
        <w:ind w:firstLine="641"/>
        <w:rPr>
          <w:rFonts w:hint="eastAsia"/>
          <w:color w:val="000000"/>
          <w:sz w:val="27"/>
          <w:szCs w:val="27"/>
        </w:rPr>
      </w:pPr>
      <w:r>
        <w:rPr>
          <w:rFonts w:hint="eastAsia" w:ascii="宋体" w:hAnsi="宋体" w:eastAsia="宋体"/>
          <w:b/>
          <w:bCs/>
          <w:color w:val="000000"/>
          <w:sz w:val="32"/>
          <w:szCs w:val="32"/>
        </w:rPr>
        <w:t>一、收入支出决算总体情况说明</w:t>
      </w:r>
      <w:r>
        <w:rPr>
          <w:rFonts w:hint="eastAsia"/>
          <w:color w:val="000000"/>
          <w:sz w:val="27"/>
          <w:szCs w:val="27"/>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2022年度收、支总计8,570.64万元。与上一年度相比，收、支总计各减少32,092.11万元，下降78.92%。主要原因是</w:t>
      </w:r>
      <w:r>
        <w:rPr>
          <w:rStyle w:val="12"/>
          <w:rFonts w:hint="eastAsia" w:ascii="宋体" w:hAnsi="宋体" w:eastAsia="宋体"/>
          <w:color w:val="000000"/>
          <w:sz w:val="32"/>
          <w:szCs w:val="32"/>
        </w:rPr>
        <w:t>2022 年预算减少及2022 年浏阳市社港镇骨伤科医院南院建设项目专项债资金减少</w:t>
      </w:r>
      <w:r>
        <w:rPr>
          <w:rFonts w:hint="eastAsia" w:ascii="宋体" w:hAnsi="宋体" w:eastAsia="宋体"/>
          <w:color w:val="000000"/>
          <w:sz w:val="32"/>
          <w:szCs w:val="32"/>
        </w:rPr>
        <w:t>。</w:t>
      </w:r>
      <w:r>
        <w:rPr>
          <w:rFonts w:hint="eastAsia"/>
          <w:color w:val="000000"/>
          <w:sz w:val="27"/>
          <w:szCs w:val="27"/>
        </w:rPr>
        <w:t xml:space="preserve"> </w:t>
      </w:r>
    </w:p>
    <w:p>
      <w:pPr>
        <w:pStyle w:val="10"/>
        <w:spacing w:after="2"/>
        <w:ind w:firstLine="641"/>
        <w:rPr>
          <w:rFonts w:hint="eastAsia"/>
          <w:color w:val="000000"/>
          <w:sz w:val="27"/>
          <w:szCs w:val="27"/>
        </w:rPr>
      </w:pPr>
      <w:r>
        <w:rPr>
          <w:rFonts w:hint="eastAsia" w:ascii="宋体" w:hAnsi="宋体" w:eastAsia="宋体"/>
          <w:b/>
          <w:bCs/>
          <w:color w:val="000000"/>
          <w:sz w:val="32"/>
          <w:szCs w:val="32"/>
        </w:rPr>
        <w:t>二、收入决算情况说明</w:t>
      </w:r>
      <w:r>
        <w:rPr>
          <w:rFonts w:hint="eastAsia"/>
          <w:color w:val="000000"/>
          <w:sz w:val="27"/>
          <w:szCs w:val="27"/>
        </w:rPr>
        <w:t xml:space="preserve"> </w:t>
      </w:r>
    </w:p>
    <w:p>
      <w:pPr>
        <w:pStyle w:val="10"/>
        <w:spacing w:after="2"/>
        <w:ind w:firstLine="640"/>
        <w:rPr>
          <w:rFonts w:hint="eastAsia"/>
          <w:color w:val="000000"/>
          <w:sz w:val="27"/>
          <w:szCs w:val="27"/>
        </w:rPr>
      </w:pPr>
      <w:r>
        <w:rPr>
          <w:rFonts w:hint="eastAsia" w:ascii="宋体" w:hAnsi="宋体" w:eastAsia="宋体"/>
          <w:color w:val="000000"/>
          <w:sz w:val="32"/>
          <w:szCs w:val="32"/>
        </w:rPr>
        <w:t>2022年度收入合计8,570.64万元，其中：财政拨款收入7,215.88万元，占84.19%；上级补助收入0万元，占0%；事业收入0万元，占0%；经营收入0万元，占0%；附属单位上缴收入0万元，占0%；其他收入1,354.76万元，占15.81%。</w:t>
      </w:r>
      <w:r>
        <w:rPr>
          <w:rFonts w:hint="eastAsia"/>
          <w:color w:val="000000"/>
          <w:sz w:val="27"/>
          <w:szCs w:val="27"/>
        </w:rPr>
        <w:t xml:space="preserve"> </w:t>
      </w:r>
    </w:p>
    <w:p>
      <w:pPr>
        <w:pStyle w:val="10"/>
        <w:spacing w:after="2"/>
        <w:ind w:firstLine="641"/>
        <w:rPr>
          <w:rFonts w:hint="eastAsia"/>
          <w:color w:val="000000"/>
          <w:sz w:val="27"/>
          <w:szCs w:val="27"/>
        </w:rPr>
      </w:pPr>
      <w:r>
        <w:rPr>
          <w:rFonts w:hint="eastAsia" w:ascii="宋体" w:hAnsi="宋体" w:eastAsia="宋体"/>
          <w:b/>
          <w:bCs/>
          <w:color w:val="000000"/>
          <w:sz w:val="32"/>
          <w:szCs w:val="32"/>
        </w:rPr>
        <w:t>三、支出决算情况说明</w:t>
      </w:r>
      <w:r>
        <w:rPr>
          <w:rFonts w:hint="eastAsia"/>
          <w:color w:val="000000"/>
          <w:sz w:val="27"/>
          <w:szCs w:val="27"/>
        </w:rPr>
        <w:t xml:space="preserve"> </w:t>
      </w:r>
    </w:p>
    <w:p>
      <w:pPr>
        <w:pStyle w:val="10"/>
        <w:spacing w:after="2"/>
        <w:ind w:firstLine="640"/>
        <w:rPr>
          <w:rFonts w:hint="eastAsia"/>
          <w:color w:val="000000"/>
          <w:sz w:val="27"/>
          <w:szCs w:val="27"/>
        </w:rPr>
      </w:pPr>
      <w:r>
        <w:rPr>
          <w:rFonts w:hint="eastAsia" w:ascii="宋体" w:hAnsi="宋体" w:eastAsia="宋体"/>
          <w:color w:val="000000"/>
          <w:sz w:val="32"/>
          <w:szCs w:val="32"/>
        </w:rPr>
        <w:t>2022年度支出合计8,570.64万元，其中：基本支出2,264.79万元，占26.42%；项目支出6,305.85万元，占73.58%；上缴上级支出0万元，占0%；经营支出0万元，占0%；对附属单位补助支出0万元，占0%。</w:t>
      </w:r>
    </w:p>
    <w:p>
      <w:pPr>
        <w:pStyle w:val="10"/>
        <w:spacing w:after="2"/>
        <w:ind w:firstLine="640"/>
        <w:rPr>
          <w:rFonts w:hint="eastAsia"/>
          <w:color w:val="000000"/>
          <w:sz w:val="27"/>
          <w:szCs w:val="27"/>
        </w:rPr>
      </w:pPr>
      <w:r>
        <w:rPr>
          <w:rFonts w:hint="eastAsia" w:ascii="宋体" w:hAnsi="宋体" w:eastAsia="宋体"/>
          <w:b/>
          <w:bCs/>
          <w:color w:val="000000"/>
          <w:sz w:val="32"/>
          <w:szCs w:val="32"/>
        </w:rPr>
        <w:t>四、财政拨款收入支出决算总体情况说明</w:t>
      </w:r>
      <w:r>
        <w:rPr>
          <w:rFonts w:hint="eastAsia"/>
          <w:color w:val="000000"/>
          <w:sz w:val="27"/>
          <w:szCs w:val="27"/>
        </w:rPr>
        <w:t xml:space="preserve"> </w:t>
      </w:r>
    </w:p>
    <w:p>
      <w:pPr>
        <w:pStyle w:val="10"/>
        <w:spacing w:after="2"/>
        <w:ind w:firstLine="640"/>
        <w:rPr>
          <w:rFonts w:hint="eastAsia"/>
          <w:color w:val="000000"/>
          <w:sz w:val="27"/>
          <w:szCs w:val="27"/>
        </w:rPr>
      </w:pPr>
      <w:r>
        <w:rPr>
          <w:rFonts w:hint="eastAsia" w:ascii="宋体" w:hAnsi="宋体" w:eastAsia="宋体"/>
          <w:color w:val="000000"/>
          <w:sz w:val="32"/>
          <w:szCs w:val="32"/>
        </w:rPr>
        <w:t>2022年度财政拨款收、支总计7,215.88万元。与上一年度相比，财政拨款收、支总计各减少32,273.49万元，下降81.73%。主要原因是</w:t>
      </w:r>
      <w:r>
        <w:rPr>
          <w:rStyle w:val="12"/>
          <w:rFonts w:hint="eastAsia" w:ascii="宋体" w:hAnsi="宋体" w:eastAsia="宋体"/>
          <w:color w:val="000000"/>
          <w:sz w:val="32"/>
          <w:szCs w:val="32"/>
        </w:rPr>
        <w:t>2022 年预算减少及2022 年浏阳市社港镇骨伤科医院南院建设项目专项债资金减少</w:t>
      </w:r>
      <w:r>
        <w:rPr>
          <w:rFonts w:hint="eastAsia" w:ascii="宋体" w:hAnsi="宋体" w:eastAsia="宋体"/>
          <w:color w:val="000000"/>
          <w:sz w:val="32"/>
          <w:szCs w:val="32"/>
        </w:rPr>
        <w:t>。</w:t>
      </w:r>
    </w:p>
    <w:p>
      <w:pPr>
        <w:pStyle w:val="10"/>
        <w:spacing w:after="2"/>
        <w:ind w:firstLine="640"/>
        <w:rPr>
          <w:rFonts w:hint="eastAsia"/>
          <w:color w:val="000000"/>
          <w:sz w:val="27"/>
          <w:szCs w:val="27"/>
        </w:rPr>
      </w:pPr>
      <w:r>
        <w:rPr>
          <w:rFonts w:hint="eastAsia" w:ascii="宋体" w:hAnsi="宋体" w:eastAsia="宋体"/>
          <w:b/>
          <w:bCs/>
          <w:color w:val="000000"/>
          <w:sz w:val="32"/>
          <w:szCs w:val="32"/>
        </w:rPr>
        <w:t>五、一般公共预算财政拨款支出决算情况说明</w:t>
      </w:r>
      <w:r>
        <w:rPr>
          <w:rFonts w:hint="eastAsia"/>
          <w:color w:val="000000"/>
          <w:sz w:val="27"/>
          <w:szCs w:val="27"/>
        </w:rPr>
        <w:t xml:space="preserve"> </w:t>
      </w:r>
    </w:p>
    <w:p>
      <w:pPr>
        <w:pStyle w:val="10"/>
        <w:spacing w:after="2"/>
        <w:ind w:firstLine="640"/>
        <w:rPr>
          <w:rFonts w:hint="eastAsia"/>
          <w:color w:val="000000"/>
          <w:sz w:val="27"/>
          <w:szCs w:val="27"/>
        </w:rPr>
      </w:pPr>
      <w:r>
        <w:rPr>
          <w:rFonts w:hint="eastAsia" w:ascii="宋体" w:hAnsi="宋体" w:eastAsia="宋体"/>
          <w:b/>
          <w:bCs/>
          <w:color w:val="000000"/>
          <w:sz w:val="32"/>
          <w:szCs w:val="32"/>
        </w:rPr>
        <w:t>（一）财政拨款支出决算总体情况</w:t>
      </w:r>
      <w:r>
        <w:rPr>
          <w:rFonts w:hint="eastAsia"/>
          <w:color w:val="000000"/>
          <w:sz w:val="27"/>
          <w:szCs w:val="27"/>
        </w:rPr>
        <w:t xml:space="preserve"> </w:t>
      </w:r>
    </w:p>
    <w:p>
      <w:pPr>
        <w:pStyle w:val="10"/>
        <w:spacing w:after="2"/>
        <w:ind w:firstLine="640"/>
        <w:rPr>
          <w:rFonts w:hint="eastAsia"/>
          <w:color w:val="000000"/>
          <w:sz w:val="27"/>
          <w:szCs w:val="27"/>
        </w:rPr>
      </w:pPr>
      <w:r>
        <w:rPr>
          <w:rFonts w:hint="eastAsia" w:ascii="宋体" w:hAnsi="宋体" w:eastAsia="宋体"/>
          <w:color w:val="000000"/>
          <w:sz w:val="32"/>
          <w:szCs w:val="32"/>
        </w:rPr>
        <w:t>2022年度财政拨款支出6,892.45万元，占本年支出合计的80.42%。与上一年度相比，财政拨款支出减少1,439.67万元，下降17.28%。主要是因为</w:t>
      </w:r>
      <w:r>
        <w:rPr>
          <w:rStyle w:val="12"/>
          <w:rFonts w:hint="eastAsia" w:ascii="宋体" w:hAnsi="宋体" w:eastAsia="宋体"/>
          <w:color w:val="000000"/>
          <w:sz w:val="32"/>
          <w:szCs w:val="32"/>
        </w:rPr>
        <w:t>2022 年预算减少及2022 年浏阳市社港镇骨伤科医院南院建设项目专项债资金减少</w:t>
      </w:r>
      <w:r>
        <w:rPr>
          <w:rFonts w:hint="eastAsia" w:ascii="宋体" w:hAnsi="宋体" w:eastAsia="宋体"/>
          <w:color w:val="000000"/>
          <w:sz w:val="32"/>
          <w:szCs w:val="32"/>
        </w:rPr>
        <w:t>。</w:t>
      </w:r>
      <w:r>
        <w:rPr>
          <w:rFonts w:hint="eastAsia"/>
          <w:color w:val="000000"/>
          <w:sz w:val="27"/>
          <w:szCs w:val="27"/>
        </w:rPr>
        <w:t xml:space="preserve"> </w:t>
      </w:r>
    </w:p>
    <w:p>
      <w:pPr>
        <w:pStyle w:val="10"/>
        <w:spacing w:after="2"/>
        <w:ind w:firstLine="640"/>
        <w:rPr>
          <w:rFonts w:hint="eastAsia"/>
          <w:color w:val="000000"/>
          <w:sz w:val="27"/>
          <w:szCs w:val="27"/>
        </w:rPr>
      </w:pPr>
      <w:r>
        <w:rPr>
          <w:rFonts w:hint="eastAsia" w:ascii="宋体" w:hAnsi="宋体" w:eastAsia="宋体"/>
          <w:b/>
          <w:bCs/>
          <w:color w:val="000000"/>
          <w:sz w:val="32"/>
          <w:szCs w:val="32"/>
        </w:rPr>
        <w:t>（二）财政拨款支出决算结构情况</w:t>
      </w:r>
    </w:p>
    <w:p>
      <w:pPr>
        <w:pStyle w:val="10"/>
        <w:spacing w:after="2"/>
        <w:ind w:firstLine="640"/>
        <w:rPr>
          <w:rFonts w:hint="eastAsia"/>
          <w:color w:val="000000"/>
          <w:sz w:val="27"/>
          <w:szCs w:val="27"/>
        </w:rPr>
      </w:pPr>
      <w:r>
        <w:rPr>
          <w:rFonts w:hint="eastAsia" w:ascii="宋体" w:hAnsi="宋体" w:eastAsia="宋体"/>
          <w:color w:val="000000"/>
          <w:sz w:val="32"/>
          <w:szCs w:val="32"/>
        </w:rPr>
        <w:t>2022年度财政拨款支出6,892.45万元，主要用于以下方面：一般公共服务支出1,543.57万元，占22.4%；公共安全支出48.85万元，占0.71%；教育支出87.2万元，占1.27%；科学技术支出25万元，占0.36%；文化旅游体育与传媒支出143.96万元，占2.09%；社会保障和就业支出743.31万元，占10.78%；卫生健康支出42.93万元，占0.62%；节能环保支出576.94万元，占8.37%；城乡社区支出600.47万元，占8.71%；农林水支出2,810.22万元，占40.76%；交通运输支出130.68万元，占1.9%；商业服务业等支出28.86万元，占0.42%；自然资源海洋气象等支出15万元，占0.22%；住房保障支出2.04万元，占0.03%；粮油物资储备支出10万元，占0.15%；灾害防治及应急管理支出83.43万元，占1.21%。</w:t>
      </w:r>
      <w:r>
        <w:rPr>
          <w:rFonts w:hint="eastAsia"/>
          <w:color w:val="000000"/>
          <w:sz w:val="27"/>
          <w:szCs w:val="27"/>
        </w:rPr>
        <w:t xml:space="preserve"> </w:t>
      </w:r>
    </w:p>
    <w:p>
      <w:pPr>
        <w:pStyle w:val="10"/>
        <w:spacing w:after="2"/>
        <w:ind w:firstLine="640"/>
        <w:rPr>
          <w:rFonts w:hint="eastAsia"/>
          <w:color w:val="000000"/>
          <w:sz w:val="27"/>
          <w:szCs w:val="27"/>
        </w:rPr>
      </w:pPr>
      <w:r>
        <w:rPr>
          <w:rFonts w:hint="eastAsia" w:ascii="宋体" w:hAnsi="宋体" w:eastAsia="宋体"/>
          <w:b/>
          <w:bCs/>
          <w:color w:val="000000"/>
          <w:sz w:val="32"/>
          <w:szCs w:val="32"/>
        </w:rPr>
        <w:t>（三）财政拨款支出决算具体情况</w:t>
      </w:r>
      <w:r>
        <w:rPr>
          <w:rFonts w:hint="eastAsia"/>
          <w:color w:val="000000"/>
          <w:sz w:val="27"/>
          <w:szCs w:val="27"/>
        </w:rPr>
        <w:t xml:space="preserve"> </w:t>
      </w:r>
    </w:p>
    <w:p>
      <w:pPr>
        <w:pStyle w:val="10"/>
        <w:spacing w:after="2"/>
        <w:ind w:firstLine="640"/>
        <w:rPr>
          <w:rFonts w:hint="eastAsia"/>
          <w:color w:val="000000"/>
          <w:sz w:val="27"/>
          <w:szCs w:val="27"/>
        </w:rPr>
      </w:pPr>
      <w:r>
        <w:rPr>
          <w:rFonts w:hint="eastAsia" w:ascii="宋体" w:hAnsi="宋体" w:eastAsia="宋体"/>
          <w:color w:val="000000"/>
          <w:sz w:val="32"/>
          <w:szCs w:val="32"/>
        </w:rPr>
        <w:t>2022年度财政拨款支出年初预算数为3,544.74万元，支出决算数为6,892.45万元，完成年初预算的194.44%，其中：</w:t>
      </w:r>
      <w:r>
        <w:rPr>
          <w:rFonts w:hint="eastAsia"/>
          <w:color w:val="000000"/>
          <w:sz w:val="27"/>
          <w:szCs w:val="27"/>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1、一般公共服务支出（类）人大事务（款）一般行政管理事务（项）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年初预算为0万元，支出决算为10.52万元，无完成预算数百分比（备注：由于预算数为0万元，无法计算完成预算的百分比）。决算数大于年初预算数的主要原因是：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追加人大事务一般行政管理事务经费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2、一般公共服务支出（类）人大事务（款）代表工作（项）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年初预算为0万元，支出决算为4万元，无完成预算数百分比（备注：由于预算数为0万元，无法计算完成预算的百分比）。决算数大于年初预算数的主要原因是：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追加人大事务代表工作经费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3、一般公共服务支出（类）政协事务（款）其他政协事务支出（项）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追加政协事务工作经费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4、一般公共服务支出（类）政府办公厅（室）及相关机构事务（款）行政运行（项）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年初预算为505.05万元，支出决算为594.06万元，完成年初预算的117.62%。决算数大于年初预算数的主要原因是：</w:t>
      </w:r>
      <w:r>
        <w:rPr>
          <w:rStyle w:val="12"/>
          <w:rFonts w:hint="eastAsia" w:ascii="宋体" w:hAnsi="宋体" w:eastAsia="宋体"/>
          <w:color w:val="000000"/>
          <w:sz w:val="32"/>
          <w:szCs w:val="32"/>
        </w:rPr>
        <w:t>2022年度工资调标以及年中人员增加，追加了相应的人员经费支出</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5、一般公共服务支出（类）政府办公厅（室）及相关机构事务（款）事业运行（项）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年初预算为573.5万元，支出决算为504.31万元，完成年初预算的87.94%。决算数小于年初预算数的主要原因是：</w:t>
      </w:r>
      <w:r>
        <w:rPr>
          <w:rStyle w:val="12"/>
          <w:rFonts w:hint="eastAsia" w:ascii="宋体" w:hAnsi="宋体" w:eastAsia="宋体"/>
          <w:color w:val="000000"/>
          <w:sz w:val="32"/>
          <w:szCs w:val="32"/>
        </w:rPr>
        <w:t>缩减政府办公厅（室）及相关机构事务事业运行经费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6、一般公共服务支出（类）政府办公厅（室）及相关机构事务（款）其他政府办公厅（室）及相关机构事务支出（项）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年初预算为231万元，支出决算为18.99万元，完成年初预算的8.22%。决算数小于年初预算数的主要原因是：</w:t>
      </w:r>
      <w:r>
        <w:rPr>
          <w:rStyle w:val="12"/>
          <w:rFonts w:hint="eastAsia" w:ascii="宋体" w:hAnsi="宋体" w:eastAsia="宋体"/>
          <w:color w:val="000000"/>
          <w:sz w:val="32"/>
          <w:szCs w:val="32"/>
        </w:rPr>
        <w:t>减少了政府机关工作经费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7、一般公共服务支出（类）发展与改革事务（款）其他发展与改革事务支出（项）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年初预算为0万元，支出决算为204.3万元，无完成预算数百分比（备注：由于预算数为0万元，无法计算完成预算的百分比）。决算数大于年初预算数的主要原因是：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增加了社港镇特色医养小镇等项目经费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8、一般公共服务支出（类）财政事务（款）行政运行（项）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年初预算为106.92万元，支出决算为99.97万元，完成年初预算的93.5%。决算数小于年初预算数的主要原因是：</w:t>
      </w:r>
      <w:r>
        <w:rPr>
          <w:rStyle w:val="12"/>
          <w:rFonts w:hint="eastAsia" w:ascii="宋体" w:hAnsi="宋体" w:eastAsia="宋体"/>
          <w:color w:val="000000"/>
          <w:sz w:val="32"/>
          <w:szCs w:val="32"/>
        </w:rPr>
        <w:t>协税费用减少</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9、一般公共服务支出（类）财政事务（款）一般行政管理事务（项）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年初预算为0万元，支出决算为11.84万元，无完成预算数百分比（备注：由于预算数为0万元，无法计算完成预算的百分比）。决算数大于年初预算数的主要原因是：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年中根据工作实际需要，追加了财务培训、财政信息化等工作经费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10、一般公共服务支出（类）财政事务（款）其他财政事务支出（项）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年初预算为0万元，支出决算为44万元，无完成预算数百分比（备注：由于预算数为0万元，无法计算完成预算的百分比）。决算数大于年初预算数的主要原因是：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增加了2022 年村级“一事一议”项目经费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11、一般公共服务支出（类）商贸事务（款）招商引资（项）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年初预算为0万元，支出决算为5.3万元，无完成预算数百分比（备注：由于预算数为0万元，无法计算完成预算的百分比）。决算数大于年初预算数的主要原因是：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追加招商引资事务支出经费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12、一般公共服务支出（类）商贸事务（款）其他商贸事务支出（项）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年初预算为0万元，支出决算为8万元，无完成预算数百分比（备注：由于预算数为0万元，无法计算完成预算的百分比）。决算数大于年初预算数的主要原因是：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追加其他商贸事务支出经费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13、一般公共服务支出（类）档案事务（款）其他档案事务支出（项）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年初预算为0万元，支出决算为4万元，无完成预算数百分比（备注：由于预算数为0万元，无法计算完成预算的百分比）。决算数大于年初预算数的主要原因是：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追加档案整理相关事务支出经费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14、一般公共服务支出（类）党委办公厅（室）及相关机构事务（款）其他党委办公厅（室）及相关机构事务支出（项）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年初预算为0万元，支出决算为3万元，无完成预算数百分比（备注：由于预算数为0万元，无法计算完成预算的百分比）。决算数大于年初预算数的主要原因是：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增加了20212年铁路护路联防工作经费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15、一般公共服务支出（类）组织事务（款）一般行政管理事务（项）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年初预算为0万元，支出决算为24.96万元，无完成预算数百分比（备注：由于预算数为0万元，无法计算完成预算的百分比）。决算数大于年初预算数的主要原因是：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增加了困难党组织及党员教育专项经费、“百佳微网格”奖励经费等</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16、一般公共服务支出（类）市场监督管理事务（款）食品安全监管（项）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年初预算为0万元，支出决算为1.44万元，无完成预算数百分比（备注：由于预算数为0万元，无法计算完成预算的百分比）。决算数大于年初预算数的主要原因是：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增加了食品安全监管事务工作经费等</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17、一般公共服务支出（类）市场监督管理事务（款）其他市场监督管理事务（项）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年初预算为0万元，支出决算为2.88万元，无完成预算数百分比（备注：由于预算数为0万元，无法计算完成预算的百分比）。决算数大于年初预算数的主要原因是：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增加了其他市场监管事务工作经费等</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18、公共安全支出（类）公安（款）一般行政管理事务（项）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年初预算为0万元，支出决算为1.92万元，无完成预算数百分比（备注：由于预算数为0万元，无法计算完成预算的百分比）。决算数大于年初预算数的主要原因是：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增加了社区戒毒工作经费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19、公共安全支出（类）司法（款）行政运行（项）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年初预算为34.07万元，支出决算为31.21万元，完成年初预算的91.61%。决算数小于年初预算数的主要原因是：</w:t>
      </w:r>
      <w:r>
        <w:rPr>
          <w:rStyle w:val="12"/>
          <w:rFonts w:hint="eastAsia" w:ascii="宋体" w:hAnsi="宋体" w:eastAsia="宋体"/>
          <w:color w:val="000000"/>
          <w:sz w:val="32"/>
          <w:szCs w:val="32"/>
        </w:rPr>
        <w:t>缩减司法行政运行经费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20、公共安全支出（类）司法（款）一般行政管理事务（项）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年初预算为0万元，支出决算为15.72万元，无完成预算数百分比（备注：由于预算数为0万元，无法计算完成预算的百分比）。决算数大于年初预算数的主要原因是：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增加了法治教育宣传经费等</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21、教育支出（类）普通教育（款）小学教育（项）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年初预算为0万元，支出决算为30万元，无完成预算数百分比（备注：由于预算数为0万元，无法计算完成预算的百分比）。决算数大于年初预算数的主要原因是：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教师节人员支出等</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22、教育支出（类）普通教育（款）其他普通教育支出（项）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年初预算为0万元，支出决算为32.2万元，无完成预算数百分比（备注：由于预算数为0万元，无法计算完成预算的百分比）。决算数大于年初预算数的主要原因是：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教师节人员支出等</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23、教育支出（类）教育费附加安排的支出（款）其他教育费附加安排的支出（项）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教师节人员支出等</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24、教育支出（类）其他教育支出（款）其他教育支出（项）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年初预算为0万元，支出决算为13万元，无完成预算数百分比（备注：由于预算数为0万元，无法计算完成预算的百分比）。决算数大于年初预算数的主要原因是：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增加了辖区教育工作经费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25、科学技术支出（类）技术研究与开发（款）其他技术研究与开发支出（项）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年初预算为0万元，支出决算为25万元，无完成预算数百分比（备注：由于预算数为0万元，无法计算完成预算的百分比）。决算数大于年初预算数的主要原因是：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增加了烟花爆竹退出企业奖补资金等</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26、文化旅游体育与传媒支出（类）文化和旅游（款）文化活动（项）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年初预算为0万元，支出决算为2.8万元，无完成预算数百分比（备注：由于预算数为0万元，无法计算完成预算的百分比）。决算数大于年初预算数的主要原因是：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增加了乡镇街道文化站免费开放经费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27、文化旅游体育与传媒支出（类）文化和旅游（款）群众文化（项）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增加了开展群众文化活动经费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28、文化旅游体育与传媒支出（类）文化和旅游（款）其他文化和旅游支出（项）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年初预算为0万元，支出决算为29万元，无完成预算数百分比（备注：由于预算数为0万元，无法计算完成预算的百分比）。决算数大于年初预算数的主要原因是：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增加了农村精神文明建设经费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29、文化旅游体育与传媒支出（类）文物（款）文物保护（项）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年初预算为0万元，支出决算为3万元，无完成预算数百分比（备注：由于预算数为0万元，无法计算完成预算的百分比）。决算数大于年初预算数的主要原因是：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追加了各村文化经费支出</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30、文化旅游体育与传媒支出（类）广播电视（款）广播电视事务（项）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年初预算为0万元，支出决算为36.15万元，无完成预算数百分比（备注：由于预算数为0万元，无法计算完成预算的百分比）。决算数大于年初预算数的主要原因是：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追加了各村文化经费支出</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31、文化旅游体育与传媒支出（类）其他文化旅游体育与传媒支出（款）其他文化旅游体育与传媒支出（项）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年初预算为0万元，支出决算为61万元，无完成预算数百分比（备注：由于预算数为0万元，无法计算完成预算的百分比）。决算数大于年初预算数的主要原因是：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增加了开展群众文化活动经费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32、社会保障和就业支出（类）人力资源和社会保障管理事务（款）社会保险经办机构（项）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年初预算为0万元，支出决算为3.82万元，无完成预算数百分比（备注：由于预算数为0万元，无法计算完成预算的百分比）。决算数大于年初预算数的主要原因是：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社会事业编制人员福利追加</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33、社会保障和就业支出（类）人力资源和社会保障管理事务（款）事业运行（项）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年初预算为160.18万元，支出决算为144.4万元，完成年初预算的90.15%。决算数小于年初预算数的主要原因是：</w:t>
      </w:r>
      <w:r>
        <w:rPr>
          <w:rStyle w:val="12"/>
          <w:rFonts w:hint="eastAsia" w:ascii="宋体" w:hAnsi="宋体" w:eastAsia="宋体"/>
          <w:color w:val="000000"/>
          <w:sz w:val="32"/>
          <w:szCs w:val="32"/>
        </w:rPr>
        <w:t>社会事业编制人员福利减少</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34、社会保障和就业支出（类）民政管理事务（款）其他民政管理事务支出（项）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年初预算为0万元，支出决算为4万元，无完成预算数百分比（备注：由于预算数为0万元，无法计算完成预算的百分比）。决算数大于年初预算数的主要原因是：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增加其他民政管理事务支出</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35、社会保障和就业支出（类）行政事业单位养老支出（款）行政单位离退休（项）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年初预算为109.81万元，支出决算为261.96万元，完成年初预算的238.56%。决算数大于年初预算数的主要原因是：</w:t>
      </w:r>
      <w:r>
        <w:rPr>
          <w:rStyle w:val="12"/>
          <w:rFonts w:hint="eastAsia" w:ascii="宋体" w:hAnsi="宋体" w:eastAsia="宋体"/>
          <w:color w:val="000000"/>
          <w:sz w:val="32"/>
          <w:szCs w:val="32"/>
        </w:rPr>
        <w:t>增加了机关退休人员退休补贴</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36、社会保障和就业支出（类）行政事业单位养老支出（款）事业单位离退休（项）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年初预算为41.73万元，支出决算为12.96万元，完成年初预算的31.06%。决算数小于年初预算数的主要原因是：</w:t>
      </w:r>
      <w:r>
        <w:rPr>
          <w:rStyle w:val="12"/>
          <w:rFonts w:hint="eastAsia" w:ascii="宋体" w:hAnsi="宋体" w:eastAsia="宋体"/>
          <w:color w:val="000000"/>
          <w:sz w:val="32"/>
          <w:szCs w:val="32"/>
        </w:rPr>
        <w:t>预算科目调整</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37、社会保障和就业支出（类）行政事业单位养老支出（款）机关事业单位职业年金缴费支出（项）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年初预算为0万元，支出决算为27.79万元，无完成预算数百分比（备注：由于预算数为0万元，无法计算完成预算的百分比）。决算数大于年初预算数的主要原因是：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追加行政事业单位养老支出事业单位离退休经费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38、社会保障和就业支出（类）就业补助（款）其他就业补助支出（项）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年初预算为0万元，支出决算为9万元，无完成预算数百分比（备注：由于预算数为0万元，无法计算完成预算的百分比）。决算数大于年初预算数的主要原因是：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增加了农村劳动力就业服务工作经费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39、社会保障和就业支出（类）抚恤（款）其他优抚支出（项）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年初预算为0万元，支出决算为10万元，无完成预算数百分比（备注：由于预算数为0万元，无法计算完成预算的百分比）。决算数大于年初预算数的主要原因是：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增加了2022年涉军人员工资及优抚人员走访慰问经费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40、社会保障和就业支出（类）退役安置（款）其他退役安置支出（项）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年初预算为0万元，支出决算为11.68万元，无完成预算数百分比（备注：由于预算数为0万元，无法计算完成预算的百分比）。决算数大于年初预算数的主要原因是：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增加了2022年涉军人员工资</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41、社会保障和就业支出（类）社会福利（款）社会福利事业单位（项）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增加了村级养老服务工作经费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42、社会保障和就业支出（类）社会福利（款）其他社会福利支出（项）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年初预算为0万元，支出决算为1.5万元，无完成预算数百分比（备注：由于预算数为0万元，无法计算完成预算的百分比）。决算数大于年初预算数的主要原因是：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增加了村级养老服务工作经费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43、社会保障和就业支出（类）残疾人事业（款）残疾人就业（项）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年初预算为0万元，支出决算为5.11万元，无完成预算数百分比（备注：由于预算数为0万元，无法计算完成预算的百分比）。决算数大于年初预算数的主要原因是：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增加了农村贫困残疾人实用技术培训经费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44、社会保障和就业支出（类）残疾人事业（款）其他残疾人事业支出（项）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年初预算为0万元，支出决算为7.2万元，无完成预算数百分比（备注：由于预算数为0万元，无法计算完成预算的百分比）。决算数大于年初预算数的主要原因是：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增加了农村残疾人慰问走访经费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45、社会保障和就业支出（类）红十字事业（款）其他红十字事业支出（项）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2022 年春节暖心工程经费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46、社会保障和就业支出（类）临时救助（款）临时救助支出（项）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年初预算为0万元，支出决算为13.32万元，无完成预算数百分比（备注：由于预算数为0万元，无法计算完成预算的百分比）。决算数大于年初预算数的主要原因是：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2022 年春节暖心工程经费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47、社会保障和就业支出（类）退役军人管理事务（款）一般行政管理事务（项）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年初预算为0万元，支出决算为21.99万元，无完成预算数百分比（备注：由于预算数为0万元，无法计算完成预算的百分比）。决算数大于年初预算数的主要原因是：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增加了乡镇街道退役军人服务站经费及信息采集经费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48、社会保障和就业支出（类）退役军人管理事务（款）事业运行（项）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年初预算为197.01万元，支出决算为172.58万元，完成年初预算的87.6%。决算数小于年初预算数的主要原因是：</w:t>
      </w:r>
      <w:r>
        <w:rPr>
          <w:rStyle w:val="12"/>
          <w:rFonts w:hint="eastAsia" w:ascii="宋体" w:hAnsi="宋体" w:eastAsia="宋体"/>
          <w:color w:val="000000"/>
          <w:sz w:val="32"/>
          <w:szCs w:val="32"/>
        </w:rPr>
        <w:t>社会事业综合服务中心人员增加，追加了人员经费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49、社会保障和就业支出（类）退役军人管理事务（款）其他退役军人事务管理支出（项）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年初预算为0万元，支出决算为16万元，无完成预算数百分比（备注：由于预算数为0万元，无法计算完成预算的百分比）。决算数大于年初预算数的主要原因是：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追加了退伍安置人员经费支出</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50、社会保障和就业支出（类）其他社会保障和就业支出（款）其他社会保障和就业支出（项）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年初预算为0万元，支出决算为6万元，无完成预算数百分比（备注：由于预算数为0万元，无法计算完成预算的百分比）。决算数大于年初预算数的主要原因是：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追加了日常就业宣传、补助支出</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51、卫生健康支出（类）公共卫生（款）基本公共卫生服务（项）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年初预算为0万元，支出决算为3.63万元，无完成预算数百分比（备注：由于预算数为0万元，无法计算完成预算的百分比）。决算数大于年初预算数的主要原因是：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增加了基本公共卫生服务人口监测经费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52、卫生健康支出（类）公共卫生（款）其他公共卫生支出（项）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年初预算为0万元，支出决算为13万元，无完成预算数百分比（备注：由于预算数为0万元，无法计算完成预算的百分比）。决算数大于年初预算数的主要原因是：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公共卫生及公共卫生网络经费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53、卫生健康支出（类）计划生育事务（款）计划生育服务（项）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年初预算为0万元，支出决算为1.15万元，无完成预算数百分比（备注：由于预算数为0万元，无法计算完成预算的百分比）。决算数大于年初预算数的主要原因是：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追加计划生育服务经费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54、卫生健康支出（类）优抚对象医疗（款）优抚对象医疗补助（项）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年初预算为0万元，支出决算为5.15万元，无完成预算数百分比（备注：由于预算数为0万元，无法计算完成预算的百分比）。决算数大于年初预算数的主要原因是：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追加医疗救助城乡医疗救助经费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55、卫生健康支出（类）其他卫生健康支出（款）其他卫生健康支出（项）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年初预算为0万元，支出决算为20万元，无完成预算数百分比（备注：由于预算数为0万元，无法计算完成预算的百分比）。决算数大于年初预算数的主要原因是：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追加医疗救助城乡医疗救助经费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56、节能环保支出（类）污染防治（款）水体（项）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年初预算为0万元，支出决算为140万元，无完成预算数百分比（备注：由于预算数为0万元，无法计算完成预算的百分比）。决算数大于年初预算数的主要原因是：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增加了捞刀河流域水污染防治综合整治资金</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57、节能环保支出（类）污染防治（款）其他污染防治支出（项）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年初预算为0万元，支出决算为31万元，无完成预算数百分比（备注：由于预算数为0万元，无法计算完成预算的百分比）。决算数大于年初预算数的主要原因是：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增加了捞刀河流域水污染防治综合整治资金</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58、节能环保支出（类）自然生态保护（款）农村环境保护（项）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年初预算为560万元，支出决算为389.94万元，完成年初预算的69.63%。决算数小于年初预算数的主要原因是：</w:t>
      </w:r>
      <w:r>
        <w:rPr>
          <w:rStyle w:val="12"/>
          <w:rFonts w:hint="eastAsia" w:ascii="宋体" w:hAnsi="宋体" w:eastAsia="宋体"/>
          <w:color w:val="000000"/>
          <w:sz w:val="32"/>
          <w:szCs w:val="32"/>
        </w:rPr>
        <w:t>2022年非税收入减少</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59、节能环保支出（类）天然林保护（款）停伐补助（项）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年初预算为0万元，支出决算为5万元，无完成预算数百分比（备注：由于预算数为0万元，无法计算完成预算的百分比）。决算数大于年初预算数的主要原因是：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追加了森林防火宣传、森林执法等其他林业相关项目工作支出</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60、节能环保支出（类）能源节约利用（款）能源节约利用（项）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年初预算为0万元，支出决算为11万元，无完成预算数百分比（备注：由于预算数为0万元，无法计算完成预算的百分比）。决算数大于年初预算数的主要原因是：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上级增加了能源节约工作经费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61、城乡社区支出（类）城乡社区管理事务（款）行政运行（项）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年初预算为0万元，支出决算为200.62万元，无完成预算数百分比（备注：由于预算数为0万元，无法计算完成预算的百分比）。决算数大于年初预算数的主要原因是：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追加了人员经费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62、城乡社区支出（类）城乡社区公共设施（款）小城镇基础设施建设（项）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年初预算为0万元，支出决算为8万元，无完成预算数百分比（备注：由于预算数为0万元，无法计算完成预算的百分比）。决算数大于年初预算数的主要原因是：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追加了城镇基础设施建设经费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63、城乡社区支出（类）城乡社区公共设施（款）其他城乡社区公共设施支出（项）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年初预算为228万元，支出决算为191.31万元，完成年初预算的83.91%。决算数小于年初预算数的主要原因是：</w:t>
      </w:r>
      <w:r>
        <w:rPr>
          <w:rStyle w:val="12"/>
          <w:rFonts w:hint="eastAsia" w:ascii="宋体" w:hAnsi="宋体" w:eastAsia="宋体"/>
          <w:color w:val="000000"/>
          <w:sz w:val="32"/>
          <w:szCs w:val="32"/>
        </w:rPr>
        <w:t>厉行节约</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64、城乡社区支出（类）城乡社区环境卫生（款）城乡社区环境卫生（项）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年初预算为400万元，支出决算为33.16万元，完成年初预算的8.29%。决算数小于年初预算数的主要原因是：</w:t>
      </w:r>
      <w:r>
        <w:rPr>
          <w:rStyle w:val="12"/>
          <w:rFonts w:hint="eastAsia" w:ascii="宋体" w:hAnsi="宋体" w:eastAsia="宋体"/>
          <w:color w:val="000000"/>
          <w:sz w:val="32"/>
          <w:szCs w:val="32"/>
        </w:rPr>
        <w:t>厉行节约</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65、城乡社区支出（类）其他城乡社区支出（款）其他城乡社区支出（项）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年初预算为0万元，支出决算为167.37万元，无完成预算数百分比（备注：由于预算数为0万元，无法计算完成预算的百分比）。决算数大于年初预算数的主要原因是：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增加了集镇污水支管网建设项目经费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66、农林水支出（类）农业农村（款）事业运行（项）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年初预算为229.47万元，支出决算为199.13万元，完成年初预算的86.78%。决算数小于年初预算数的主要原因是：</w:t>
      </w:r>
      <w:r>
        <w:rPr>
          <w:rStyle w:val="12"/>
          <w:rFonts w:hint="eastAsia" w:ascii="宋体" w:hAnsi="宋体" w:eastAsia="宋体"/>
          <w:color w:val="000000"/>
          <w:sz w:val="32"/>
          <w:szCs w:val="32"/>
        </w:rPr>
        <w:t>缩减农业农村事业运行经费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67、农林水支出（类）农业农村（款）病虫害控制（项）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年初预算为0万元，支出决算为3万元，无完成预算数百分比（备注：由于预算数为0万元，无法计算完成预算的百分比）。决算数大于年初预算数的主要原因是：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增加了病虫害防治工作经费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68、农林水支出（类）农业农村（款）防灾救灾（项）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年初预算为0万元，支出决算为32.24万元，无完成预算数百分比（备注：由于预算数为0万元，无法计算完成预算的百分比）。决算数大于年初预算数的主要原因是：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增加了病虫害防治工作经费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69、农林水支出（类）农业农村（款）农业结构调整补贴（项）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年初预算为0万元，支出决算为34.3万元，无完成预算数百分比（备注：由于预算数为0万元，无法计算完成预算的百分比）。决算数大于年初预算数的主要原因是：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增加了“稻稻油”水旱轮作试点工作经费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70、农林水支出（类）农业农村（款）农业生产发展（项）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年初预算为0万元，支出决算为36.58万元，无完成预算数百分比（备注：由于预算数为0万元，无法计算完成预算的百分比）。决算数大于年初预算数的主要原因是：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增加了“稻稻油”水旱轮作试点工作经费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71、农林水支出（类）农业农村（款）农村合作经济（项）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年初预算为0万元，支出决算为19.83万元，无完成预算数百分比（备注：由于预算数为0万元，无法计算完成预算的百分比）。决算数大于年初预算数的主要原因是：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增加了烤烟生产工作经费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72、农林水支出（类）农业农村（款）农村社会事业（项）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年初预算为0万元，支出决算为43.29万元，无完成预算数百分比（备注：由于预算数为0万元，无法计算完成预算的百分比）。决算数大于年初预算数的主要原因是：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增加了农村改厕项目工作经费、农村道路建设经费等</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73、农林水支出（类）农业农村（款）其他农业农村支出（项）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年初预算为0万元，支出决算为255.39万元，无完成预算数百分比（备注：由于预算数为0万元，无法计算完成预算的百分比）。决算数大于年初预算数的主要原因是：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增加了2022年乡村振兴工作经费等</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74、农林水支出（类）林业和草原（款）森林资源培育（项）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年初预算为0万元，支出决算为17.43万元，无完成预算数百分比（备注：由于预算数为0万元，无法计算完成预算的百分比）。决算数大于年初预算数的主要原因是：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追加了生态效益林工作支出</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75、农林水支出（类）林业和草原（款）森林资源管理（项）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年初预算为0万元，支出决算为28.89万元，无完成预算数百分比（备注：由于预算数为0万元，无法计算完成预算的百分比）。决算数大于年初预算数的主要原因是：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追加了生态效益林工作支出</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76、农林水支出（类）林业和草原（款）森林生态效益补偿（项）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年初预算为0万元，支出决算为55.47万元，无完成预算数百分比（备注：由于预算数为0万元，无法计算完成预算的百分比）。决算数大于年初预算数的主要原因是：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增加了2022年度森林生态效益集体补偿经费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77、农林水支出（类）林业和草原（款）其他林业和草原支出（项）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年初预算为0万元，支出决算为67万元，无完成预算数百分比（备注：由于预算数为0万元，无法计算完成预算的百分比）。决算数大于年初预算数的主要原因是：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增加了2022年森林防火工作经费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78、农林水支出（类）水利（款）水利行业业务管理（项）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年初预算为0万元，支出决算为53.02万元，无完成预算数百分比（备注：由于预算数为0万元，无法计算完成预算的百分比）。决算数大于年初预算数的主要原因是：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增加了水管站工作经费及上级追加了“最美河流”项目经费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79、农林水支出（类）水利（款）水利工程建设（项）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年初预算为0万元，支出决算为76.08万元，无完成预算数百分比（备注：由于预算数为0万元，无法计算完成预算的百分比）。决算数大于年初预算数的主要原因是：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增加了2022年农村自来水工程建设经费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80、农林水支出（类）水利（款）水利工程运行与维护（项）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年初预算为0万元，支出决算为32.66万元，无完成预算数百分比（备注：由于预算数为0万元，无法计算完成预算的百分比）。决算数大于年初预算数的主要原因是：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追加了2022年农村自来水饮用工程维护经费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81、农林水支出（类）水利（款）防汛（项）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年初预算为0万元，支出决算为9万元，无完成预算数百分比（备注：由于预算数为0万元，无法计算完成预算的百分比）。决算数大于年初预算数的主要原因是：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增加了2022 年防汛工作经费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82、农林水支出（类）水利（款）抗旱（项）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增加了2022 年抗旱工作经费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83、农林水支出（类）水利（款）农村水利（项）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年初预算为0万元，支出决算为11万元，无完成预算数百分比（备注：由于预算数为0万元，无法计算完成预算的百分比）。决算数大于年初预算数的主要原因是：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追加了2022 年农村水利工程建设经费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84、农林水支出（类）水利（款）大中型水库移民后期扶持专项支出（项）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年初预算为0万元，支出决算为15万元，无完成预算数百分比（备注：由于预算数为0万元，无法计算完成预算的百分比）。决算数大于年初预算数的主要原因是：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追加水利工程建设经费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85、农林水支出（类）水利（款）农村人畜饮水（项）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年初预算为0万元，支出决算为4万元，无完成预算数百分比（备注：由于预算数为0万元，无法计算完成预算的百分比）。决算数大于年初预算数的主要原因是：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追加了2022 年农村自来水饮用工程维护经费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86、农林水支出（类）水利（款）其他水利支出（项）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年初预算为0万元，支出决算为173.56万元，无完成预算数百分比（备注：由于预算数为0万元，无法计算完成预算的百分比）。决算数大于年初预算数的主要原因是：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追加水利工程建设经费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87、农林水支出（类）巩固脱贫衔接乡村振兴（款）农村基础设施建设（项）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年初预算为0万元，支出决算为10万元，无完成预算数百分比（备注：由于预算数为0万元，无法计算完成预算的百分比）。决算数大于年初预算数的主要原因是：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增加了2022 年扶贫工作经费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88、农林水支出（类）巩固脱贫衔接乡村振兴（款）其他巩固脱贫衔接乡村振兴支出（项）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年初预算为0万元，支出决算为462.5万元，无完成预算数百分比（备注：由于预算数为0万元，无法计算完成预算的百分比）。决算数大于年初预算数的主要原因是：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为了巩固脱贫成果，追加了其他扶贫支出经费及小额信贷工作经费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89、农林水支出（类）农村综合改革（款）对村级公益事业建设的补助（项）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年初预算为0万元，支出决算为91万元，无完成预算数百分比（备注：由于预算数为0万元，无法计算完成预算的百分比）。决算数大于年初预算数的主要原因是：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大力实施乡村振兴，增加了相关工作经费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90、农林水支出（类）农村综合改革（款）对村民委员会和村党支部的补助（项）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年初预算为48万元，支出决算为470.74万元，完成年初预算的980.71%。决算数大于年初预算数的主要原因是：</w:t>
      </w:r>
      <w:r>
        <w:rPr>
          <w:rStyle w:val="12"/>
          <w:rFonts w:hint="eastAsia" w:ascii="宋体" w:hAnsi="宋体" w:eastAsia="宋体"/>
          <w:color w:val="000000"/>
          <w:sz w:val="32"/>
          <w:szCs w:val="32"/>
        </w:rPr>
        <w:t>追加农村综合改革对村民委员会和村党支部的补助经费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91、农林水支出（类）普惠金融发展支出（款）其他普惠金融发展支出（项）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年初预算为0万元，支出决算为4.2万元，无完成预算数百分比（备注：由于预算数为0万元，无法计算完成预算的百分比）。决算数大于年初预算数的主要原因是：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增加了2022 年度普惠金融发展经费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92、农林水支出（类）其他农林水支出（款）其他农林水支出（项）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年初预算为0万元，支出决算为592.9万元，无完成预算数百分比（备注：由于预算数为0万元，无法计算完成预算的百分比）。决算数大于年初预算数的主要原因是：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追加了20202年新农村建设经费及美丽乡村建设经费等</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93、交通运输支出（类）公路水路运输（款）公路建设（项）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年初预算为0万元，支出决算为1.06万元，无完成预算数百分比（备注：由于预算数为0万元，无法计算完成预算的百分比）。决算数大于年初预算数的主要原因是：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增加了20202年度村级道路建设经费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94、交通运输支出（类）公路水路运输（款）公路养护（项）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年初预算为0万元，支出决算为23.7万元，无完成预算数百分比（备注：由于预算数为0万元，无法计算完成预算的百分比）。决算数大于年初预算数的主要原因是：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增加了2022 年度村级道路养护经费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95、交通运输支出（类）公路水路运输（款）其他公路水路运输支出（项）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年初预算为0万元，支出决算为43.5万元，无完成预算数百分比（备注：由于预算数为0万元，无法计算完成预算的百分比）。决算数大于年初预算数的主要原因是：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公路水路运输公路养护工作和运输安全保护工作增加</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96、交通运输支出（类）车辆购置税支出（款）车辆购置税用于公路等基础设施建设支出（项）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年初预算为0万元，支出决算为62.42万元，无完成预算数百分比（备注：由于预算数为0万元，无法计算完成预算的百分比）。决算数大于年初预算数的主要原因是：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增加了2022 年度村级道路养护经费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97、商业服务业等支出（类）商业流通事务（款）其他商业流通事务支出（项）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年初预算为0万元，支出决算为23.86万元，无完成预算数百分比（备注：由于预算数为0万元，无法计算完成预算的百分比）。决算数大于年初预算数的主要原因是：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增加了2022 年度村级道路养护经费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98、商业服务业等支出（类）其他商业服务业等支出（款）其他商业服务业等支出（项）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年初预算为0万元，支出决算为5万元，无完成预算数百分比（备注：由于预算数为0万元，无法计算完成预算的百分比）。决算数大于年初预算数的主要原因是：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追加了生猪污粪处理、圈舍改造和良种引进经费及上级商贸发展专项资金等</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99、自然资源海洋气象等支出（类）自然资源事务（款）行政运行（项）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年初预算为0万元，支出决算为15万元，无完成预算数百分比（备注：由于预算数为0万元，无法计算完成预算的百分比）。决算数大于年初预算数的主要原因是：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增加了国土所绩效奖金</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100、住房保障支出（类）保障性安居工程支出（款）公共租赁住房（项）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年初预算为0万元，支出决算为2.04万元，无完成预算数百分比（备注：由于预算数为0万元，无法计算完成预算的百分比）。决算数大于年初预算数的主要原因是：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增加了政府公租房维修经费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101、粮油物资储备支出（类）粮油物资事务（款）其他粮油物资事务支出（项）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年初预算为0万元，支出决算为10万元，无完成预算数百分比（备注：由于预算数为0万元，无法计算完成预算的百分比）。决算数大于年初预算数的主要原因是：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上级增加了粮食生产工作经费</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102、灾害防治及应急管理支出（类）应急管理事务（款）其他应急管理支出（项）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年初预算为0万元，支出决算为27.43万元，无完成预算数百分比（备注：由于预算数为0万元，无法计算完成预算的百分比）。决算数大于年初预算数的主要原因是：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追加地质灾害应急处置费用支出</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855"/>
        <w:rPr>
          <w:rFonts w:hint="eastAsia"/>
          <w:color w:val="000000"/>
        </w:rPr>
      </w:pPr>
      <w:r>
        <w:rPr>
          <w:rStyle w:val="7"/>
          <w:rFonts w:hint="eastAsia" w:ascii="宋体" w:hAnsi="宋体" w:eastAsia="宋体"/>
          <w:color w:val="000000"/>
          <w:sz w:val="32"/>
          <w:szCs w:val="32"/>
        </w:rPr>
        <w:t>103、灾害防治及应急管理支出（类）自然灾害防治（款）地质灾害防治（项）</w:t>
      </w:r>
      <w:r>
        <w:rPr>
          <w:rFonts w:hint="eastAsia"/>
          <w:color w:val="000000"/>
        </w:rPr>
        <w:t xml:space="preserve"> </w:t>
      </w:r>
    </w:p>
    <w:p>
      <w:pPr>
        <w:pStyle w:val="10"/>
        <w:spacing w:before="100" w:after="100"/>
        <w:ind w:firstLine="855"/>
        <w:rPr>
          <w:rFonts w:hint="eastAsia"/>
          <w:color w:val="000000"/>
        </w:rPr>
      </w:pPr>
      <w:r>
        <w:rPr>
          <w:rFonts w:hint="eastAsia" w:ascii="宋体" w:hAnsi="宋体" w:eastAsia="宋体"/>
          <w:color w:val="000000"/>
          <w:sz w:val="32"/>
          <w:szCs w:val="32"/>
        </w:rPr>
        <w:t>年初预算为0万元，支出决算为56万元，无完成预算数百分比（备注：由于预算数为0万元，无法计算完成预算的百分比）。决算数大于年初预算数的主要原因是：</w:t>
      </w:r>
      <w:r>
        <w:rPr>
          <w:rStyle w:val="12"/>
          <w:rFonts w:hint="eastAsia" w:ascii="宋体" w:hAnsi="宋体" w:eastAsia="宋体"/>
          <w:color w:val="000000"/>
          <w:sz w:val="32"/>
          <w:szCs w:val="32"/>
        </w:rPr>
        <w:t>追加地质灾害应急处置费用支出</w:t>
      </w:r>
      <w:r>
        <w:rPr>
          <w:rFonts w:hint="eastAsia" w:ascii="宋体" w:hAnsi="宋体" w:eastAsia="宋体"/>
          <w:color w:val="000000"/>
          <w:sz w:val="32"/>
          <w:szCs w:val="32"/>
        </w:rPr>
        <w:t>。</w:t>
      </w:r>
      <w:r>
        <w:rPr>
          <w:rFonts w:hint="eastAsia"/>
          <w:color w:val="000000"/>
        </w:rPr>
        <w:t xml:space="preserve"> </w:t>
      </w:r>
    </w:p>
    <w:p>
      <w:pPr>
        <w:pStyle w:val="10"/>
        <w:spacing w:after="2"/>
        <w:ind w:firstLine="641"/>
        <w:rPr>
          <w:rFonts w:hint="eastAsia"/>
          <w:color w:val="000000"/>
          <w:sz w:val="27"/>
          <w:szCs w:val="27"/>
        </w:rPr>
      </w:pPr>
      <w:r>
        <w:rPr>
          <w:rFonts w:hint="eastAsia" w:ascii="宋体" w:hAnsi="宋体" w:eastAsia="宋体"/>
          <w:b/>
          <w:bCs/>
          <w:color w:val="000000"/>
          <w:sz w:val="32"/>
          <w:szCs w:val="32"/>
        </w:rPr>
        <w:t>六、一般公共预算财政拨款基本支出决算情况说明</w:t>
      </w:r>
      <w:r>
        <w:rPr>
          <w:rFonts w:hint="eastAsia"/>
          <w:color w:val="000000"/>
          <w:sz w:val="27"/>
          <w:szCs w:val="27"/>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2022年度财政拨款基本支出2,262.87万元，其中：</w:t>
      </w:r>
      <w:r>
        <w:rPr>
          <w:rFonts w:hint="eastAsia"/>
          <w:color w:val="000000"/>
          <w:sz w:val="27"/>
          <w:szCs w:val="27"/>
        </w:rPr>
        <w:t xml:space="preserve"> </w:t>
      </w:r>
    </w:p>
    <w:p>
      <w:pPr>
        <w:pStyle w:val="10"/>
        <w:spacing w:after="2"/>
        <w:ind w:firstLine="641"/>
        <w:rPr>
          <w:rFonts w:hint="eastAsia"/>
          <w:color w:val="000000"/>
          <w:sz w:val="27"/>
          <w:szCs w:val="27"/>
        </w:rPr>
      </w:pPr>
      <w:r>
        <w:rPr>
          <w:rFonts w:hint="eastAsia" w:ascii="宋体" w:hAnsi="宋体" w:eastAsia="宋体"/>
          <w:color w:val="000000"/>
          <w:sz w:val="32"/>
          <w:szCs w:val="32"/>
        </w:rPr>
        <w:t>人员经费2,112.26万元，占基本支出的93.34%，主要包括：基本工资、津贴补贴、奖金、绩效工资、机关事业单位基本养老保险缴费、职业年金缴费、职工基本医疗保险缴费、公务员医疗补助缴费、其他社会保障缴费、住房公积金、医疗费、其他工资福利支出、退休费、抚恤金、生活补助、其他对个人和家庭的补助。</w:t>
      </w:r>
    </w:p>
    <w:p>
      <w:pPr>
        <w:pStyle w:val="10"/>
        <w:spacing w:after="2"/>
        <w:ind w:firstLine="641"/>
        <w:rPr>
          <w:rFonts w:hint="eastAsia"/>
          <w:color w:val="000000"/>
          <w:sz w:val="27"/>
          <w:szCs w:val="27"/>
        </w:rPr>
      </w:pPr>
      <w:r>
        <w:rPr>
          <w:rFonts w:hint="eastAsia" w:ascii="宋体" w:hAnsi="宋体" w:eastAsia="宋体"/>
          <w:color w:val="000000"/>
          <w:sz w:val="32"/>
          <w:szCs w:val="32"/>
        </w:rPr>
        <w:t>公用经费150.61万元，占基本支出的6.66%，主要包括：办公费、印刷费、水费、邮电费、差旅费、培训费、公务接待费、工会经费、福利费、其他商品和服务支出。</w:t>
      </w:r>
      <w:r>
        <w:rPr>
          <w:rFonts w:hint="eastAsia"/>
          <w:color w:val="000000"/>
          <w:sz w:val="27"/>
          <w:szCs w:val="27"/>
        </w:rPr>
        <w:t xml:space="preserve"> </w:t>
      </w:r>
    </w:p>
    <w:p>
      <w:pPr>
        <w:pStyle w:val="10"/>
        <w:spacing w:after="2"/>
        <w:ind w:firstLine="641"/>
        <w:rPr>
          <w:rFonts w:hint="eastAsia"/>
          <w:color w:val="000000"/>
          <w:sz w:val="27"/>
          <w:szCs w:val="27"/>
        </w:rPr>
      </w:pPr>
      <w:r>
        <w:rPr>
          <w:rFonts w:hint="eastAsia" w:ascii="宋体" w:hAnsi="宋体" w:eastAsia="宋体"/>
          <w:b/>
          <w:bCs/>
          <w:color w:val="000000"/>
          <w:sz w:val="32"/>
          <w:szCs w:val="32"/>
        </w:rPr>
        <w:t>七、财政拨款三公经费支出决算情况说明</w:t>
      </w:r>
      <w:r>
        <w:rPr>
          <w:rFonts w:hint="eastAsia"/>
          <w:color w:val="000000"/>
          <w:sz w:val="27"/>
          <w:szCs w:val="27"/>
        </w:rPr>
        <w:t xml:space="preserve"> </w:t>
      </w:r>
    </w:p>
    <w:p>
      <w:pPr>
        <w:pStyle w:val="10"/>
        <w:spacing w:before="100" w:after="100"/>
        <w:ind w:firstLine="640"/>
        <w:rPr>
          <w:rFonts w:hint="eastAsia"/>
          <w:color w:val="000000"/>
        </w:rPr>
      </w:pPr>
      <w:r>
        <w:rPr>
          <w:rFonts w:hint="eastAsia" w:ascii="宋体" w:hAnsi="宋体" w:eastAsia="宋体"/>
          <w:b/>
          <w:bCs/>
          <w:color w:val="000000"/>
          <w:sz w:val="32"/>
          <w:szCs w:val="32"/>
        </w:rPr>
        <w:t>（一）“三公”经费财政拨款支出决算总体情况说明</w:t>
      </w:r>
      <w:r>
        <w:rPr>
          <w:rFonts w:hint="eastAsia"/>
          <w:color w:val="000000"/>
        </w:rPr>
        <w:t xml:space="preserve"> </w:t>
      </w:r>
    </w:p>
    <w:p>
      <w:pPr>
        <w:pStyle w:val="10"/>
        <w:spacing w:before="100" w:after="100"/>
        <w:ind w:firstLine="640"/>
        <w:rPr>
          <w:rFonts w:hint="eastAsia"/>
          <w:color w:val="000000"/>
        </w:rPr>
      </w:pPr>
      <w:r>
        <w:rPr>
          <w:rFonts w:hint="eastAsia" w:ascii="宋体" w:hAnsi="宋体" w:eastAsia="宋体"/>
          <w:color w:val="000000"/>
          <w:sz w:val="32"/>
          <w:szCs w:val="32"/>
        </w:rPr>
        <w:t>2022年度“三公”经费财政拨款支出预算为39.23万元，支出决算为11.59万元，完成预算的29.54%，其中：</w:t>
      </w:r>
      <w:r>
        <w:rPr>
          <w:rFonts w:hint="eastAsia"/>
          <w:color w:val="000000"/>
        </w:rPr>
        <w:t xml:space="preserve"> </w:t>
      </w:r>
    </w:p>
    <w:p>
      <w:pPr>
        <w:pStyle w:val="10"/>
        <w:spacing w:before="100" w:after="100"/>
        <w:ind w:firstLine="640"/>
        <w:rPr>
          <w:rFonts w:hint="eastAsia"/>
          <w:color w:val="000000"/>
        </w:rPr>
      </w:pPr>
      <w:r>
        <w:rPr>
          <w:rFonts w:hint="eastAsia" w:ascii="宋体" w:hAnsi="宋体" w:eastAsia="宋体"/>
          <w:color w:val="000000"/>
          <w:sz w:val="32"/>
          <w:szCs w:val="32"/>
        </w:rPr>
        <w:t>因公出国（境）费支出预算为0万元，支出决算为0万元，决算数与预算数一致，我单位严格按预算执行决算，因公出国（境）费支出与上年持平。</w:t>
      </w:r>
      <w:r>
        <w:rPr>
          <w:rFonts w:hint="eastAsia"/>
          <w:color w:val="000000"/>
        </w:rPr>
        <w:t xml:space="preserve"> </w:t>
      </w:r>
    </w:p>
    <w:p>
      <w:pPr>
        <w:pStyle w:val="10"/>
        <w:spacing w:before="100" w:after="100"/>
        <w:ind w:firstLine="640"/>
        <w:rPr>
          <w:rFonts w:hint="eastAsia"/>
          <w:color w:val="000000"/>
        </w:rPr>
      </w:pPr>
      <w:r>
        <w:rPr>
          <w:rFonts w:hint="eastAsia" w:ascii="宋体" w:hAnsi="宋体" w:eastAsia="宋体"/>
          <w:color w:val="000000"/>
          <w:sz w:val="32"/>
          <w:szCs w:val="32"/>
        </w:rPr>
        <w:t>公务接待费支出预算为29.23万元，支出决算为11.59万元，完成预算的39.65%，决算数小于预算数的主要原因是</w:t>
      </w:r>
      <w:r>
        <w:rPr>
          <w:rStyle w:val="12"/>
          <w:rFonts w:hint="eastAsia" w:ascii="宋体" w:hAnsi="宋体" w:eastAsia="宋体"/>
          <w:color w:val="000000"/>
          <w:sz w:val="32"/>
          <w:szCs w:val="32"/>
        </w:rPr>
        <w:t>厉行勤俭节约，严格按照八项规定要求限制三公经费支出</w:t>
      </w:r>
      <w:r>
        <w:rPr>
          <w:rFonts w:hint="eastAsia" w:ascii="宋体" w:hAnsi="宋体" w:eastAsia="宋体"/>
          <w:color w:val="000000"/>
          <w:sz w:val="32"/>
          <w:szCs w:val="32"/>
        </w:rPr>
        <w:t>，与上年相比减少17.63万元，下降60.34%，下降的主要原因是</w:t>
      </w:r>
      <w:r>
        <w:rPr>
          <w:rStyle w:val="12"/>
          <w:rFonts w:hint="eastAsia" w:ascii="宋体" w:hAnsi="宋体" w:eastAsia="宋体"/>
          <w:color w:val="000000"/>
          <w:sz w:val="32"/>
          <w:szCs w:val="32"/>
        </w:rPr>
        <w:t>新冠肺炎疫情影响，减少了不必要的公务接待</w:t>
      </w:r>
      <w:r>
        <w:rPr>
          <w:rFonts w:hint="eastAsia" w:ascii="宋体" w:hAnsi="宋体" w:eastAsia="宋体"/>
          <w:color w:val="000000"/>
          <w:sz w:val="32"/>
          <w:szCs w:val="32"/>
        </w:rPr>
        <w:t>。</w:t>
      </w:r>
      <w:r>
        <w:rPr>
          <w:rFonts w:hint="eastAsia"/>
          <w:color w:val="000000"/>
        </w:rPr>
        <w:t xml:space="preserve"> </w:t>
      </w:r>
    </w:p>
    <w:p>
      <w:pPr>
        <w:pStyle w:val="10"/>
        <w:spacing w:before="100" w:after="100"/>
        <w:ind w:firstLine="640"/>
        <w:rPr>
          <w:rFonts w:hint="eastAsia"/>
          <w:color w:val="000000"/>
        </w:rPr>
      </w:pPr>
      <w:r>
        <w:rPr>
          <w:rFonts w:hint="eastAsia" w:ascii="宋体" w:hAnsi="宋体" w:eastAsia="宋体"/>
          <w:color w:val="000000"/>
          <w:sz w:val="32"/>
          <w:szCs w:val="32"/>
        </w:rPr>
        <w:t>公务用车购置费支出预算为0万元，支出决算为0万元，决算数与预算数一致，我单位严格按预算执行决算，公务用车购置费支出与上年持平。</w:t>
      </w:r>
    </w:p>
    <w:p>
      <w:pPr>
        <w:pStyle w:val="10"/>
        <w:spacing w:before="100" w:after="100"/>
        <w:ind w:firstLine="640"/>
        <w:rPr>
          <w:rFonts w:hint="eastAsia"/>
          <w:color w:val="000000"/>
        </w:rPr>
      </w:pPr>
      <w:r>
        <w:rPr>
          <w:rFonts w:hint="eastAsia" w:ascii="宋体" w:hAnsi="宋体" w:eastAsia="宋体"/>
          <w:color w:val="000000"/>
          <w:sz w:val="32"/>
          <w:szCs w:val="32"/>
        </w:rPr>
        <w:t>公务用车运行维护费支出预算为10万元，支出决算为0万元，完成预算的0%，决算数小于预算数的主要原因是</w:t>
      </w:r>
      <w:r>
        <w:rPr>
          <w:rStyle w:val="12"/>
          <w:rFonts w:hint="eastAsia" w:ascii="宋体" w:hAnsi="宋体" w:eastAsia="宋体"/>
          <w:color w:val="000000"/>
          <w:sz w:val="32"/>
          <w:szCs w:val="32"/>
        </w:rPr>
        <w:t>新冠肺炎疫情影响，公务外出减少</w:t>
      </w:r>
      <w:r>
        <w:rPr>
          <w:rFonts w:hint="eastAsia" w:ascii="宋体" w:hAnsi="宋体" w:eastAsia="宋体"/>
          <w:color w:val="000000"/>
          <w:sz w:val="32"/>
          <w:szCs w:val="32"/>
        </w:rPr>
        <w:t>，公务用车运行维护费支出与上年持平。</w:t>
      </w:r>
    </w:p>
    <w:p>
      <w:pPr>
        <w:pStyle w:val="10"/>
        <w:spacing w:before="100" w:after="100"/>
        <w:ind w:firstLine="640"/>
        <w:rPr>
          <w:rFonts w:hint="eastAsia"/>
          <w:color w:val="000000"/>
        </w:rPr>
      </w:pPr>
      <w:r>
        <w:rPr>
          <w:rFonts w:hint="eastAsia" w:ascii="宋体" w:hAnsi="宋体" w:eastAsia="宋体"/>
          <w:b/>
          <w:bCs/>
          <w:color w:val="000000"/>
          <w:sz w:val="32"/>
          <w:szCs w:val="32"/>
        </w:rPr>
        <w:t>（二）“三公”经费财政拨款支出决算具体情况说明</w:t>
      </w:r>
      <w:r>
        <w:rPr>
          <w:rFonts w:hint="eastAsia"/>
          <w:color w:val="000000"/>
        </w:rPr>
        <w:t xml:space="preserve"> </w:t>
      </w:r>
    </w:p>
    <w:p>
      <w:pPr>
        <w:pStyle w:val="10"/>
        <w:spacing w:before="100" w:after="100"/>
        <w:ind w:firstLine="640"/>
        <w:rPr>
          <w:rFonts w:hint="eastAsia"/>
          <w:color w:val="000000"/>
        </w:rPr>
      </w:pPr>
      <w:r>
        <w:rPr>
          <w:rFonts w:hint="eastAsia" w:ascii="宋体" w:hAnsi="宋体" w:eastAsia="宋体"/>
          <w:color w:val="000000"/>
          <w:sz w:val="32"/>
          <w:szCs w:val="32"/>
        </w:rPr>
        <w:t>2022年度“三公”经费财政拨款支出决算中，公务接待费支出决算11.59万元，占100%，因公出国（境）费支出决算0万元，占0%，公务用车购置费及运行维护费支出决算0万元，占0%。其中：</w:t>
      </w:r>
      <w:r>
        <w:rPr>
          <w:rFonts w:hint="eastAsia"/>
          <w:color w:val="000000"/>
        </w:rPr>
        <w:t xml:space="preserve"> </w:t>
      </w:r>
    </w:p>
    <w:p>
      <w:pPr>
        <w:pStyle w:val="10"/>
        <w:spacing w:before="100" w:after="100"/>
        <w:ind w:firstLine="640"/>
        <w:rPr>
          <w:rFonts w:hint="eastAsia"/>
          <w:color w:val="000000"/>
        </w:rPr>
      </w:pPr>
      <w:r>
        <w:rPr>
          <w:rFonts w:hint="eastAsia" w:ascii="宋体" w:hAnsi="宋体" w:eastAsia="宋体"/>
          <w:color w:val="000000"/>
          <w:sz w:val="32"/>
          <w:szCs w:val="32"/>
        </w:rPr>
        <w:t>1、因公出国（境）费支出决算为0万元，全年安排因公出国（境）团组0个，累计0人次，我单位2022年度无因公出国（境）费支出。</w:t>
      </w:r>
      <w:r>
        <w:rPr>
          <w:rFonts w:hint="eastAsia"/>
          <w:color w:val="000000"/>
        </w:rPr>
        <w:t xml:space="preserve"> </w:t>
      </w:r>
    </w:p>
    <w:p>
      <w:pPr>
        <w:pStyle w:val="10"/>
        <w:spacing w:before="100" w:after="100"/>
        <w:ind w:firstLine="640"/>
        <w:rPr>
          <w:rFonts w:hint="eastAsia"/>
          <w:color w:val="000000"/>
        </w:rPr>
      </w:pPr>
      <w:r>
        <w:rPr>
          <w:rFonts w:hint="eastAsia" w:ascii="宋体" w:hAnsi="宋体" w:eastAsia="宋体"/>
          <w:color w:val="000000"/>
          <w:sz w:val="32"/>
          <w:szCs w:val="32"/>
        </w:rPr>
        <w:t>2、公务接待费支出决算为11.59万元，全年共接待来访团组300个、来宾2,900人次，主要是</w:t>
      </w:r>
      <w:r>
        <w:rPr>
          <w:rStyle w:val="12"/>
          <w:rFonts w:hint="eastAsia" w:ascii="宋体" w:hAnsi="宋体" w:eastAsia="宋体"/>
          <w:color w:val="000000"/>
          <w:sz w:val="32"/>
          <w:szCs w:val="32"/>
        </w:rPr>
        <w:t>本单位会议、活动、工作检查等</w:t>
      </w:r>
      <w:r>
        <w:rPr>
          <w:rFonts w:hint="eastAsia" w:ascii="宋体" w:hAnsi="宋体" w:eastAsia="宋体"/>
          <w:color w:val="000000"/>
          <w:sz w:val="32"/>
          <w:szCs w:val="32"/>
        </w:rPr>
        <w:t>发生的接待支出。</w:t>
      </w:r>
      <w:r>
        <w:rPr>
          <w:rFonts w:hint="eastAsia"/>
          <w:color w:val="000000"/>
        </w:rPr>
        <w:t xml:space="preserve"> </w:t>
      </w:r>
    </w:p>
    <w:p>
      <w:pPr>
        <w:pStyle w:val="10"/>
        <w:spacing w:before="100" w:after="100"/>
        <w:ind w:firstLine="640"/>
        <w:rPr>
          <w:rFonts w:hint="eastAsia"/>
          <w:color w:val="000000"/>
        </w:rPr>
      </w:pPr>
      <w:r>
        <w:rPr>
          <w:rFonts w:hint="eastAsia" w:ascii="宋体" w:hAnsi="宋体" w:eastAsia="宋体"/>
          <w:color w:val="000000"/>
          <w:sz w:val="32"/>
          <w:szCs w:val="32"/>
        </w:rPr>
        <w:t>3、公务用车购置费及运行维护费支出决算为0万元，其中：公务用车购置费0万元，更新公务用车0辆。公务用车运行维护费0万元，截至2022年12月31日，我单位开支财政拨款的公务用车保有量为0辆。我单位2022年度无公务用车购置费及运行维护费支出。</w:t>
      </w:r>
      <w:r>
        <w:rPr>
          <w:rFonts w:hint="eastAsia"/>
          <w:color w:val="000000"/>
        </w:rPr>
        <w:t xml:space="preserve"> </w:t>
      </w:r>
    </w:p>
    <w:p>
      <w:pPr>
        <w:pStyle w:val="10"/>
        <w:spacing w:before="100" w:after="100"/>
        <w:ind w:firstLine="640"/>
        <w:rPr>
          <w:rFonts w:hint="eastAsia"/>
          <w:color w:val="000000"/>
        </w:rPr>
      </w:pPr>
      <w:r>
        <w:rPr>
          <w:rFonts w:hint="eastAsia" w:ascii="宋体" w:hAnsi="宋体" w:eastAsia="宋体"/>
          <w:b/>
          <w:bCs/>
          <w:color w:val="000000"/>
          <w:sz w:val="32"/>
          <w:szCs w:val="32"/>
        </w:rPr>
        <w:t>八、政府性基金预算收入支出决算情况说明</w:t>
      </w:r>
      <w:r>
        <w:rPr>
          <w:rFonts w:hint="eastAsia"/>
          <w:color w:val="000000"/>
        </w:rPr>
        <w:t xml:space="preserve"> </w:t>
      </w:r>
    </w:p>
    <w:p>
      <w:pPr>
        <w:pStyle w:val="10"/>
        <w:spacing w:before="100" w:after="100"/>
        <w:ind w:firstLine="640"/>
        <w:rPr>
          <w:rFonts w:hint="eastAsia"/>
          <w:color w:val="000000"/>
        </w:rPr>
      </w:pPr>
      <w:r>
        <w:rPr>
          <w:rFonts w:hint="eastAsia" w:ascii="宋体" w:hAnsi="宋体" w:eastAsia="宋体"/>
          <w:color w:val="000000"/>
          <w:sz w:val="32"/>
          <w:szCs w:val="32"/>
        </w:rPr>
        <w:t xml:space="preserve">2022年度政府性基金预算财政拨款收入322.65万元；年初结转和结余0万元；支出322.65万元，其中基本支出0万元，项目支出322.65万元；年末结转和结余0万元。具体情况如下： </w:t>
      </w:r>
    </w:p>
    <w:p>
      <w:pPr>
        <w:pStyle w:val="10"/>
        <w:spacing w:after="2"/>
        <w:ind w:firstLine="641"/>
        <w:rPr>
          <w:rFonts w:hint="eastAsia" w:ascii="宋体" w:hAnsi="宋体" w:eastAsia="宋体"/>
          <w:color w:val="000000"/>
          <w:sz w:val="27"/>
          <w:szCs w:val="27"/>
        </w:rPr>
      </w:pPr>
      <w:r>
        <w:rPr>
          <w:rStyle w:val="7"/>
          <w:rFonts w:hint="eastAsia" w:ascii="宋体" w:hAnsi="宋体" w:eastAsia="宋体"/>
          <w:color w:val="000000"/>
          <w:sz w:val="32"/>
          <w:szCs w:val="32"/>
        </w:rPr>
        <w:t>1、社会保障和就业支出（类）大中型水库移民后期扶持基金支出（款）移民补助（项）</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color w:val="000000"/>
          <w:sz w:val="32"/>
          <w:szCs w:val="32"/>
        </w:rPr>
        <w:t>年初预算为0万元，支出决算为18万元，决算数大于年初预算数的主要原因是：</w:t>
      </w:r>
      <w:r>
        <w:rPr>
          <w:rStyle w:val="12"/>
          <w:rFonts w:hint="eastAsia" w:ascii="宋体" w:hAnsi="宋体" w:eastAsia="宋体"/>
          <w:color w:val="000000"/>
          <w:sz w:val="32"/>
          <w:szCs w:val="32"/>
        </w:rPr>
        <w:t>上级追加了水库移民后期扶持项目资金</w:t>
      </w:r>
      <w:r>
        <w:rPr>
          <w:rFonts w:hint="eastAsia" w:ascii="宋体" w:hAnsi="宋体" w:eastAsia="宋体"/>
          <w:color w:val="000000"/>
          <w:sz w:val="32"/>
          <w:szCs w:val="32"/>
        </w:rPr>
        <w:t>。</w:t>
      </w:r>
    </w:p>
    <w:p>
      <w:pPr>
        <w:pStyle w:val="10"/>
        <w:spacing w:after="2"/>
        <w:ind w:firstLine="641"/>
        <w:rPr>
          <w:rFonts w:hint="eastAsia" w:ascii="宋体" w:hAnsi="宋体" w:eastAsia="宋体"/>
          <w:color w:val="000000"/>
          <w:sz w:val="27"/>
          <w:szCs w:val="27"/>
        </w:rPr>
      </w:pPr>
      <w:r>
        <w:rPr>
          <w:rStyle w:val="7"/>
          <w:rFonts w:hint="eastAsia" w:ascii="宋体" w:hAnsi="宋体" w:eastAsia="宋体"/>
          <w:color w:val="000000"/>
          <w:sz w:val="32"/>
          <w:szCs w:val="32"/>
        </w:rPr>
        <w:t>2、社会保障和就业支出（类）大中型水库移民后期扶持基金支出（款）基础设施建设和经济发展（项）</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color w:val="000000"/>
          <w:sz w:val="32"/>
          <w:szCs w:val="32"/>
        </w:rPr>
        <w:t>年初预算为0万元，支出决算为12万元，决算数大于年初预算数的主要原因是：</w:t>
      </w:r>
      <w:r>
        <w:rPr>
          <w:rStyle w:val="12"/>
          <w:rFonts w:hint="eastAsia" w:ascii="宋体" w:hAnsi="宋体" w:eastAsia="宋体"/>
          <w:color w:val="000000"/>
          <w:sz w:val="32"/>
          <w:szCs w:val="32"/>
        </w:rPr>
        <w:t>增加了关山水库后期扶持建设资金</w:t>
      </w:r>
      <w:r>
        <w:rPr>
          <w:rFonts w:hint="eastAsia" w:ascii="宋体" w:hAnsi="宋体" w:eastAsia="宋体"/>
          <w:color w:val="000000"/>
          <w:sz w:val="32"/>
          <w:szCs w:val="32"/>
        </w:rPr>
        <w:t>。</w:t>
      </w:r>
    </w:p>
    <w:p>
      <w:pPr>
        <w:pStyle w:val="10"/>
        <w:spacing w:after="2"/>
        <w:ind w:firstLine="641"/>
        <w:rPr>
          <w:rFonts w:hint="eastAsia" w:ascii="宋体" w:hAnsi="宋体" w:eastAsia="宋体"/>
          <w:color w:val="000000"/>
          <w:sz w:val="27"/>
          <w:szCs w:val="27"/>
        </w:rPr>
      </w:pPr>
      <w:r>
        <w:rPr>
          <w:rStyle w:val="7"/>
          <w:rFonts w:hint="eastAsia" w:ascii="宋体" w:hAnsi="宋体" w:eastAsia="宋体"/>
          <w:color w:val="000000"/>
          <w:sz w:val="32"/>
          <w:szCs w:val="32"/>
        </w:rPr>
        <w:t>3、城乡社区支出（类）国有土地使用权出让收入安排的支出（款）农村基础设施建设支出（项）</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color w:val="000000"/>
          <w:sz w:val="32"/>
          <w:szCs w:val="32"/>
        </w:rPr>
        <w:t>年初预算为0万元，支出决算为183.53万元，决算数大于年初预算数的主要原因是：</w:t>
      </w:r>
      <w:r>
        <w:rPr>
          <w:rStyle w:val="12"/>
          <w:rFonts w:hint="eastAsia" w:ascii="宋体" w:hAnsi="宋体" w:eastAsia="宋体"/>
          <w:color w:val="000000"/>
          <w:sz w:val="32"/>
          <w:szCs w:val="32"/>
        </w:rPr>
        <w:t>增加了社港骨伤科医院项目建设资金</w:t>
      </w:r>
      <w:r>
        <w:rPr>
          <w:rFonts w:hint="eastAsia" w:ascii="宋体" w:hAnsi="宋体" w:eastAsia="宋体"/>
          <w:color w:val="000000"/>
          <w:sz w:val="32"/>
          <w:szCs w:val="32"/>
        </w:rPr>
        <w:t>。</w:t>
      </w:r>
    </w:p>
    <w:p>
      <w:pPr>
        <w:pStyle w:val="10"/>
        <w:spacing w:after="2"/>
        <w:ind w:firstLine="641"/>
        <w:rPr>
          <w:rFonts w:hint="eastAsia" w:ascii="宋体" w:hAnsi="宋体" w:eastAsia="宋体"/>
          <w:color w:val="000000"/>
          <w:sz w:val="27"/>
          <w:szCs w:val="27"/>
        </w:rPr>
      </w:pPr>
      <w:r>
        <w:rPr>
          <w:rStyle w:val="7"/>
          <w:rFonts w:hint="eastAsia" w:ascii="宋体" w:hAnsi="宋体" w:eastAsia="宋体"/>
          <w:color w:val="000000"/>
          <w:sz w:val="32"/>
          <w:szCs w:val="32"/>
        </w:rPr>
        <w:t>4、城乡社区支出（类）城市基础设施配套费安排的支出（款）其他城市基础设施配套费安排的支出（项）</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color w:val="000000"/>
          <w:sz w:val="32"/>
          <w:szCs w:val="32"/>
        </w:rPr>
        <w:t>年初预算为0万元，支出决算为14.12万元，完成年初预算的0%。决算数大于年初预算数的主要原因是：</w:t>
      </w:r>
      <w:r>
        <w:rPr>
          <w:rStyle w:val="12"/>
          <w:rFonts w:hint="eastAsia" w:ascii="宋体" w:hAnsi="宋体" w:eastAsia="宋体"/>
          <w:color w:val="000000"/>
          <w:sz w:val="32"/>
          <w:szCs w:val="32"/>
        </w:rPr>
        <w:t>增加其他城市基础设施配套项目支出</w:t>
      </w:r>
      <w:r>
        <w:rPr>
          <w:rFonts w:hint="eastAsia" w:ascii="宋体" w:hAnsi="宋体" w:eastAsia="宋体"/>
          <w:color w:val="000000"/>
          <w:sz w:val="32"/>
          <w:szCs w:val="32"/>
        </w:rPr>
        <w:t>。</w:t>
      </w:r>
    </w:p>
    <w:p>
      <w:pPr>
        <w:pStyle w:val="10"/>
        <w:spacing w:after="2"/>
        <w:ind w:firstLine="641"/>
        <w:rPr>
          <w:rFonts w:hint="eastAsia" w:ascii="宋体" w:hAnsi="宋体" w:eastAsia="宋体"/>
          <w:color w:val="000000"/>
          <w:sz w:val="27"/>
          <w:szCs w:val="27"/>
        </w:rPr>
      </w:pPr>
      <w:r>
        <w:rPr>
          <w:rStyle w:val="7"/>
          <w:rFonts w:hint="eastAsia" w:ascii="宋体" w:hAnsi="宋体" w:eastAsia="宋体"/>
          <w:color w:val="000000"/>
          <w:sz w:val="32"/>
          <w:szCs w:val="32"/>
        </w:rPr>
        <w:t>5、其他支出（类）彩票公益金安排的支出（款）用于社会福利的彩票公益金支出（项）</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color w:val="000000"/>
          <w:sz w:val="32"/>
          <w:szCs w:val="32"/>
        </w:rPr>
        <w:t>年初预算为0万元，支出决算为30万元，决算数大于年初预算数的主要原因是：</w:t>
      </w:r>
      <w:r>
        <w:rPr>
          <w:rStyle w:val="12"/>
          <w:rFonts w:hint="eastAsia" w:ascii="宋体" w:hAnsi="宋体" w:eastAsia="宋体"/>
          <w:color w:val="000000"/>
          <w:sz w:val="32"/>
          <w:szCs w:val="32"/>
        </w:rPr>
        <w:t>增加了社港敬老院消防设施改造建设资金等</w:t>
      </w:r>
      <w:r>
        <w:rPr>
          <w:rFonts w:hint="eastAsia" w:ascii="宋体" w:hAnsi="宋体" w:eastAsia="宋体"/>
          <w:color w:val="000000"/>
          <w:sz w:val="32"/>
          <w:szCs w:val="32"/>
        </w:rPr>
        <w:t>。</w:t>
      </w:r>
    </w:p>
    <w:p>
      <w:pPr>
        <w:pStyle w:val="10"/>
        <w:spacing w:after="2"/>
        <w:ind w:firstLine="641"/>
        <w:rPr>
          <w:rFonts w:hint="eastAsia" w:ascii="宋体" w:hAnsi="宋体" w:eastAsia="宋体"/>
          <w:color w:val="000000"/>
          <w:sz w:val="27"/>
          <w:szCs w:val="27"/>
        </w:rPr>
      </w:pPr>
      <w:r>
        <w:rPr>
          <w:rStyle w:val="7"/>
          <w:rFonts w:hint="eastAsia" w:ascii="宋体" w:hAnsi="宋体" w:eastAsia="宋体"/>
          <w:color w:val="000000"/>
          <w:sz w:val="32"/>
          <w:szCs w:val="32"/>
        </w:rPr>
        <w:t>6、其他支出（类）彩票公益金安排的支出（款）用于体育事业的彩票公益金支出（项）</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color w:val="000000"/>
          <w:sz w:val="32"/>
          <w:szCs w:val="32"/>
        </w:rPr>
        <w:t>年初预算为0万元，支出决算为65万元，决算数大于年初预算数的主要原因是：</w:t>
      </w:r>
      <w:r>
        <w:rPr>
          <w:rStyle w:val="12"/>
          <w:rFonts w:hint="eastAsia" w:ascii="宋体" w:hAnsi="宋体" w:eastAsia="宋体"/>
          <w:color w:val="000000"/>
          <w:sz w:val="32"/>
          <w:szCs w:val="32"/>
        </w:rPr>
        <w:t>增加了村级体育公共设施建设资金</w:t>
      </w:r>
      <w:r>
        <w:rPr>
          <w:rFonts w:hint="eastAsia" w:ascii="宋体" w:hAnsi="宋体" w:eastAsia="宋体"/>
          <w:color w:val="000000"/>
          <w:sz w:val="32"/>
          <w:szCs w:val="32"/>
        </w:rPr>
        <w:t>。</w:t>
      </w:r>
    </w:p>
    <w:p>
      <w:pPr>
        <w:pStyle w:val="10"/>
        <w:spacing w:after="2"/>
        <w:ind w:firstLine="641"/>
        <w:rPr>
          <w:rFonts w:hint="eastAsia" w:ascii="宋体" w:hAnsi="宋体" w:eastAsia="宋体"/>
          <w:color w:val="000000"/>
          <w:sz w:val="27"/>
          <w:szCs w:val="27"/>
        </w:rPr>
      </w:pPr>
      <w:r>
        <w:rPr>
          <w:rFonts w:hint="eastAsia" w:ascii="宋体" w:hAnsi="宋体" w:eastAsia="宋体"/>
          <w:b/>
          <w:bCs/>
          <w:color w:val="000000"/>
          <w:sz w:val="32"/>
          <w:szCs w:val="32"/>
        </w:rPr>
        <w:t>九、国有资本经营预算收入支出决算情况说明</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color w:val="000000"/>
          <w:sz w:val="32"/>
          <w:szCs w:val="32"/>
        </w:rPr>
        <w:t>2022年度国有资本经营预算收入0.78万元；年初结转和结余0万元；支出0.78万元，其中基本支出</w:t>
      </w:r>
      <w:r>
        <w:rPr>
          <w:rStyle w:val="12"/>
          <w:rFonts w:hint="eastAsia" w:ascii="宋体" w:hAnsi="宋体" w:eastAsia="宋体"/>
          <w:color w:val="000000"/>
          <w:sz w:val="32"/>
          <w:szCs w:val="32"/>
        </w:rPr>
        <w:t>0</w:t>
      </w:r>
      <w:r>
        <w:rPr>
          <w:rFonts w:hint="eastAsia" w:ascii="宋体" w:hAnsi="宋体" w:eastAsia="宋体"/>
          <w:color w:val="000000"/>
          <w:sz w:val="32"/>
          <w:szCs w:val="32"/>
        </w:rPr>
        <w:t>万元，项目支出</w:t>
      </w:r>
      <w:r>
        <w:rPr>
          <w:rStyle w:val="12"/>
          <w:rFonts w:hint="eastAsia" w:ascii="宋体" w:hAnsi="宋体" w:eastAsia="宋体"/>
          <w:color w:val="000000"/>
          <w:sz w:val="32"/>
          <w:szCs w:val="32"/>
        </w:rPr>
        <w:t>0.78</w:t>
      </w:r>
      <w:r>
        <w:rPr>
          <w:rFonts w:hint="eastAsia" w:ascii="宋体" w:hAnsi="宋体" w:eastAsia="宋体"/>
          <w:color w:val="000000"/>
          <w:sz w:val="32"/>
          <w:szCs w:val="32"/>
        </w:rPr>
        <w:t xml:space="preserve">万元；年末结转和结余0万元。具体情况如下： </w:t>
      </w:r>
    </w:p>
    <w:p>
      <w:pPr>
        <w:pStyle w:val="10"/>
        <w:spacing w:after="2"/>
        <w:ind w:firstLine="641"/>
        <w:rPr>
          <w:rFonts w:hint="eastAsia" w:ascii="宋体" w:hAnsi="宋体" w:eastAsia="宋体"/>
          <w:color w:val="000000"/>
          <w:sz w:val="27"/>
          <w:szCs w:val="27"/>
        </w:rPr>
      </w:pPr>
      <w:r>
        <w:rPr>
          <w:rStyle w:val="7"/>
          <w:rFonts w:hint="eastAsia" w:ascii="宋体" w:hAnsi="宋体" w:eastAsia="宋体"/>
          <w:color w:val="000000"/>
          <w:sz w:val="32"/>
          <w:szCs w:val="32"/>
        </w:rPr>
        <w:t>1、国有资本经营预算支出（类）解决历史遗留问题及改革成本支出（款）国有企业退休人员社会化管理补助支出（项）</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color w:val="000000"/>
          <w:sz w:val="32"/>
          <w:szCs w:val="32"/>
        </w:rPr>
        <w:t>年初预算为0.78万元，支出决算为0.78万元，完成年初预算的100%。决算数与年初预算数一致，主要原因是我单位严格执行预算。</w:t>
      </w:r>
    </w:p>
    <w:p>
      <w:pPr>
        <w:pStyle w:val="10"/>
        <w:spacing w:after="2"/>
        <w:ind w:firstLine="641"/>
        <w:rPr>
          <w:rFonts w:hint="eastAsia" w:ascii="宋体" w:hAnsi="宋体" w:eastAsia="宋体"/>
          <w:color w:val="000000"/>
          <w:sz w:val="27"/>
          <w:szCs w:val="27"/>
        </w:rPr>
      </w:pPr>
      <w:r>
        <w:rPr>
          <w:rFonts w:hint="eastAsia" w:ascii="宋体" w:hAnsi="宋体" w:eastAsia="宋体"/>
          <w:b/>
          <w:bCs/>
          <w:color w:val="000000"/>
          <w:sz w:val="32"/>
          <w:szCs w:val="32"/>
        </w:rPr>
        <w:t>十、关于机关运行经费支出说明</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color w:val="000000"/>
          <w:sz w:val="32"/>
          <w:szCs w:val="32"/>
        </w:rPr>
        <w:t>浏阳市社港镇人民政府2022年度机关运行经费支出150.61万元，比年初预算数减少61.39万元，下降28.96%。主要原因是：</w:t>
      </w:r>
      <w:r>
        <w:rPr>
          <w:rStyle w:val="12"/>
          <w:rFonts w:hint="eastAsia" w:ascii="宋体" w:hAnsi="宋体" w:eastAsia="宋体"/>
          <w:color w:val="000000"/>
          <w:sz w:val="32"/>
          <w:szCs w:val="32"/>
        </w:rPr>
        <w:t>认真贯彻落实中央八项规定精神和厉行节约要求，严格管控资金去向，办公经费支出有所减少</w:t>
      </w:r>
      <w:r>
        <w:rPr>
          <w:rFonts w:hint="eastAsia" w:ascii="宋体" w:hAnsi="宋体" w:eastAsia="宋体"/>
          <w:color w:val="000000"/>
          <w:sz w:val="32"/>
          <w:szCs w:val="32"/>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b/>
          <w:bCs/>
          <w:color w:val="000000"/>
          <w:sz w:val="32"/>
          <w:szCs w:val="32"/>
        </w:rPr>
        <w:t>十一、一般性支出情况说明</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color w:val="000000"/>
          <w:sz w:val="32"/>
          <w:szCs w:val="32"/>
        </w:rPr>
        <w:t>2022年本部门会议费支出0万元，我单位2022年度无会议费支出；2022年本部门培训费支出2.2万元，用于开展</w:t>
      </w:r>
      <w:r>
        <w:rPr>
          <w:rStyle w:val="12"/>
          <w:rFonts w:hint="eastAsia" w:ascii="宋体" w:hAnsi="宋体" w:eastAsia="宋体"/>
          <w:color w:val="000000"/>
          <w:sz w:val="32"/>
          <w:szCs w:val="32"/>
        </w:rPr>
        <w:t>党员冬春训及党员积极分子培训</w:t>
      </w:r>
      <w:r>
        <w:rPr>
          <w:rFonts w:hint="eastAsia" w:ascii="宋体" w:hAnsi="宋体" w:eastAsia="宋体"/>
          <w:color w:val="000000"/>
          <w:sz w:val="32"/>
          <w:szCs w:val="32"/>
        </w:rPr>
        <w:t>，人数</w:t>
      </w:r>
      <w:r>
        <w:rPr>
          <w:rStyle w:val="12"/>
          <w:rFonts w:hint="eastAsia" w:ascii="宋体" w:hAnsi="宋体" w:eastAsia="宋体"/>
          <w:color w:val="000000"/>
          <w:sz w:val="32"/>
          <w:szCs w:val="32"/>
        </w:rPr>
        <w:t>108</w:t>
      </w:r>
      <w:r>
        <w:rPr>
          <w:rFonts w:hint="eastAsia" w:ascii="宋体" w:hAnsi="宋体" w:eastAsia="宋体"/>
          <w:color w:val="000000"/>
          <w:sz w:val="32"/>
          <w:szCs w:val="32"/>
        </w:rPr>
        <w:t>人，培训内容为</w:t>
      </w:r>
      <w:r>
        <w:rPr>
          <w:rStyle w:val="12"/>
          <w:rFonts w:hint="eastAsia" w:ascii="宋体" w:hAnsi="宋体" w:eastAsia="宋体"/>
          <w:color w:val="000000"/>
          <w:sz w:val="32"/>
          <w:szCs w:val="32"/>
        </w:rPr>
        <w:t>全镇党员冬春训及党员积极分子培训</w:t>
      </w:r>
      <w:r>
        <w:rPr>
          <w:rFonts w:hint="eastAsia" w:ascii="宋体" w:hAnsi="宋体" w:eastAsia="宋体"/>
          <w:color w:val="000000"/>
          <w:sz w:val="32"/>
          <w:szCs w:val="32"/>
        </w:rPr>
        <w:t>。未举办节庆、晚会、论坛、赛事活动等。</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b/>
          <w:bCs/>
          <w:color w:val="000000"/>
          <w:sz w:val="32"/>
          <w:szCs w:val="32"/>
        </w:rPr>
        <w:t>十二、关于政府采购支出说明</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color w:val="000000"/>
          <w:sz w:val="32"/>
          <w:szCs w:val="32"/>
        </w:rPr>
        <w:t>浏阳市社港镇人民政府2022年度政府采购支出总额113.3万元，其中：政府采购货物支出0万元、政府采购工程支出87.5万元、政府采购服务支出25.8万元。授予中小企业合同金额25.8万元，占政府采购支出总额的22.77%，其中：授予小微企业合同金额25.8万元，占政府采购支出总额的22.77%。货物采购授予中小企业合同金额无占货物支出总额百分比（由于货物支出总额为0万元，无法计算占货物支出总额的百分比），工程采购授予中小企业合同金额占工程支出金额的</w:t>
      </w:r>
      <w:r>
        <w:rPr>
          <w:rStyle w:val="12"/>
          <w:rFonts w:hint="eastAsia" w:ascii="宋体" w:hAnsi="宋体" w:eastAsia="宋体"/>
          <w:color w:val="000000"/>
          <w:sz w:val="32"/>
          <w:szCs w:val="32"/>
        </w:rPr>
        <w:t>0</w:t>
      </w:r>
      <w:r>
        <w:rPr>
          <w:rFonts w:hint="eastAsia" w:ascii="宋体" w:hAnsi="宋体" w:eastAsia="宋体"/>
          <w:color w:val="000000"/>
          <w:sz w:val="32"/>
          <w:szCs w:val="32"/>
        </w:rPr>
        <w:t>%，服务采购授予中小企业合同金额占服务支出金额的</w:t>
      </w:r>
      <w:r>
        <w:rPr>
          <w:rStyle w:val="12"/>
          <w:rFonts w:hint="eastAsia" w:ascii="宋体" w:hAnsi="宋体" w:eastAsia="宋体"/>
          <w:color w:val="000000"/>
          <w:sz w:val="32"/>
          <w:szCs w:val="32"/>
        </w:rPr>
        <w:t>100</w:t>
      </w:r>
      <w:r>
        <w:rPr>
          <w:rFonts w:hint="eastAsia" w:ascii="宋体" w:hAnsi="宋体" w:eastAsia="宋体"/>
          <w:color w:val="000000"/>
          <w:sz w:val="32"/>
          <w:szCs w:val="32"/>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b/>
          <w:bCs/>
          <w:color w:val="000000"/>
          <w:sz w:val="32"/>
          <w:szCs w:val="32"/>
        </w:rPr>
        <w:t>十三、关于国有资产占用情况说明</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color w:val="000000"/>
          <w:sz w:val="32"/>
          <w:szCs w:val="32"/>
        </w:rPr>
        <w:t>截至2022年12月31日，浏阳市社港镇人民政府共有车辆0辆（台），其中：副部（省）级及以上领导用车0辆、主要领导干部用车0辆、机要通信用车0辆、应急保障用车0辆、执法执勤用车0辆、特种专业技术用车0辆、其他用车0辆；单价50万元（含）以上通用设备</w:t>
      </w:r>
      <w:r>
        <w:rPr>
          <w:rStyle w:val="12"/>
          <w:rFonts w:hint="eastAsia" w:ascii="宋体" w:hAnsi="宋体" w:eastAsia="宋体"/>
          <w:color w:val="000000"/>
          <w:sz w:val="32"/>
          <w:szCs w:val="32"/>
        </w:rPr>
        <w:t>0</w:t>
      </w:r>
      <w:r>
        <w:rPr>
          <w:rFonts w:hint="eastAsia" w:ascii="宋体" w:hAnsi="宋体" w:eastAsia="宋体"/>
          <w:color w:val="000000"/>
          <w:sz w:val="32"/>
          <w:szCs w:val="32"/>
        </w:rPr>
        <w:t>台（套），单价100万元（含）以上专用设备0台（套）。</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b/>
          <w:bCs/>
          <w:color w:val="000000"/>
          <w:sz w:val="32"/>
          <w:szCs w:val="32"/>
        </w:rPr>
        <w:t>十四、关于2022年度预算绩效情况说明</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b/>
          <w:bCs/>
          <w:color w:val="000000"/>
          <w:sz w:val="32"/>
          <w:szCs w:val="32"/>
        </w:rPr>
        <w:t>（一）部门整体支出绩效情况</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Style w:val="12"/>
          <w:rFonts w:hint="eastAsia" w:ascii="宋体" w:hAnsi="宋体" w:eastAsia="宋体"/>
          <w:color w:val="000000"/>
          <w:sz w:val="32"/>
          <w:szCs w:val="32"/>
        </w:rPr>
        <w:t>为进一步规范财政资金管理，强化绩效和责任意识，切实提高财政资金使用效益，根据《浏阳市财政局关于开展2022年度部门整体支出绩效评价和2023年度绩效监控工作的函》（浏财函〔2023〕22号）要求</w:t>
      </w:r>
      <w:bookmarkStart w:id="0" w:name="_GoBack"/>
      <w:bookmarkEnd w:id="0"/>
      <w:r>
        <w:rPr>
          <w:rStyle w:val="12"/>
          <w:rFonts w:hint="eastAsia" w:ascii="宋体" w:hAnsi="宋体" w:eastAsia="宋体"/>
          <w:color w:val="000000"/>
          <w:sz w:val="32"/>
          <w:szCs w:val="32"/>
        </w:rPr>
        <w:t>，我单位对2022年部门整体支出情况开展了绩效自评，形成了自评报告，自评结果为97分，评价等级为优。</w:t>
      </w:r>
      <w:r>
        <w:rPr>
          <w:rFonts w:hint="eastAsia" w:ascii="宋体" w:hAnsi="宋体" w:eastAsia="宋体"/>
          <w:color w:val="000000"/>
          <w:sz w:val="27"/>
          <w:szCs w:val="27"/>
        </w:rPr>
        <w:t xml:space="preserve"> </w:t>
      </w:r>
    </w:p>
    <w:p>
      <w:pPr>
        <w:pStyle w:val="10"/>
        <w:spacing w:after="2"/>
        <w:ind w:firstLine="641"/>
        <w:rPr>
          <w:rFonts w:hint="eastAsia" w:ascii="宋体" w:hAnsi="宋体" w:eastAsia="宋体"/>
          <w:color w:val="000000"/>
          <w:sz w:val="27"/>
          <w:szCs w:val="27"/>
        </w:rPr>
      </w:pPr>
      <w:r>
        <w:rPr>
          <w:rFonts w:hint="eastAsia" w:ascii="宋体" w:hAnsi="宋体" w:eastAsia="宋体"/>
          <w:b/>
          <w:bCs/>
          <w:color w:val="000000"/>
          <w:sz w:val="32"/>
          <w:szCs w:val="32"/>
        </w:rPr>
        <w:t>（二）存在的问题及原因分析</w:t>
      </w:r>
      <w:r>
        <w:rPr>
          <w:rFonts w:hint="eastAsia" w:ascii="宋体" w:hAnsi="宋体" w:eastAsia="宋体"/>
          <w:color w:val="000000"/>
          <w:sz w:val="27"/>
          <w:szCs w:val="27"/>
        </w:rPr>
        <w:t xml:space="preserve"> </w:t>
      </w:r>
    </w:p>
    <w:p>
      <w:pPr>
        <w:pStyle w:val="13"/>
        <w:spacing w:beforeAutospacing="0" w:afterAutospacing="0"/>
        <w:ind w:firstLine="640" w:firstLineChars="200"/>
        <w:rPr>
          <w:rFonts w:hint="eastAsia"/>
          <w:color w:val="000000"/>
        </w:rPr>
      </w:pPr>
      <w:r>
        <w:rPr>
          <w:rStyle w:val="12"/>
          <w:rFonts w:hint="eastAsia" w:ascii="宋体" w:hAnsi="宋体" w:eastAsia="宋体"/>
          <w:color w:val="000000"/>
          <w:sz w:val="32"/>
          <w:szCs w:val="32"/>
        </w:rPr>
        <w:t>年初预算编制欠严谨，不够科学，年中预算调整较大。建议单位在编制项目预算时，严格按照《预算法》及其实施条例的相关规定，参考上一年的预算执行情况、年初资金结余情况和年度中的项目支出预测情况，科学合理编制预算，尽量将综合项目预算进行细分到具体项目，并注明分配依据及预计付款时段，使编制的预算更加细化精确，便于操作，与部门实际情况相接近。财政部门据此对年初及年中预算金额及指标下达时间进行整体统筹，以避免临时性调整预算过大。</w:t>
      </w:r>
    </w:p>
    <w:p>
      <w:pPr>
        <w:pStyle w:val="13"/>
        <w:spacing w:beforeAutospacing="0" w:afterAutospacing="0"/>
        <w:rPr>
          <w:color w:val="000000"/>
        </w:rPr>
      </w:pPr>
    </w:p>
    <w:p>
      <w:pPr>
        <w:spacing w:before="100" w:after="100"/>
        <w:jc w:val="center"/>
        <w:rPr>
          <w:color w:val="000000"/>
          <w:szCs w:val="21"/>
        </w:rPr>
      </w:pPr>
      <w:r>
        <w:rPr>
          <w:rFonts w:hint="eastAsia" w:ascii="宋体" w:hAnsi="宋体" w:eastAsia="宋体"/>
          <w:b/>
          <w:bCs/>
          <w:color w:val="000000"/>
          <w:sz w:val="36"/>
          <w:szCs w:val="36"/>
        </w:rPr>
        <w:t>第四部分 名词解释</w:t>
      </w:r>
      <w:r>
        <w:rPr>
          <w:rFonts w:hint="eastAsia"/>
          <w:color w:val="000000"/>
          <w:szCs w:val="21"/>
        </w:rPr>
        <w:t xml:space="preserve"> </w:t>
      </w:r>
    </w:p>
    <w:p>
      <w:pPr>
        <w:spacing w:after="2" w:line="336" w:lineRule="atLeast"/>
        <w:ind w:firstLine="643"/>
        <w:rPr>
          <w:rFonts w:hint="eastAsia" w:ascii="Calibri" w:hAnsi="Calibri"/>
          <w:color w:val="000000"/>
          <w:szCs w:val="21"/>
        </w:rPr>
      </w:pPr>
      <w:r>
        <w:rPr>
          <w:rFonts w:hint="eastAsia" w:ascii="宋体" w:hAnsi="宋体" w:eastAsia="宋体"/>
          <w:b/>
          <w:bCs/>
          <w:color w:val="000000"/>
          <w:sz w:val="32"/>
          <w:szCs w:val="32"/>
        </w:rPr>
        <w:t>财政拨款收入</w:t>
      </w:r>
      <w:r>
        <w:rPr>
          <w:rFonts w:hint="eastAsia" w:ascii="宋体" w:hAnsi="宋体" w:eastAsia="宋体"/>
          <w:color w:val="000000"/>
          <w:sz w:val="32"/>
          <w:szCs w:val="32"/>
        </w:rPr>
        <w:t>：指财政当年拨付的资金。包括一般公共预算财政拨款和政府性基金财政拨款。</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上级补助收入</w:t>
      </w:r>
      <w:r>
        <w:rPr>
          <w:rFonts w:hint="eastAsia" w:ascii="宋体" w:hAnsi="宋体" w:eastAsia="宋体"/>
          <w:color w:val="000000"/>
          <w:sz w:val="32"/>
          <w:szCs w:val="32"/>
        </w:rPr>
        <w:t>：指事业单位从主管部门和上级单位取得的非财政补助收入。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事业收入：</w:t>
      </w:r>
      <w:r>
        <w:rPr>
          <w:rFonts w:hint="eastAsia" w:ascii="宋体" w:hAnsi="宋体" w:eastAsia="宋体"/>
          <w:color w:val="000000"/>
          <w:sz w:val="32"/>
          <w:szCs w:val="32"/>
        </w:rPr>
        <w:t>指事业单位开展专业业务活动及辅助活动所取得的收入。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经营收入：</w:t>
      </w:r>
      <w:r>
        <w:rPr>
          <w:rFonts w:hint="eastAsia" w:ascii="宋体" w:hAnsi="宋体" w:eastAsia="宋体"/>
          <w:color w:val="000000"/>
          <w:sz w:val="32"/>
          <w:szCs w:val="32"/>
        </w:rPr>
        <w:t>指事业单位在专业业务活动及其辅助活动之外开展非独立核算经营活动取得的收入。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附属单位上缴收入</w:t>
      </w:r>
      <w:r>
        <w:rPr>
          <w:rFonts w:hint="eastAsia" w:ascii="宋体" w:hAnsi="宋体" w:eastAsia="宋体"/>
          <w:color w:val="000000"/>
          <w:sz w:val="32"/>
          <w:szCs w:val="32"/>
        </w:rPr>
        <w:t>：指事业单位附属独立核算单位按照有关规定上缴的收入。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其他收入</w:t>
      </w:r>
      <w:r>
        <w:rPr>
          <w:rFonts w:hint="eastAsia" w:ascii="宋体" w:hAnsi="宋体" w:eastAsia="宋体"/>
          <w:color w:val="000000"/>
          <w:sz w:val="32"/>
          <w:szCs w:val="32"/>
        </w:rPr>
        <w:t>：指除上述“财政拨款收入”、“事业收入”、“经营收入”等以外的收入。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用事业基金弥补收支差额</w:t>
      </w:r>
      <w:r>
        <w:rPr>
          <w:rFonts w:hint="eastAsia" w:ascii="宋体" w:hAnsi="宋体" w:eastAsia="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年初结转和结余</w:t>
      </w:r>
      <w:r>
        <w:rPr>
          <w:rFonts w:hint="eastAsia" w:ascii="宋体" w:hAnsi="宋体" w:eastAsia="宋体"/>
          <w:color w:val="000000"/>
          <w:sz w:val="32"/>
          <w:szCs w:val="32"/>
        </w:rPr>
        <w:t>：指以前年度尚未完成、结转到本年按有关规定继续使用的资金。</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结余分配</w:t>
      </w:r>
      <w:r>
        <w:rPr>
          <w:rFonts w:hint="eastAsia" w:ascii="宋体" w:hAnsi="宋体" w:eastAsia="宋体"/>
          <w:color w:val="000000"/>
          <w:sz w:val="32"/>
          <w:szCs w:val="32"/>
        </w:rPr>
        <w:t>：指事业事位按规定从非财政补助结余中分配的事业基金和职工福利基金等。</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年末结转和结余</w:t>
      </w:r>
      <w:r>
        <w:rPr>
          <w:rFonts w:hint="eastAsia" w:ascii="宋体" w:hAnsi="宋体" w:eastAsia="宋体"/>
          <w:color w:val="000000"/>
          <w:sz w:val="32"/>
          <w:szCs w:val="32"/>
        </w:rPr>
        <w:t>：指本年度或以前年度预算安排、因客观条件发生变化无法按原计划实施，需要延迟到以后年度按有关规定继续使用的资金。</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基本支出</w:t>
      </w:r>
      <w:r>
        <w:rPr>
          <w:rFonts w:hint="eastAsia" w:ascii="宋体" w:hAnsi="宋体" w:eastAsia="宋体"/>
          <w:color w:val="000000"/>
          <w:sz w:val="32"/>
          <w:szCs w:val="32"/>
        </w:rPr>
        <w:t>：指为保障机构正常运转、完成日常工作任务而发生的人员支出和公用支出。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项目支出</w:t>
      </w:r>
      <w:r>
        <w:rPr>
          <w:rFonts w:hint="eastAsia" w:ascii="宋体" w:hAnsi="宋体" w:eastAsia="宋体"/>
          <w:color w:val="000000"/>
          <w:sz w:val="32"/>
          <w:szCs w:val="32"/>
        </w:rPr>
        <w:t>：指在基本支出之外为完成特定行政任务和事业发展目标所发生的支出。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经营支出</w:t>
      </w:r>
      <w:r>
        <w:rPr>
          <w:rFonts w:hint="eastAsia" w:ascii="宋体" w:hAnsi="宋体" w:eastAsia="宋体"/>
          <w:color w:val="000000"/>
          <w:sz w:val="32"/>
          <w:szCs w:val="32"/>
        </w:rPr>
        <w:t>：指事业单位在专业业务活动及其辅助活动之外开展非独立核算经营活动所发生的支出。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“三公”经费</w:t>
      </w:r>
      <w:r>
        <w:rPr>
          <w:rFonts w:hint="eastAsia" w:ascii="宋体" w:hAnsi="宋体" w:eastAsia="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机关运行经费</w:t>
      </w:r>
      <w:r>
        <w:rPr>
          <w:rFonts w:hint="eastAsia" w:ascii="宋体" w:hAnsi="宋体" w:eastAsia="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ascii="Calibri" w:hAnsi="Calibri"/>
          <w:color w:val="000000"/>
          <w:szCs w:val="21"/>
        </w:rPr>
        <w:t xml:space="preserve"> </w:t>
      </w:r>
    </w:p>
    <w:p>
      <w:pPr>
        <w:spacing w:after="2" w:line="336" w:lineRule="atLeast"/>
        <w:ind w:firstLine="643"/>
        <w:rPr>
          <w:rFonts w:ascii="Calibri" w:hAnsi="Calibri"/>
          <w:color w:val="000000"/>
          <w:szCs w:val="21"/>
        </w:rPr>
      </w:pPr>
    </w:p>
    <w:p>
      <w:pPr>
        <w:spacing w:after="2" w:line="336" w:lineRule="atLeast"/>
        <w:ind w:firstLine="643"/>
        <w:rPr>
          <w:rFonts w:ascii="Calibri" w:hAnsi="Calibri"/>
          <w:color w:val="000000"/>
          <w:szCs w:val="21"/>
        </w:rPr>
      </w:pPr>
    </w:p>
    <w:p>
      <w:pPr>
        <w:spacing w:after="2" w:line="336" w:lineRule="atLeast"/>
        <w:ind w:firstLine="643"/>
        <w:rPr>
          <w:rFonts w:ascii="Calibri" w:hAnsi="Calibri"/>
          <w:color w:val="000000"/>
          <w:szCs w:val="21"/>
        </w:rPr>
      </w:pPr>
    </w:p>
    <w:p>
      <w:pPr>
        <w:spacing w:after="2" w:line="336" w:lineRule="atLeast"/>
        <w:ind w:firstLine="643"/>
        <w:rPr>
          <w:rFonts w:ascii="Calibri" w:hAnsi="Calibri"/>
          <w:color w:val="000000"/>
          <w:szCs w:val="21"/>
        </w:rPr>
      </w:pPr>
    </w:p>
    <w:p>
      <w:pPr>
        <w:spacing w:after="2" w:line="336" w:lineRule="atLeast"/>
        <w:ind w:firstLine="643"/>
        <w:rPr>
          <w:rFonts w:ascii="Calibri" w:hAnsi="Calibri"/>
          <w:color w:val="000000"/>
          <w:szCs w:val="21"/>
        </w:rPr>
      </w:pPr>
    </w:p>
    <w:p>
      <w:pPr>
        <w:spacing w:before="100" w:after="100"/>
        <w:jc w:val="center"/>
        <w:rPr>
          <w:color w:val="000000"/>
          <w:szCs w:val="21"/>
        </w:rPr>
      </w:pPr>
      <w:r>
        <w:rPr>
          <w:rFonts w:hint="eastAsia" w:ascii="宋体" w:hAnsi="宋体" w:eastAsia="宋体"/>
          <w:b/>
          <w:bCs/>
          <w:color w:val="000000"/>
          <w:sz w:val="36"/>
          <w:szCs w:val="36"/>
        </w:rPr>
        <w:t>第五部分 附件</w:t>
      </w:r>
      <w:r>
        <w:rPr>
          <w:rFonts w:hint="eastAsia"/>
          <w:color w:val="000000"/>
          <w:szCs w:val="21"/>
        </w:rPr>
        <w:t xml:space="preserve"> </w:t>
      </w:r>
    </w:p>
    <w:p>
      <w:pPr>
        <w:spacing w:before="100" w:after="100"/>
        <w:jc w:val="center"/>
        <w:rPr>
          <w:rFonts w:hint="eastAsia"/>
          <w:color w:val="000000"/>
          <w:szCs w:val="21"/>
        </w:rPr>
      </w:pPr>
      <w:r>
        <w:fldChar w:fldCharType="begin"/>
      </w:r>
      <w:r>
        <w:instrText xml:space="preserve"> HYPERLINK "http://10.105.39.121/portal/home/downloadAttachment?attachGUID=04e26643ac1442119d6c6df589b3b212" \t "_blank" </w:instrText>
      </w:r>
      <w:r>
        <w:fldChar w:fldCharType="separate"/>
      </w:r>
      <w:r>
        <w:rPr>
          <w:rStyle w:val="9"/>
          <w:rFonts w:hint="eastAsia" w:ascii="宋体" w:hAnsi="宋体" w:eastAsia="宋体"/>
          <w:sz w:val="32"/>
          <w:szCs w:val="32"/>
        </w:rPr>
        <w:t>2022年部门整体支出绩效自评报告 .doc</w:t>
      </w:r>
      <w:r>
        <w:rPr>
          <w:rStyle w:val="9"/>
          <w:rFonts w:hint="eastAsia" w:ascii="宋体" w:hAnsi="宋体" w:eastAsia="宋体"/>
          <w:sz w:val="32"/>
          <w:szCs w:val="32"/>
        </w:rPr>
        <w:fldChar w:fldCharType="end"/>
      </w:r>
      <w:r>
        <w:rPr>
          <w:rFonts w:hint="eastAsia" w:ascii="宋体" w:hAnsi="宋体" w:eastAsia="宋体"/>
          <w:color w:val="000000"/>
          <w:sz w:val="32"/>
          <w:szCs w:val="32"/>
        </w:rPr>
        <w:br w:type="textWrapping"/>
      </w:r>
    </w:p>
    <w:p>
      <w:pPr>
        <w:pStyle w:val="4"/>
        <w:spacing w:before="0" w:beforeAutospacing="0" w:after="2" w:afterAutospacing="0"/>
        <w:rPr>
          <w:rFonts w:hint="eastAsia"/>
          <w:color w:val="000000"/>
        </w:rPr>
      </w:pPr>
    </w:p>
    <w:p>
      <w:pPr>
        <w:pStyle w:val="4"/>
        <w:spacing w:before="0" w:beforeAutospacing="0" w:after="2" w:afterAutospacing="0"/>
        <w:rPr>
          <w:color w:val="000000"/>
        </w:rPr>
      </w:pPr>
    </w:p>
    <w:sectPr>
      <w:pgSz w:w="11906" w:h="16838" w:orient="landscape"/>
      <w:pgMar w:top="1440" w:right="1080" w:bottom="1440" w:left="1080" w:header="851" w:footer="992" w:gutter="0"/>
      <w:cols w:space="72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NWEwYzM2ODEzMTdjNTYyYTMzZTI1OTJhMjRjYTAzODIifQ=="/>
  </w:docVars>
  <w:rsids>
    <w:rsidRoot w:val="00B83F50"/>
    <w:rsid w:val="004500FB"/>
    <w:rsid w:val="00B83F50"/>
    <w:rsid w:val="0145568B"/>
    <w:rsid w:val="58C47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uiPriority w:val="99"/>
    <w:pPr>
      <w:tabs>
        <w:tab w:val="center" w:pos="4153"/>
        <w:tab w:val="right" w:pos="8306"/>
      </w:tabs>
      <w:snapToGrid w:val="0"/>
      <w:jc w:val="left"/>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uiPriority w:val="99"/>
    <w:rPr>
      <w:color w:val="800080"/>
      <w:u w:val="single"/>
    </w:rPr>
  </w:style>
  <w:style w:type="character" w:styleId="9">
    <w:name w:val="Hyperlink"/>
    <w:basedOn w:val="6"/>
    <w:semiHidden/>
    <w:unhideWhenUsed/>
    <w:uiPriority w:val="99"/>
    <w:rPr>
      <w:color w:val="0000FF"/>
      <w:u w:val="single"/>
    </w:rPr>
  </w:style>
  <w:style w:type="paragraph" w:customStyle="1" w:styleId="10">
    <w:name w:val="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17"/>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peoplefilling"/>
    <w:basedOn w:val="6"/>
    <w:uiPriority w:val="0"/>
  </w:style>
  <w:style w:type="paragraph" w:customStyle="1" w:styleId="13">
    <w:name w:val="defaul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页眉 Char"/>
    <w:basedOn w:val="6"/>
    <w:link w:val="3"/>
    <w:semiHidden/>
    <w:uiPriority w:val="99"/>
    <w:rPr>
      <w:rFonts w:asciiTheme="minorHAnsi" w:hAnsiTheme="minorHAnsi" w:cstheme="minorBidi"/>
      <w:kern w:val="2"/>
      <w:sz w:val="18"/>
      <w:szCs w:val="18"/>
    </w:rPr>
  </w:style>
  <w:style w:type="character" w:customStyle="1" w:styleId="15">
    <w:name w:val="页脚 Char"/>
    <w:basedOn w:val="6"/>
    <w:link w:val="2"/>
    <w:semiHidden/>
    <w:qFormat/>
    <w:uiPriority w:val="99"/>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8848</Words>
  <Characters>50435</Characters>
  <Lines>420</Lines>
  <Paragraphs>118</Paragraphs>
  <TotalTime>0</TotalTime>
  <ScaleCrop>false</ScaleCrop>
  <LinksUpToDate>false</LinksUpToDate>
  <CharactersWithSpaces>59165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2023-10-31T03:51:00Z</dcterms:created>
  <dc:creator>xtzj</dc:creator>
  <cp:lastModifiedBy>WPS_1620625909</cp:lastModifiedBy>
  <dcterms:modified xsi:type="dcterms:W3CDTF">2023-11-01T05:31:17Z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249E132955DF4EBFAAFF5E24E6C4CC5D_12</vt:lpwstr>
  </property>
</Properties>
</file>