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沿溪镇人民政府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2022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年重大动物疫病强制免疫公告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2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0"/>
          <w:szCs w:val="30"/>
        </w:rPr>
        <w:t>一、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eastAsia="zh-CN"/>
        </w:rPr>
        <w:t>根据国家有关规定，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</w:rPr>
        <w:t>对牲畜口蹄疫、高致病性禽流感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t>和小反刍兽疫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</w:rPr>
        <w:t>实行免费强制免疫，推行规模养殖场（大户）程序化免疫、散养户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t>秋冬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</w:rPr>
        <w:t>秋季集中免疫和平时申报免疫相结合的动物免疫制度。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2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0"/>
          <w:szCs w:val="30"/>
        </w:rPr>
        <w:t>二、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</w:rPr>
        <w:t>存栏（笼）猪（羊）100头、牛10头、禽500羽及以上的养殖场（大户）应当加强动物疫病监测，科学制定免疫程序，组织本场防疫人员进行免疫接种。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散养户在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  <w:t>秋冬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秋季集中免疫期外一律通过公示的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  <w:t>村级防疫员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电话申报免疫。同时，各养殖场（户）要自行做好猪瘟、高致病性猪蓝耳病等常规疫病的免疫接种。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2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0"/>
          <w:szCs w:val="30"/>
          <w:lang w:eastAsia="zh-CN"/>
        </w:rPr>
        <w:t>三、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eastAsia="zh-CN"/>
        </w:rPr>
        <w:t>养殖粪污处理严格落实“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</w:rPr>
        <w:t>一封闭、两禁止、三实施”技术措施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eastAsia="zh-CN"/>
        </w:rPr>
        <w:t>，严禁未经处理养殖污水排入河渠。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</w:rPr>
        <w:t>1．封闭排污口；2．禁止用水冲洗栏舍；3．禁止粪污未经达标处理排放；4．实施粪污干湿分离，将干粪收集集中堆放、发酵处理；5．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t>建设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</w:rPr>
        <w:t>粪污发酵产沼气设施，充分利用、减少排放；6．实施多级沉淀，使养殖污水处理达标后排放。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2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0"/>
          <w:szCs w:val="30"/>
          <w:lang w:eastAsia="zh-CN"/>
        </w:rPr>
        <w:t>四、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0"/>
          <w:szCs w:val="30"/>
        </w:rPr>
        <w:t>养殖业安全生产常识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</w:rPr>
        <w:t>1、沼气池修建及维护等必须由专业人士负责操作。2、严禁私自下沼气池，严禁在沼气池及管道附近使用明火，严禁在沼气设施旁燃放烟花爆竹。3、不使用沼气时室内管道上阀门和灶具开关应始终处于关闭状态，防止漏气。 4、如果闻到臭鸡蛋味，表明有沼气泄漏，必须关闭总开关，仔细检查室内管件，排除隐患。5、沼气池、污水处理池、无害化处理池等旁必须有明显警示标志及防护装置。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2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0"/>
          <w:szCs w:val="30"/>
          <w:lang w:eastAsia="zh-CN"/>
        </w:rPr>
        <w:t>五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0"/>
          <w:szCs w:val="30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</w:rPr>
        <w:t>出栏畜禽应当提前3天向当地检疫申报点申报检疫，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0"/>
          <w:szCs w:val="30"/>
        </w:rPr>
        <w:t>没有按规定进行免疫及加挂耳标的畜禽，一律不出具检疫证明</w:t>
      </w:r>
      <w:r>
        <w:rPr>
          <w:rFonts w:hint="default" w:ascii="Times New Roman" w:hAnsi="Times New Roman" w:eastAsia="仿宋_GB2312" w:cs="Times New Roman"/>
          <w:b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0"/>
          <w:szCs w:val="30"/>
          <w:lang w:eastAsia="zh-CN"/>
        </w:rPr>
        <w:t>六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0"/>
          <w:szCs w:val="30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对病死动物及其产品严格遵守“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0"/>
          <w:szCs w:val="30"/>
        </w:rPr>
        <w:t>四不准一处理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”，即</w:t>
      </w:r>
      <w:r>
        <w:rPr>
          <w:rFonts w:hint="default" w:ascii="Times New Roman" w:hAnsi="Times New Roman" w:eastAsia="仿宋_GB2312" w:cs="Times New Roman"/>
          <w:b/>
          <w:color w:val="auto"/>
          <w:sz w:val="30"/>
          <w:szCs w:val="30"/>
        </w:rPr>
        <w:t>不准宰杀、不准食用、不准出售、不准转运，一律按规定进行无害化处理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  <w:t>严禁乱丢乱弃动物尸体，严禁不按规定处理动物尸体，严禁经营、运输、销售、加工病死动物。从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2018年起由浏阳市动物无害化处理中心对病死动物实行集中无害化处理。现将浏阳市动物无害化处理中心受理电话、举报电话公布如下：受理电话：0731-83600112,0731-83600113，0731-83600115，0731-83600116。举报电话0731-83671271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0"/>
          <w:szCs w:val="30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0"/>
          <w:szCs w:val="30"/>
        </w:rPr>
        <w:t>非洲猪瘟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0"/>
          <w:szCs w:val="30"/>
          <w:lang w:eastAsia="zh-CN"/>
        </w:rPr>
        <w:t>不是人畜共患病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0"/>
          <w:szCs w:val="30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0"/>
          <w:szCs w:val="30"/>
          <w:lang w:eastAsia="zh-CN"/>
        </w:rPr>
        <w:t>对人没有危害。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  <w:t>防控非洲猪瘟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重点是做好猪群饲养管理，做到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0"/>
          <w:szCs w:val="30"/>
        </w:rPr>
        <w:t>“五要四不要”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0"/>
          <w:szCs w:val="30"/>
        </w:rPr>
        <w:t>“五要”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：一要减少场外人员和车辆进入猪场；二要对人员和车辆入场前彻底消毒；三要对猪群实施全进全出饲养管理；四要对新引进生猪实施隔离；五要按规定申报检疫。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0"/>
          <w:szCs w:val="30"/>
        </w:rPr>
        <w:t>“四不要”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：不要使用餐馆、食堂的泔水或餐余垃圾喂猪；不要散放饲养，避免家猪与野猪接触；不要从疫区调运生猪；不要对出现的可疑病例隐瞒不报。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0"/>
          <w:szCs w:val="30"/>
          <w:lang w:eastAsia="zh-CN"/>
        </w:rPr>
        <w:t>八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0"/>
          <w:szCs w:val="30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</w:rPr>
        <w:t>凡不按规定免疫，造成动物疫病发生的，其损失由养殖户承担，造成动物疫情流行的，依法追究责任。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0"/>
          <w:szCs w:val="30"/>
          <w:lang w:eastAsia="zh-CN"/>
        </w:rPr>
        <w:t>九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0"/>
          <w:szCs w:val="30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防疫员责任区及联系电话：</w:t>
      </w:r>
    </w:p>
    <w:tbl>
      <w:tblPr>
        <w:tblStyle w:val="4"/>
        <w:tblW w:w="97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892"/>
        <w:gridCol w:w="1725"/>
        <w:gridCol w:w="1890"/>
        <w:gridCol w:w="3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6"/>
                <w:szCs w:val="26"/>
                <w:vertAlign w:val="baseline"/>
                <w:lang w:eastAsia="zh-CN"/>
              </w:rPr>
              <w:t>防疫员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6"/>
                <w:szCs w:val="26"/>
                <w:vertAlign w:val="baseline"/>
                <w:lang w:eastAsia="zh-CN"/>
              </w:rPr>
              <w:t>联系电话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6"/>
                <w:szCs w:val="26"/>
                <w:vertAlign w:val="baseline"/>
                <w:lang w:eastAsia="zh-CN"/>
              </w:rPr>
              <w:t>技术责任人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6"/>
                <w:szCs w:val="26"/>
                <w:vertAlign w:val="baseline"/>
                <w:lang w:eastAsia="zh-CN"/>
              </w:rPr>
              <w:t>联系电话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6"/>
                <w:szCs w:val="26"/>
                <w:vertAlign w:val="baseline"/>
                <w:lang w:eastAsia="zh-CN"/>
              </w:rPr>
              <w:t>防疫责任区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1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钟星文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13607485649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陈亮国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13387314788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eastAsia="zh-CN"/>
              </w:rPr>
              <w:t>金桔村、花园村、大光圆村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1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赖瓜生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15874239786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王汉华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13507493198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沿溪桥村、沙龙村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1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钟笃韬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13874977663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杜林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13637491815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eastAsia="zh-CN"/>
              </w:rPr>
              <w:t>建设村、礼花村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3MDkxOTY4Njk4NTMxZTVlMGJiNWNlYjZjYTYyMmMifQ=="/>
  </w:docVars>
  <w:rsids>
    <w:rsidRoot w:val="112B7967"/>
    <w:rsid w:val="112B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2022-11-07T07:02:00Z</dcterms:created>
  <dc:creator>路在雨中</dc:creator>
  <cp:lastModifiedBy>路在雨中</cp:lastModifiedBy>
  <dcterms:modified xsi:type="dcterms:W3CDTF">2022-11-07T07:02:46Z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77003DDAEAD044FF9C5D07C946A2955C</vt:lpwstr>
  </property>
</Properties>
</file>