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sz w:val="44"/>
          <w:szCs w:val="44"/>
        </w:rPr>
      </w:pPr>
      <w:r>
        <w:rPr>
          <w:rFonts w:ascii="方正小标宋简体" w:hAnsi="仿宋" w:eastAsia="方正小标宋简体"/>
          <w:sz w:val="44"/>
          <w:szCs w:val="44"/>
        </w:rPr>
        <w:t>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rPr>
        <w:t>年</w:t>
      </w:r>
      <w:r>
        <w:rPr>
          <w:rFonts w:hint="eastAsia" w:ascii="方正小标宋简体" w:hAnsi="仿宋" w:eastAsia="方正小标宋简体"/>
          <w:sz w:val="44"/>
          <w:szCs w:val="44"/>
          <w:lang w:eastAsia="zh-CN"/>
        </w:rPr>
        <w:t>一</w:t>
      </w:r>
      <w:r>
        <w:rPr>
          <w:rFonts w:hint="eastAsia" w:ascii="方正小标宋简体" w:hAnsi="仿宋" w:eastAsia="方正小标宋简体"/>
          <w:sz w:val="44"/>
          <w:szCs w:val="44"/>
        </w:rPr>
        <w:t>季度安全管控台账</w:t>
      </w:r>
    </w:p>
    <w:p>
      <w:pPr>
        <w:spacing w:line="20" w:lineRule="exact"/>
      </w:pPr>
    </w:p>
    <w:tbl>
      <w:tblPr>
        <w:tblStyle w:val="5"/>
        <w:tblW w:w="15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
        <w:gridCol w:w="1622"/>
        <w:gridCol w:w="666"/>
        <w:gridCol w:w="5371"/>
        <w:gridCol w:w="1016"/>
        <w:gridCol w:w="706"/>
        <w:gridCol w:w="4697"/>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52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序号</w:t>
            </w:r>
          </w:p>
        </w:tc>
        <w:tc>
          <w:tcPr>
            <w:tcW w:w="162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企业名称</w:t>
            </w:r>
          </w:p>
        </w:tc>
        <w:tc>
          <w:tcPr>
            <w:tcW w:w="666"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检查</w:t>
            </w:r>
          </w:p>
          <w:p>
            <w:pPr>
              <w:spacing w:line="260" w:lineRule="exact"/>
              <w:jc w:val="center"/>
              <w:rPr>
                <w:rFonts w:ascii="黑体" w:hAnsi="黑体" w:eastAsia="黑体" w:cs="黑体"/>
                <w:sz w:val="20"/>
                <w:szCs w:val="20"/>
              </w:rPr>
            </w:pPr>
            <w:r>
              <w:rPr>
                <w:rFonts w:hint="eastAsia" w:ascii="黑体" w:hAnsi="黑体" w:eastAsia="黑体" w:cs="黑体"/>
                <w:sz w:val="20"/>
                <w:szCs w:val="20"/>
              </w:rPr>
              <w:t>时间</w:t>
            </w:r>
          </w:p>
        </w:tc>
        <w:tc>
          <w:tcPr>
            <w:tcW w:w="537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发现问题</w:t>
            </w:r>
          </w:p>
        </w:tc>
        <w:tc>
          <w:tcPr>
            <w:tcW w:w="1016"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限期</w:t>
            </w:r>
          </w:p>
          <w:p>
            <w:pPr>
              <w:spacing w:line="260" w:lineRule="exact"/>
              <w:jc w:val="center"/>
              <w:rPr>
                <w:rFonts w:ascii="黑体" w:hAnsi="黑体" w:eastAsia="黑体" w:cs="黑体"/>
                <w:sz w:val="20"/>
                <w:szCs w:val="20"/>
              </w:rPr>
            </w:pPr>
            <w:r>
              <w:rPr>
                <w:rFonts w:hint="eastAsia" w:ascii="黑体" w:hAnsi="黑体" w:eastAsia="黑体" w:cs="黑体"/>
                <w:sz w:val="20"/>
                <w:szCs w:val="20"/>
              </w:rPr>
              <w:t>时限</w:t>
            </w:r>
          </w:p>
        </w:tc>
        <w:tc>
          <w:tcPr>
            <w:tcW w:w="706"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复查</w:t>
            </w:r>
          </w:p>
          <w:p>
            <w:pPr>
              <w:spacing w:line="260" w:lineRule="exact"/>
              <w:jc w:val="center"/>
              <w:rPr>
                <w:rFonts w:ascii="黑体" w:hAnsi="黑体" w:eastAsia="黑体" w:cs="黑体"/>
                <w:sz w:val="20"/>
                <w:szCs w:val="20"/>
              </w:rPr>
            </w:pPr>
            <w:r>
              <w:rPr>
                <w:rFonts w:hint="eastAsia" w:ascii="黑体" w:hAnsi="黑体" w:eastAsia="黑体" w:cs="黑体"/>
                <w:sz w:val="20"/>
                <w:szCs w:val="20"/>
              </w:rPr>
              <w:t>时间</w:t>
            </w:r>
          </w:p>
        </w:tc>
        <w:tc>
          <w:tcPr>
            <w:tcW w:w="4697" w:type="dxa"/>
            <w:vAlign w:val="center"/>
          </w:tcPr>
          <w:p>
            <w:pPr>
              <w:spacing w:line="220" w:lineRule="exact"/>
              <w:jc w:val="center"/>
              <w:rPr>
                <w:rFonts w:ascii="黑体" w:hAnsi="黑体" w:eastAsia="黑体" w:cs="黑体"/>
                <w:sz w:val="20"/>
                <w:szCs w:val="20"/>
              </w:rPr>
            </w:pPr>
            <w:r>
              <w:rPr>
                <w:rFonts w:hint="eastAsia" w:ascii="黑体" w:hAnsi="黑体" w:eastAsia="黑体" w:cs="黑体"/>
                <w:sz w:val="20"/>
                <w:szCs w:val="20"/>
              </w:rPr>
              <w:t>复查情况</w:t>
            </w:r>
          </w:p>
        </w:tc>
        <w:tc>
          <w:tcPr>
            <w:tcW w:w="1125"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527" w:type="dxa"/>
            <w:vAlign w:val="center"/>
          </w:tcPr>
          <w:p>
            <w:pPr>
              <w:pStyle w:val="2"/>
              <w:rPr>
                <w:rFonts w:hint="eastAsia"/>
                <w:lang w:val="en-US" w:eastAsia="zh-CN"/>
              </w:rPr>
            </w:pPr>
          </w:p>
          <w:p>
            <w:pPr>
              <w:pStyle w:val="2"/>
              <w:rPr>
                <w:rFonts w:hint="default"/>
                <w:lang w:val="en-US" w:eastAsia="zh-CN"/>
              </w:rPr>
            </w:pPr>
            <w:r>
              <w:rPr>
                <w:rFonts w:hint="eastAsia"/>
                <w:lang w:val="en-US" w:eastAsia="zh-CN"/>
              </w:rPr>
              <w:t>1</w:t>
            </w:r>
          </w:p>
        </w:tc>
        <w:tc>
          <w:tcPr>
            <w:tcW w:w="1622" w:type="dxa"/>
            <w:vAlign w:val="center"/>
          </w:tcPr>
          <w:p>
            <w:pPr>
              <w:spacing w:line="300" w:lineRule="exact"/>
              <w:jc w:val="center"/>
              <w:rPr>
                <w:rFonts w:hint="eastAsia"/>
                <w:lang w:eastAsia="zh-CN"/>
              </w:rPr>
            </w:pPr>
            <w:r>
              <w:rPr>
                <w:rFonts w:hint="eastAsia"/>
                <w:lang w:eastAsia="zh-CN"/>
              </w:rPr>
              <w:t>湖南恒晟磷化工有限公司（浏阳磷矿露天采场）</w:t>
            </w:r>
          </w:p>
        </w:tc>
        <w:tc>
          <w:tcPr>
            <w:tcW w:w="666" w:type="dxa"/>
            <w:vAlign w:val="center"/>
          </w:tcPr>
          <w:p>
            <w:pPr>
              <w:spacing w:line="300" w:lineRule="exact"/>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1.10</w:t>
            </w:r>
          </w:p>
        </w:tc>
        <w:tc>
          <w:tcPr>
            <w:tcW w:w="5371" w:type="dxa"/>
            <w:vAlign w:val="center"/>
          </w:tcPr>
          <w:p>
            <w:pPr>
              <w:pStyle w:val="2"/>
              <w:numPr>
                <w:ilvl w:val="0"/>
                <w:numId w:val="0"/>
              </w:numPr>
              <w:ind w:left="0" w:leftChars="0" w:firstLine="0" w:firstLineChars="0"/>
              <w:rPr>
                <w:rFonts w:hint="eastAsia"/>
              </w:rPr>
            </w:pPr>
            <w:r>
              <w:rPr>
                <w:rFonts w:hint="eastAsia"/>
              </w:rPr>
              <w:t>该单位采矿许可证有效期为2016年10月31日至2021年10月31日，安全生产许可证有效期为2021年1月7日至2024年1月6日；该单位自采矿许可证到期后已停止采矿作业，现场检查时未发现开采施工。</w:t>
            </w:r>
          </w:p>
        </w:tc>
        <w:tc>
          <w:tcPr>
            <w:tcW w:w="1016" w:type="dxa"/>
            <w:vAlign w:val="center"/>
          </w:tcPr>
          <w:p>
            <w:pPr>
              <w:spacing w:line="300" w:lineRule="exact"/>
              <w:jc w:val="center"/>
              <w:rPr>
                <w:rFonts w:hint="default" w:ascii="Times New Roman" w:hAnsi="Times New Roman" w:eastAsia="仿宋_GB2312" w:cs="Times New Roman"/>
                <w:kern w:val="2"/>
                <w:sz w:val="20"/>
                <w:szCs w:val="20"/>
                <w:lang w:val="en-US" w:eastAsia="zh-CN" w:bidi="ar-SA"/>
              </w:rPr>
            </w:pPr>
          </w:p>
        </w:tc>
        <w:tc>
          <w:tcPr>
            <w:tcW w:w="706" w:type="dxa"/>
            <w:vAlign w:val="center"/>
          </w:tcPr>
          <w:p>
            <w:pPr>
              <w:spacing w:line="300" w:lineRule="exact"/>
              <w:jc w:val="center"/>
              <w:rPr>
                <w:rFonts w:hint="default" w:ascii="Times New Roman" w:hAnsi="Times New Roman" w:eastAsia="仿宋_GB2312" w:cs="Times New Roman"/>
                <w:kern w:val="2"/>
                <w:sz w:val="20"/>
                <w:szCs w:val="20"/>
                <w:lang w:val="en-US" w:eastAsia="zh-CN" w:bidi="ar-SA"/>
              </w:rPr>
            </w:pPr>
          </w:p>
        </w:tc>
        <w:tc>
          <w:tcPr>
            <w:tcW w:w="4697" w:type="dxa"/>
            <w:vAlign w:val="center"/>
          </w:tcPr>
          <w:p>
            <w:pPr>
              <w:spacing w:line="300" w:lineRule="exact"/>
              <w:rPr>
                <w:rFonts w:hint="eastAsia" w:ascii="Calibri" w:hAnsi="Calibri" w:eastAsia="宋体" w:cs="Times New Roman"/>
                <w:kern w:val="2"/>
                <w:sz w:val="21"/>
                <w:szCs w:val="22"/>
                <w:lang w:val="en-US" w:eastAsia="zh-CN" w:bidi="ar-SA"/>
              </w:rPr>
            </w:pPr>
          </w:p>
        </w:tc>
        <w:tc>
          <w:tcPr>
            <w:tcW w:w="1125" w:type="dxa"/>
            <w:vAlign w:val="center"/>
          </w:tcPr>
          <w:p>
            <w:pPr>
              <w:spacing w:line="300" w:lineRule="exact"/>
              <w:jc w:val="center"/>
              <w:rPr>
                <w:rFonts w:hint="eastAsia" w:ascii="Times New Roman" w:hAnsi="Times New Roman" w:eastAsia="仿宋_GB2312"/>
                <w:sz w:val="20"/>
                <w:szCs w:val="20"/>
                <w:lang w:eastAsia="zh-CN"/>
              </w:rPr>
            </w:pPr>
            <w:r>
              <w:rPr>
                <w:rFonts w:hint="eastAsia" w:ascii="Times New Roman" w:hAnsi="Times New Roman" w:eastAsia="仿宋_GB2312"/>
                <w:sz w:val="20"/>
                <w:szCs w:val="20"/>
                <w:lang w:eastAsia="zh-CN"/>
              </w:rPr>
              <w:t>企业停产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527" w:type="dxa"/>
            <w:vAlign w:val="center"/>
          </w:tcPr>
          <w:p>
            <w:pPr>
              <w:widowControl/>
              <w:jc w:val="center"/>
              <w:textAlignment w:val="center"/>
              <w:rPr>
                <w:rFonts w:hint="default" w:ascii="Times New Roman" w:hAnsi="Times New Roman"/>
                <w:color w:val="000000"/>
                <w:kern w:val="0"/>
                <w:sz w:val="20"/>
                <w:szCs w:val="20"/>
                <w:lang w:val="en-US" w:eastAsia="zh-CN"/>
              </w:rPr>
            </w:pPr>
            <w:r>
              <w:rPr>
                <w:rFonts w:hint="eastAsia" w:ascii="Times New Roman" w:hAnsi="Times New Roman"/>
                <w:color w:val="000000"/>
                <w:kern w:val="0"/>
                <w:sz w:val="20"/>
                <w:szCs w:val="20"/>
                <w:lang w:val="en-US" w:eastAsia="zh-CN"/>
              </w:rPr>
              <w:t>2</w:t>
            </w:r>
          </w:p>
        </w:tc>
        <w:tc>
          <w:tcPr>
            <w:tcW w:w="1622" w:type="dxa"/>
            <w:vAlign w:val="center"/>
          </w:tcPr>
          <w:p>
            <w:pPr>
              <w:spacing w:line="300" w:lineRule="exact"/>
              <w:jc w:val="center"/>
              <w:rPr>
                <w:rFonts w:hint="eastAsia"/>
                <w:lang w:eastAsia="zh-CN"/>
              </w:rPr>
            </w:pPr>
            <w:r>
              <w:rPr>
                <w:rFonts w:hint="eastAsia"/>
                <w:lang w:eastAsia="zh-CN"/>
              </w:rPr>
              <w:t>浏阳市溪江采石场</w:t>
            </w:r>
          </w:p>
        </w:tc>
        <w:tc>
          <w:tcPr>
            <w:tcW w:w="666" w:type="dxa"/>
            <w:vAlign w:val="center"/>
          </w:tcPr>
          <w:p>
            <w:pPr>
              <w:spacing w:line="300" w:lineRule="exact"/>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1.11</w:t>
            </w:r>
          </w:p>
        </w:tc>
        <w:tc>
          <w:tcPr>
            <w:tcW w:w="5371" w:type="dxa"/>
            <w:vAlign w:val="center"/>
          </w:tcPr>
          <w:p>
            <w:pPr>
              <w:pStyle w:val="2"/>
              <w:numPr>
                <w:ilvl w:val="0"/>
                <w:numId w:val="0"/>
              </w:numPr>
              <w:ind w:left="0" w:leftChars="0" w:firstLine="0" w:firstLineChars="0"/>
              <w:rPr>
                <w:rFonts w:hint="eastAsia"/>
              </w:rPr>
            </w:pPr>
            <w:r>
              <w:rPr>
                <w:rFonts w:hint="eastAsia"/>
              </w:rPr>
              <w:t>该单位采矿许可证有效期为2017年6月7日至2021年6月7日；安全生产许可证有效期至2021年8月1日，长沙市应急局已注销；该矿自2018年8月起一直停产，现场检查未发现开采施工作业。</w:t>
            </w:r>
          </w:p>
        </w:tc>
        <w:tc>
          <w:tcPr>
            <w:tcW w:w="1016" w:type="dxa"/>
            <w:vAlign w:val="center"/>
          </w:tcPr>
          <w:p>
            <w:pPr>
              <w:spacing w:line="300" w:lineRule="exact"/>
              <w:jc w:val="center"/>
              <w:rPr>
                <w:rFonts w:hint="default" w:ascii="Times New Roman" w:hAnsi="Times New Roman" w:eastAsia="仿宋_GB2312" w:cs="Times New Roman"/>
                <w:kern w:val="2"/>
                <w:sz w:val="20"/>
                <w:szCs w:val="20"/>
                <w:lang w:val="en-US" w:eastAsia="zh-CN" w:bidi="ar-SA"/>
              </w:rPr>
            </w:pPr>
          </w:p>
        </w:tc>
        <w:tc>
          <w:tcPr>
            <w:tcW w:w="706" w:type="dxa"/>
            <w:vAlign w:val="center"/>
          </w:tcPr>
          <w:p>
            <w:pPr>
              <w:spacing w:line="300" w:lineRule="exact"/>
              <w:jc w:val="center"/>
              <w:rPr>
                <w:rFonts w:hint="default" w:ascii="Times New Roman" w:hAnsi="Times New Roman" w:eastAsia="仿宋_GB2312" w:cs="Times New Roman"/>
                <w:kern w:val="2"/>
                <w:sz w:val="20"/>
                <w:szCs w:val="20"/>
                <w:lang w:val="en-US" w:eastAsia="zh-CN" w:bidi="ar-SA"/>
              </w:rPr>
            </w:pPr>
          </w:p>
        </w:tc>
        <w:tc>
          <w:tcPr>
            <w:tcW w:w="4697" w:type="dxa"/>
            <w:vAlign w:val="center"/>
          </w:tcPr>
          <w:p>
            <w:pPr>
              <w:spacing w:line="300" w:lineRule="exact"/>
              <w:rPr>
                <w:rFonts w:hint="eastAsia" w:ascii="Calibri" w:hAnsi="Calibri" w:eastAsia="宋体" w:cs="Times New Roman"/>
                <w:kern w:val="2"/>
                <w:sz w:val="21"/>
                <w:szCs w:val="22"/>
                <w:lang w:val="en-US" w:eastAsia="zh-CN" w:bidi="ar-SA"/>
              </w:rPr>
            </w:pPr>
          </w:p>
        </w:tc>
        <w:tc>
          <w:tcPr>
            <w:tcW w:w="1125" w:type="dxa"/>
            <w:vAlign w:val="center"/>
          </w:tcPr>
          <w:p>
            <w:pPr>
              <w:spacing w:line="300" w:lineRule="exact"/>
              <w:jc w:val="center"/>
              <w:rPr>
                <w:rFonts w:hint="eastAsia" w:ascii="Times New Roman" w:hAnsi="Times New Roman" w:eastAsia="仿宋_GB2312"/>
                <w:sz w:val="20"/>
                <w:szCs w:val="20"/>
                <w:lang w:eastAsia="zh-CN"/>
              </w:rPr>
            </w:pPr>
            <w:r>
              <w:rPr>
                <w:rFonts w:hint="eastAsia" w:ascii="Times New Roman" w:hAnsi="Times New Roman" w:eastAsia="仿宋_GB2312"/>
                <w:sz w:val="20"/>
                <w:szCs w:val="20"/>
                <w:lang w:eastAsia="zh-CN"/>
              </w:rPr>
              <w:t>企业停产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527" w:type="dxa"/>
            <w:vAlign w:val="center"/>
          </w:tcPr>
          <w:p>
            <w:pPr>
              <w:widowControl/>
              <w:jc w:val="center"/>
              <w:textAlignment w:val="center"/>
              <w:rPr>
                <w:rFonts w:hint="eastAsia"/>
                <w:lang w:val="en-US" w:eastAsia="zh-CN"/>
              </w:rPr>
            </w:pPr>
          </w:p>
          <w:p>
            <w:pPr>
              <w:pStyle w:val="2"/>
              <w:rPr>
                <w:rFonts w:hint="default"/>
                <w:lang w:val="en-US" w:eastAsia="zh-CN"/>
              </w:rPr>
            </w:pPr>
            <w:r>
              <w:rPr>
                <w:rFonts w:hint="eastAsia"/>
                <w:lang w:val="en-US" w:eastAsia="zh-CN"/>
              </w:rPr>
              <w:t>3</w:t>
            </w:r>
          </w:p>
        </w:tc>
        <w:tc>
          <w:tcPr>
            <w:tcW w:w="1622" w:type="dxa"/>
            <w:vAlign w:val="center"/>
          </w:tcPr>
          <w:p>
            <w:pPr>
              <w:spacing w:line="300" w:lineRule="exact"/>
              <w:jc w:val="center"/>
              <w:rPr>
                <w:rFonts w:hint="eastAsia"/>
                <w:lang w:eastAsia="zh-CN"/>
              </w:rPr>
            </w:pPr>
            <w:r>
              <w:rPr>
                <w:rFonts w:hint="eastAsia"/>
                <w:lang w:eastAsia="zh-CN"/>
              </w:rPr>
              <w:t>浏阳市太平桥高田建筑路用石料厂</w:t>
            </w:r>
          </w:p>
        </w:tc>
        <w:tc>
          <w:tcPr>
            <w:tcW w:w="666" w:type="dxa"/>
            <w:vAlign w:val="center"/>
          </w:tcPr>
          <w:p>
            <w:pPr>
              <w:spacing w:line="300" w:lineRule="exact"/>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1.26</w:t>
            </w:r>
          </w:p>
        </w:tc>
        <w:tc>
          <w:tcPr>
            <w:tcW w:w="5371" w:type="dxa"/>
            <w:vAlign w:val="center"/>
          </w:tcPr>
          <w:p>
            <w:pPr>
              <w:pStyle w:val="2"/>
              <w:numPr>
                <w:ilvl w:val="0"/>
                <w:numId w:val="0"/>
              </w:numPr>
              <w:ind w:left="0" w:leftChars="0" w:firstLine="0" w:firstLineChars="0"/>
              <w:rPr>
                <w:rFonts w:hint="eastAsia"/>
              </w:rPr>
            </w:pPr>
            <w:r>
              <w:rPr>
                <w:rFonts w:hint="eastAsia"/>
              </w:rPr>
              <w:t>1、进入采矿区运输道路入口未设置好围挡和警示标识牌；</w:t>
            </w:r>
          </w:p>
          <w:p>
            <w:pPr>
              <w:pStyle w:val="2"/>
              <w:numPr>
                <w:ilvl w:val="0"/>
                <w:numId w:val="0"/>
              </w:numPr>
              <w:ind w:left="0" w:leftChars="0" w:firstLine="0" w:firstLineChars="0"/>
              <w:rPr>
                <w:rFonts w:hint="eastAsia"/>
              </w:rPr>
            </w:pPr>
            <w:r>
              <w:rPr>
                <w:rFonts w:hint="eastAsia"/>
              </w:rPr>
              <w:t>2、办公楼前未张贴主要负责人、值守人员的姓名和联系方式信息公示牌。</w:t>
            </w:r>
          </w:p>
        </w:tc>
        <w:tc>
          <w:tcPr>
            <w:tcW w:w="1016" w:type="dxa"/>
            <w:vAlign w:val="center"/>
          </w:tcPr>
          <w:p>
            <w:pPr>
              <w:spacing w:line="300" w:lineRule="exact"/>
              <w:jc w:val="center"/>
              <w:rPr>
                <w:rFonts w:hint="default" w:ascii="Times New Roman" w:hAnsi="Times New Roman" w:eastAsia="仿宋_GB2312" w:cs="Times New Roman"/>
                <w:kern w:val="2"/>
                <w:sz w:val="20"/>
                <w:szCs w:val="20"/>
                <w:lang w:val="en-US" w:eastAsia="zh-CN" w:bidi="ar-SA"/>
              </w:rPr>
            </w:pPr>
            <w:r>
              <w:rPr>
                <w:rFonts w:hint="eastAsia" w:ascii="Times New Roman" w:hAnsi="Times New Roman" w:eastAsia="仿宋_GB2312" w:cs="Times New Roman"/>
                <w:kern w:val="2"/>
                <w:sz w:val="20"/>
                <w:szCs w:val="20"/>
                <w:lang w:val="en-US" w:eastAsia="zh-CN" w:bidi="ar-SA"/>
              </w:rPr>
              <w:t>2.2</w:t>
            </w:r>
          </w:p>
        </w:tc>
        <w:tc>
          <w:tcPr>
            <w:tcW w:w="706" w:type="dxa"/>
            <w:vAlign w:val="center"/>
          </w:tcPr>
          <w:p>
            <w:pPr>
              <w:spacing w:line="300" w:lineRule="exact"/>
              <w:jc w:val="center"/>
              <w:rPr>
                <w:rFonts w:hint="default" w:ascii="Times New Roman" w:hAnsi="Times New Roman" w:eastAsia="仿宋_GB2312" w:cs="Times New Roman"/>
                <w:kern w:val="2"/>
                <w:sz w:val="20"/>
                <w:szCs w:val="20"/>
                <w:lang w:val="en-US" w:eastAsia="zh-CN" w:bidi="ar-SA"/>
              </w:rPr>
            </w:pPr>
            <w:r>
              <w:rPr>
                <w:rFonts w:hint="eastAsia" w:ascii="Times New Roman" w:hAnsi="Times New Roman" w:eastAsia="仿宋_GB2312" w:cs="Times New Roman"/>
                <w:kern w:val="2"/>
                <w:sz w:val="20"/>
                <w:szCs w:val="20"/>
                <w:lang w:val="en-US" w:eastAsia="zh-CN" w:bidi="ar-SA"/>
              </w:rPr>
              <w:t>2.4</w:t>
            </w:r>
          </w:p>
        </w:tc>
        <w:tc>
          <w:tcPr>
            <w:tcW w:w="4697" w:type="dxa"/>
            <w:vAlign w:val="center"/>
          </w:tcPr>
          <w:p>
            <w:pPr>
              <w:spacing w:line="300" w:lineRule="exact"/>
              <w:rPr>
                <w:rFonts w:hint="eastAsia"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1、进入采矿区运输道路入口</w:t>
            </w:r>
            <w:r>
              <w:rPr>
                <w:rFonts w:hint="eastAsia" w:cs="Times New Roman"/>
                <w:kern w:val="2"/>
                <w:sz w:val="21"/>
                <w:szCs w:val="22"/>
                <w:lang w:val="en-US" w:eastAsia="zh-CN" w:bidi="ar-SA"/>
              </w:rPr>
              <w:t>已</w:t>
            </w:r>
            <w:r>
              <w:rPr>
                <w:rFonts w:hint="eastAsia" w:ascii="Calibri" w:hAnsi="Calibri" w:eastAsia="宋体" w:cs="Times New Roman"/>
                <w:kern w:val="2"/>
                <w:sz w:val="21"/>
                <w:szCs w:val="22"/>
                <w:lang w:val="en-US" w:eastAsia="zh-CN" w:bidi="ar-SA"/>
              </w:rPr>
              <w:t>设置好围挡和警示标识牌；</w:t>
            </w:r>
          </w:p>
          <w:p>
            <w:pPr>
              <w:spacing w:line="300" w:lineRule="exact"/>
              <w:rPr>
                <w:rFonts w:hint="eastAsia"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2、办公楼前</w:t>
            </w:r>
            <w:r>
              <w:rPr>
                <w:rFonts w:hint="eastAsia" w:cs="Times New Roman"/>
                <w:kern w:val="2"/>
                <w:sz w:val="21"/>
                <w:szCs w:val="22"/>
                <w:lang w:val="en-US" w:eastAsia="zh-CN" w:bidi="ar-SA"/>
              </w:rPr>
              <w:t>已公示</w:t>
            </w:r>
            <w:r>
              <w:rPr>
                <w:rFonts w:hint="eastAsia" w:ascii="Calibri" w:hAnsi="Calibri" w:eastAsia="宋体" w:cs="Times New Roman"/>
                <w:kern w:val="2"/>
                <w:sz w:val="21"/>
                <w:szCs w:val="22"/>
                <w:lang w:val="en-US" w:eastAsia="zh-CN" w:bidi="ar-SA"/>
              </w:rPr>
              <w:t>主要负责人、值守人员的姓名和联系方式信息</w:t>
            </w:r>
            <w:r>
              <w:rPr>
                <w:rFonts w:hint="eastAsia" w:cs="Times New Roman"/>
                <w:kern w:val="2"/>
                <w:sz w:val="21"/>
                <w:szCs w:val="22"/>
                <w:lang w:val="en-US" w:eastAsia="zh-CN" w:bidi="ar-SA"/>
              </w:rPr>
              <w:t>的标识</w:t>
            </w:r>
            <w:r>
              <w:rPr>
                <w:rFonts w:hint="eastAsia" w:ascii="Calibri" w:hAnsi="Calibri" w:eastAsia="宋体" w:cs="Times New Roman"/>
                <w:kern w:val="2"/>
                <w:sz w:val="21"/>
                <w:szCs w:val="22"/>
                <w:lang w:val="en-US" w:eastAsia="zh-CN" w:bidi="ar-SA"/>
              </w:rPr>
              <w:t>牌。</w:t>
            </w:r>
          </w:p>
        </w:tc>
        <w:tc>
          <w:tcPr>
            <w:tcW w:w="1125" w:type="dxa"/>
            <w:vAlign w:val="center"/>
          </w:tcPr>
          <w:p>
            <w:pPr>
              <w:spacing w:line="300" w:lineRule="exact"/>
              <w:jc w:val="center"/>
              <w:rPr>
                <w:rFonts w:hint="eastAsia" w:ascii="Times New Roman" w:hAnsi="Times New Roman" w:eastAsia="仿宋_GB2312"/>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527" w:type="dxa"/>
            <w:vAlign w:val="center"/>
          </w:tcPr>
          <w:p>
            <w:pPr>
              <w:widowControl/>
              <w:jc w:val="center"/>
              <w:textAlignment w:val="center"/>
              <w:rPr>
                <w:rFonts w:hint="default" w:ascii="Times New Roman" w:hAnsi="Times New Roman"/>
                <w:color w:val="000000"/>
                <w:kern w:val="0"/>
                <w:sz w:val="20"/>
                <w:szCs w:val="20"/>
                <w:lang w:val="en-US" w:eastAsia="zh-CN"/>
              </w:rPr>
            </w:pPr>
            <w:r>
              <w:rPr>
                <w:rFonts w:hint="eastAsia" w:ascii="Times New Roman" w:hAnsi="Times New Roman"/>
                <w:color w:val="000000"/>
                <w:kern w:val="0"/>
                <w:sz w:val="20"/>
                <w:szCs w:val="20"/>
                <w:lang w:val="en-US" w:eastAsia="zh-CN"/>
              </w:rPr>
              <w:t>4</w:t>
            </w:r>
          </w:p>
        </w:tc>
        <w:tc>
          <w:tcPr>
            <w:tcW w:w="1622" w:type="dxa"/>
            <w:vAlign w:val="center"/>
          </w:tcPr>
          <w:p>
            <w:pPr>
              <w:spacing w:line="300" w:lineRule="exact"/>
              <w:jc w:val="center"/>
              <w:rPr>
                <w:rFonts w:hint="eastAsia"/>
                <w:lang w:eastAsia="zh-CN"/>
              </w:rPr>
            </w:pPr>
            <w:r>
              <w:rPr>
                <w:rFonts w:hint="eastAsia"/>
                <w:lang w:eastAsia="zh-CN"/>
              </w:rPr>
              <w:t>浏阳市船仓矿业有限公司</w:t>
            </w:r>
          </w:p>
        </w:tc>
        <w:tc>
          <w:tcPr>
            <w:tcW w:w="666" w:type="dxa"/>
            <w:vAlign w:val="center"/>
          </w:tcPr>
          <w:p>
            <w:pPr>
              <w:spacing w:line="300" w:lineRule="exact"/>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2.21</w:t>
            </w:r>
          </w:p>
        </w:tc>
        <w:tc>
          <w:tcPr>
            <w:tcW w:w="5371" w:type="dxa"/>
            <w:vAlign w:val="center"/>
          </w:tcPr>
          <w:p>
            <w:pPr>
              <w:pStyle w:val="2"/>
              <w:numPr>
                <w:ilvl w:val="0"/>
                <w:numId w:val="0"/>
              </w:numPr>
              <w:ind w:left="0" w:leftChars="0" w:firstLine="0" w:firstLineChars="0"/>
              <w:rPr>
                <w:rFonts w:hint="eastAsia"/>
              </w:rPr>
            </w:pPr>
            <w:r>
              <w:rPr>
                <w:rFonts w:hint="eastAsia"/>
              </w:rPr>
              <w:t>该矿采矿许可证有效期至2021年10月1日，已过期，安全生产许可证有效期至2024年8月4日，已交回至市应急局，企业长期停产停建，现场检查时采矿区未进行生产施工。</w:t>
            </w:r>
          </w:p>
        </w:tc>
        <w:tc>
          <w:tcPr>
            <w:tcW w:w="1016" w:type="dxa"/>
            <w:vAlign w:val="center"/>
          </w:tcPr>
          <w:p>
            <w:pPr>
              <w:spacing w:line="300" w:lineRule="exact"/>
              <w:jc w:val="center"/>
              <w:rPr>
                <w:rFonts w:hint="default" w:ascii="Times New Roman" w:hAnsi="Times New Roman" w:eastAsia="仿宋_GB2312" w:cs="Times New Roman"/>
                <w:kern w:val="2"/>
                <w:sz w:val="20"/>
                <w:szCs w:val="20"/>
                <w:lang w:val="en-US" w:eastAsia="zh-CN" w:bidi="ar-SA"/>
              </w:rPr>
            </w:pPr>
          </w:p>
        </w:tc>
        <w:tc>
          <w:tcPr>
            <w:tcW w:w="706" w:type="dxa"/>
            <w:vAlign w:val="center"/>
          </w:tcPr>
          <w:p>
            <w:pPr>
              <w:spacing w:line="300" w:lineRule="exact"/>
              <w:jc w:val="center"/>
              <w:rPr>
                <w:rFonts w:hint="default" w:ascii="Times New Roman" w:hAnsi="Times New Roman" w:eastAsia="仿宋_GB2312" w:cs="Times New Roman"/>
                <w:kern w:val="2"/>
                <w:sz w:val="20"/>
                <w:szCs w:val="20"/>
                <w:lang w:val="en-US" w:eastAsia="zh-CN" w:bidi="ar-SA"/>
              </w:rPr>
            </w:pPr>
          </w:p>
        </w:tc>
        <w:tc>
          <w:tcPr>
            <w:tcW w:w="4697" w:type="dxa"/>
            <w:vAlign w:val="center"/>
          </w:tcPr>
          <w:p>
            <w:pPr>
              <w:spacing w:line="300" w:lineRule="exact"/>
              <w:rPr>
                <w:rFonts w:hint="eastAsia" w:ascii="Calibri" w:hAnsi="Calibri" w:eastAsia="宋体" w:cs="Times New Roman"/>
                <w:kern w:val="2"/>
                <w:sz w:val="21"/>
                <w:szCs w:val="22"/>
                <w:lang w:val="en-US" w:eastAsia="zh-CN" w:bidi="ar-SA"/>
              </w:rPr>
            </w:pPr>
          </w:p>
        </w:tc>
        <w:tc>
          <w:tcPr>
            <w:tcW w:w="1125" w:type="dxa"/>
            <w:vAlign w:val="center"/>
          </w:tcPr>
          <w:p>
            <w:pPr>
              <w:spacing w:line="300" w:lineRule="exact"/>
              <w:jc w:val="center"/>
              <w:rPr>
                <w:rFonts w:hint="eastAsia" w:ascii="Times New Roman" w:hAnsi="Times New Roman" w:eastAsia="仿宋_GB2312"/>
                <w:sz w:val="20"/>
                <w:szCs w:val="20"/>
                <w:lang w:eastAsia="zh-CN"/>
              </w:rPr>
            </w:pPr>
            <w:r>
              <w:rPr>
                <w:rFonts w:hint="eastAsia" w:ascii="Times New Roman" w:hAnsi="Times New Roman" w:eastAsia="仿宋_GB2312"/>
                <w:sz w:val="20"/>
                <w:szCs w:val="20"/>
                <w:lang w:eastAsia="zh-CN"/>
              </w:rPr>
              <w:t>企业停产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527" w:type="dxa"/>
            <w:vAlign w:val="center"/>
          </w:tcPr>
          <w:p>
            <w:pPr>
              <w:widowControl/>
              <w:jc w:val="center"/>
              <w:textAlignment w:val="center"/>
              <w:rPr>
                <w:rFonts w:hint="default" w:ascii="Times New Roman" w:hAnsi="Times New Roman"/>
                <w:color w:val="000000"/>
                <w:kern w:val="0"/>
                <w:sz w:val="20"/>
                <w:szCs w:val="20"/>
                <w:lang w:val="en-US" w:eastAsia="zh-CN"/>
              </w:rPr>
            </w:pPr>
            <w:r>
              <w:rPr>
                <w:rFonts w:hint="eastAsia" w:ascii="Times New Roman" w:hAnsi="Times New Roman"/>
                <w:color w:val="000000"/>
                <w:kern w:val="0"/>
                <w:sz w:val="20"/>
                <w:szCs w:val="20"/>
                <w:lang w:val="en-US" w:eastAsia="zh-CN"/>
              </w:rPr>
              <w:t>5</w:t>
            </w:r>
          </w:p>
        </w:tc>
        <w:tc>
          <w:tcPr>
            <w:tcW w:w="1622" w:type="dxa"/>
            <w:vAlign w:val="center"/>
          </w:tcPr>
          <w:p>
            <w:pPr>
              <w:spacing w:line="300" w:lineRule="exact"/>
              <w:jc w:val="center"/>
              <w:rPr>
                <w:rFonts w:hint="eastAsia"/>
                <w:lang w:eastAsia="zh-CN"/>
              </w:rPr>
            </w:pPr>
            <w:r>
              <w:rPr>
                <w:rFonts w:hint="eastAsia"/>
                <w:lang w:eastAsia="zh-CN"/>
              </w:rPr>
              <w:t>浏阳市枨冲镇安顺采石场</w:t>
            </w:r>
          </w:p>
        </w:tc>
        <w:tc>
          <w:tcPr>
            <w:tcW w:w="666" w:type="dxa"/>
            <w:vAlign w:val="center"/>
          </w:tcPr>
          <w:p>
            <w:pPr>
              <w:spacing w:line="300" w:lineRule="exact"/>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2.23</w:t>
            </w:r>
          </w:p>
        </w:tc>
        <w:tc>
          <w:tcPr>
            <w:tcW w:w="5371" w:type="dxa"/>
            <w:vAlign w:val="center"/>
          </w:tcPr>
          <w:p>
            <w:pPr>
              <w:pStyle w:val="2"/>
              <w:numPr>
                <w:ilvl w:val="0"/>
                <w:numId w:val="0"/>
              </w:numPr>
              <w:ind w:left="0" w:leftChars="0" w:firstLine="0" w:firstLineChars="0"/>
              <w:rPr>
                <w:rFonts w:hint="eastAsia"/>
              </w:rPr>
            </w:pPr>
            <w:r>
              <w:rPr>
                <w:rFonts w:hint="eastAsia"/>
              </w:rPr>
              <w:t>该单位营业执照有效期为长期；采矿许可证有效期至2023年4月18日，安全生产许可证有效期至2023年5月18日，均已过期，该单位采矿许可证到期后已停止生产施工作业，安全生产许可证已交回应急部门，现场检查未进行开采施工作业。</w:t>
            </w:r>
          </w:p>
        </w:tc>
        <w:tc>
          <w:tcPr>
            <w:tcW w:w="1016" w:type="dxa"/>
            <w:vAlign w:val="center"/>
          </w:tcPr>
          <w:p>
            <w:pPr>
              <w:spacing w:line="300" w:lineRule="exact"/>
              <w:jc w:val="center"/>
              <w:rPr>
                <w:rFonts w:hint="default" w:ascii="Times New Roman" w:hAnsi="Times New Roman" w:eastAsia="仿宋_GB2312" w:cs="Times New Roman"/>
                <w:kern w:val="2"/>
                <w:sz w:val="20"/>
                <w:szCs w:val="20"/>
                <w:lang w:val="en-US" w:eastAsia="zh-CN" w:bidi="ar-SA"/>
              </w:rPr>
            </w:pPr>
          </w:p>
        </w:tc>
        <w:tc>
          <w:tcPr>
            <w:tcW w:w="706" w:type="dxa"/>
            <w:vAlign w:val="center"/>
          </w:tcPr>
          <w:p>
            <w:pPr>
              <w:spacing w:line="300" w:lineRule="exact"/>
              <w:jc w:val="center"/>
              <w:rPr>
                <w:rFonts w:hint="default" w:ascii="Times New Roman" w:hAnsi="Times New Roman" w:eastAsia="仿宋_GB2312" w:cs="Times New Roman"/>
                <w:kern w:val="2"/>
                <w:sz w:val="20"/>
                <w:szCs w:val="20"/>
                <w:lang w:val="en-US" w:eastAsia="zh-CN" w:bidi="ar-SA"/>
              </w:rPr>
            </w:pPr>
          </w:p>
        </w:tc>
        <w:tc>
          <w:tcPr>
            <w:tcW w:w="4697" w:type="dxa"/>
            <w:vAlign w:val="center"/>
          </w:tcPr>
          <w:p>
            <w:pPr>
              <w:spacing w:line="300" w:lineRule="exact"/>
              <w:rPr>
                <w:rFonts w:hint="eastAsia" w:ascii="Calibri" w:hAnsi="Calibri" w:eastAsia="宋体" w:cs="Times New Roman"/>
                <w:kern w:val="2"/>
                <w:sz w:val="21"/>
                <w:szCs w:val="22"/>
                <w:lang w:val="en-US" w:eastAsia="zh-CN" w:bidi="ar-SA"/>
              </w:rPr>
            </w:pPr>
          </w:p>
        </w:tc>
        <w:tc>
          <w:tcPr>
            <w:tcW w:w="1125" w:type="dxa"/>
            <w:vAlign w:val="center"/>
          </w:tcPr>
          <w:p>
            <w:pPr>
              <w:spacing w:line="300" w:lineRule="exact"/>
              <w:jc w:val="center"/>
              <w:rPr>
                <w:rFonts w:hint="eastAsia" w:ascii="Times New Roman" w:hAnsi="Times New Roman" w:eastAsia="仿宋_GB2312"/>
                <w:sz w:val="20"/>
                <w:szCs w:val="20"/>
                <w:lang w:eastAsia="zh-CN"/>
              </w:rPr>
            </w:pPr>
            <w:r>
              <w:rPr>
                <w:rFonts w:hint="eastAsia" w:ascii="Times New Roman" w:hAnsi="Times New Roman" w:eastAsia="仿宋_GB2312"/>
                <w:sz w:val="20"/>
                <w:szCs w:val="20"/>
                <w:lang w:eastAsia="zh-CN"/>
              </w:rPr>
              <w:t>企业停产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527" w:type="dxa"/>
            <w:vAlign w:val="center"/>
          </w:tcPr>
          <w:p>
            <w:pPr>
              <w:widowControl/>
              <w:jc w:val="center"/>
              <w:textAlignment w:val="center"/>
              <w:rPr>
                <w:rFonts w:hint="default" w:ascii="Times New Roman" w:hAnsi="Times New Roman"/>
                <w:color w:val="000000"/>
                <w:kern w:val="0"/>
                <w:sz w:val="20"/>
                <w:szCs w:val="20"/>
                <w:lang w:val="en-US" w:eastAsia="zh-CN"/>
              </w:rPr>
            </w:pPr>
            <w:r>
              <w:rPr>
                <w:rFonts w:hint="eastAsia" w:ascii="Times New Roman" w:hAnsi="Times New Roman"/>
                <w:color w:val="000000"/>
                <w:kern w:val="0"/>
                <w:sz w:val="20"/>
                <w:szCs w:val="20"/>
                <w:lang w:val="en-US" w:eastAsia="zh-CN"/>
              </w:rPr>
              <w:t>6</w:t>
            </w:r>
          </w:p>
        </w:tc>
        <w:tc>
          <w:tcPr>
            <w:tcW w:w="1622" w:type="dxa"/>
            <w:vAlign w:val="center"/>
          </w:tcPr>
          <w:p>
            <w:pPr>
              <w:spacing w:line="300" w:lineRule="exact"/>
              <w:jc w:val="center"/>
              <w:rPr>
                <w:rFonts w:hint="eastAsia"/>
                <w:lang w:eastAsia="zh-CN"/>
              </w:rPr>
            </w:pPr>
            <w:r>
              <w:rPr>
                <w:rFonts w:hint="eastAsia"/>
                <w:lang w:eastAsia="zh-CN"/>
              </w:rPr>
              <w:t>浏阳市永和镇金桥村磷矿</w:t>
            </w:r>
          </w:p>
        </w:tc>
        <w:tc>
          <w:tcPr>
            <w:tcW w:w="666" w:type="dxa"/>
            <w:vAlign w:val="center"/>
          </w:tcPr>
          <w:p>
            <w:pPr>
              <w:spacing w:line="300" w:lineRule="exact"/>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2.29</w:t>
            </w:r>
          </w:p>
        </w:tc>
        <w:tc>
          <w:tcPr>
            <w:tcW w:w="5371" w:type="dxa"/>
            <w:vAlign w:val="center"/>
          </w:tcPr>
          <w:p>
            <w:pPr>
              <w:pStyle w:val="2"/>
              <w:numPr>
                <w:ilvl w:val="0"/>
                <w:numId w:val="0"/>
              </w:numPr>
              <w:ind w:leftChars="0"/>
              <w:rPr>
                <w:rFonts w:hint="eastAsia"/>
              </w:rPr>
            </w:pPr>
            <w:r>
              <w:rPr>
                <w:rFonts w:hint="eastAsia"/>
              </w:rPr>
              <w:t>1、金狮冲山塘内积水较多，未及时进行疏通；</w:t>
            </w:r>
          </w:p>
          <w:p>
            <w:pPr>
              <w:pStyle w:val="2"/>
              <w:numPr>
                <w:ilvl w:val="0"/>
                <w:numId w:val="0"/>
              </w:numPr>
              <w:ind w:leftChars="0"/>
              <w:rPr>
                <w:rFonts w:hint="eastAsia"/>
              </w:rPr>
            </w:pPr>
            <w:r>
              <w:rPr>
                <w:rFonts w:hint="eastAsia"/>
              </w:rPr>
              <w:t>2、-22m至-50m处废弃配电箱未进行拆除，井下废弃物料未及时清理，文明卫生需加强；</w:t>
            </w:r>
          </w:p>
          <w:p>
            <w:pPr>
              <w:pStyle w:val="2"/>
              <w:numPr>
                <w:ilvl w:val="0"/>
                <w:numId w:val="0"/>
              </w:numPr>
              <w:ind w:leftChars="0"/>
              <w:rPr>
                <w:rFonts w:hint="eastAsia"/>
              </w:rPr>
            </w:pPr>
            <w:r>
              <w:rPr>
                <w:rFonts w:hint="eastAsia"/>
              </w:rPr>
              <w:t>3、井下个别压风供水施救装置失效，管道存在漏水现象；</w:t>
            </w:r>
          </w:p>
          <w:p>
            <w:pPr>
              <w:pStyle w:val="2"/>
              <w:numPr>
                <w:ilvl w:val="0"/>
                <w:numId w:val="0"/>
              </w:numPr>
              <w:ind w:leftChars="0"/>
              <w:rPr>
                <w:rFonts w:hint="eastAsia"/>
              </w:rPr>
            </w:pPr>
            <w:r>
              <w:rPr>
                <w:rFonts w:hint="eastAsia"/>
              </w:rPr>
              <w:t>4、-150m风门未及时关闭，风速风量监测数据异常，需对风门设置为常闭式风门；</w:t>
            </w:r>
          </w:p>
          <w:p>
            <w:pPr>
              <w:pStyle w:val="2"/>
              <w:numPr>
                <w:ilvl w:val="0"/>
                <w:numId w:val="0"/>
              </w:numPr>
              <w:ind w:leftChars="0"/>
              <w:rPr>
                <w:rFonts w:hint="eastAsia"/>
              </w:rPr>
            </w:pPr>
            <w:r>
              <w:rPr>
                <w:rFonts w:hint="eastAsia"/>
              </w:rPr>
              <w:t>5、三号行人井架空乘人装置紧急拉停保护装置间距设置不规范，各项保护装置需定期进行检查调整。；</w:t>
            </w:r>
          </w:p>
          <w:p>
            <w:pPr>
              <w:pStyle w:val="2"/>
              <w:numPr>
                <w:ilvl w:val="0"/>
                <w:numId w:val="0"/>
              </w:numPr>
              <w:ind w:leftChars="0"/>
              <w:rPr>
                <w:rFonts w:hint="eastAsia"/>
              </w:rPr>
            </w:pPr>
            <w:r>
              <w:rPr>
                <w:rFonts w:hint="eastAsia"/>
              </w:rPr>
              <w:t>6、井下机电设备设施未进行编号挂牌管理，未建立详细的机电设备设施管理台账；</w:t>
            </w:r>
          </w:p>
          <w:p>
            <w:pPr>
              <w:pStyle w:val="2"/>
              <w:numPr>
                <w:ilvl w:val="0"/>
                <w:numId w:val="0"/>
              </w:numPr>
              <w:ind w:leftChars="0"/>
              <w:rPr>
                <w:rFonts w:hint="eastAsia"/>
              </w:rPr>
            </w:pPr>
            <w:r>
              <w:rPr>
                <w:rFonts w:hint="eastAsia"/>
              </w:rPr>
              <w:t>7、水泵房接地不规范，局部接地破损；</w:t>
            </w:r>
          </w:p>
          <w:p>
            <w:pPr>
              <w:pStyle w:val="2"/>
              <w:numPr>
                <w:ilvl w:val="0"/>
                <w:numId w:val="0"/>
              </w:numPr>
              <w:ind w:leftChars="0"/>
              <w:rPr>
                <w:rFonts w:hint="eastAsia"/>
              </w:rPr>
            </w:pPr>
            <w:r>
              <w:rPr>
                <w:rFonts w:hint="eastAsia"/>
              </w:rPr>
              <w:t>8、二段架空人车尾轮后限位置保护装置间距设置不当。</w:t>
            </w:r>
          </w:p>
        </w:tc>
        <w:tc>
          <w:tcPr>
            <w:tcW w:w="1016" w:type="dxa"/>
            <w:vAlign w:val="center"/>
          </w:tcPr>
          <w:p>
            <w:pPr>
              <w:spacing w:line="300" w:lineRule="exact"/>
              <w:jc w:val="center"/>
              <w:rPr>
                <w:rFonts w:hint="default" w:ascii="Times New Roman" w:hAnsi="Times New Roman" w:eastAsia="仿宋_GB2312" w:cs="Times New Roman"/>
                <w:kern w:val="2"/>
                <w:sz w:val="20"/>
                <w:szCs w:val="20"/>
                <w:lang w:val="en-US" w:eastAsia="zh-CN" w:bidi="ar-SA"/>
              </w:rPr>
            </w:pPr>
            <w:r>
              <w:rPr>
                <w:rFonts w:hint="eastAsia" w:ascii="Times New Roman" w:hAnsi="Times New Roman" w:eastAsia="仿宋_GB2312" w:cs="Times New Roman"/>
                <w:kern w:val="2"/>
                <w:sz w:val="20"/>
                <w:szCs w:val="20"/>
                <w:lang w:val="en-US" w:eastAsia="zh-CN" w:bidi="ar-SA"/>
              </w:rPr>
              <w:t>3.6</w:t>
            </w:r>
          </w:p>
        </w:tc>
        <w:tc>
          <w:tcPr>
            <w:tcW w:w="706" w:type="dxa"/>
            <w:vAlign w:val="center"/>
          </w:tcPr>
          <w:p>
            <w:pPr>
              <w:spacing w:line="300" w:lineRule="exact"/>
              <w:jc w:val="center"/>
              <w:rPr>
                <w:rFonts w:hint="default" w:ascii="Times New Roman" w:hAnsi="Times New Roman" w:eastAsia="仿宋_GB2312" w:cs="Times New Roman"/>
                <w:kern w:val="2"/>
                <w:sz w:val="20"/>
                <w:szCs w:val="20"/>
                <w:lang w:val="en-US" w:eastAsia="zh-CN" w:bidi="ar-SA"/>
              </w:rPr>
            </w:pPr>
            <w:r>
              <w:rPr>
                <w:rFonts w:hint="eastAsia" w:ascii="Times New Roman" w:hAnsi="Times New Roman" w:eastAsia="仿宋_GB2312" w:cs="Times New Roman"/>
                <w:kern w:val="2"/>
                <w:sz w:val="20"/>
                <w:szCs w:val="20"/>
                <w:lang w:val="en-US" w:eastAsia="zh-CN" w:bidi="ar-SA"/>
              </w:rPr>
              <w:t>3.8</w:t>
            </w:r>
          </w:p>
        </w:tc>
        <w:tc>
          <w:tcPr>
            <w:tcW w:w="4697" w:type="dxa"/>
            <w:vAlign w:val="center"/>
          </w:tcPr>
          <w:p>
            <w:pPr>
              <w:numPr>
                <w:ilvl w:val="0"/>
                <w:numId w:val="1"/>
              </w:numPr>
              <w:spacing w:line="300" w:lineRule="exact"/>
              <w:rPr>
                <w:rFonts w:hint="eastAsia"/>
                <w:lang w:val="en-US" w:eastAsia="zh-CN"/>
              </w:rPr>
            </w:pPr>
            <w:r>
              <w:rPr>
                <w:rFonts w:hint="eastAsia"/>
                <w:lang w:val="en-US" w:eastAsia="zh-CN"/>
              </w:rPr>
              <w:t>已安排专人对金狮冲山塘水沟、杂草及淤泥进行清理、疏通，已将山塘内积水排干。</w:t>
            </w:r>
          </w:p>
          <w:p>
            <w:pPr>
              <w:pStyle w:val="2"/>
              <w:numPr>
                <w:ilvl w:val="0"/>
                <w:numId w:val="1"/>
              </w:numPr>
              <w:rPr>
                <w:rFonts w:hint="default"/>
                <w:lang w:val="en-US" w:eastAsia="zh-CN"/>
              </w:rPr>
            </w:pPr>
            <w:r>
              <w:rPr>
                <w:rFonts w:hint="default"/>
                <w:lang w:val="en-US" w:eastAsia="zh-CN"/>
              </w:rPr>
              <w:t>已拆除-22m 至-50m 处废弃配电箱，并及时清理井下废弃物料。</w:t>
            </w:r>
          </w:p>
          <w:p>
            <w:pPr>
              <w:pStyle w:val="2"/>
              <w:numPr>
                <w:ilvl w:val="0"/>
                <w:numId w:val="1"/>
              </w:numPr>
              <w:rPr>
                <w:rFonts w:hint="default"/>
                <w:lang w:val="en-US" w:eastAsia="zh-CN"/>
              </w:rPr>
            </w:pPr>
            <w:r>
              <w:rPr>
                <w:rFonts w:hint="default"/>
                <w:lang w:val="en-US" w:eastAsia="zh-CN"/>
              </w:rPr>
              <w:t>已对井下压风供水施救系统进行全面检查，修复漏水管道。</w:t>
            </w:r>
          </w:p>
          <w:p>
            <w:pPr>
              <w:pStyle w:val="2"/>
              <w:numPr>
                <w:ilvl w:val="0"/>
                <w:numId w:val="1"/>
              </w:numPr>
              <w:rPr>
                <w:rFonts w:hint="default"/>
                <w:lang w:val="en-US" w:eastAsia="zh-CN"/>
              </w:rPr>
            </w:pPr>
            <w:r>
              <w:rPr>
                <w:rFonts w:hint="default"/>
                <w:lang w:val="en-US" w:eastAsia="zh-CN"/>
              </w:rPr>
              <w:t>已在-150m 风门处设置重锤式拉杆，将风门设置为常闭式，并悬挂标识牌。</w:t>
            </w:r>
          </w:p>
          <w:p>
            <w:pPr>
              <w:pStyle w:val="2"/>
              <w:numPr>
                <w:ilvl w:val="0"/>
                <w:numId w:val="1"/>
              </w:numPr>
              <w:rPr>
                <w:rFonts w:hint="default"/>
                <w:lang w:val="en-US" w:eastAsia="zh-CN"/>
              </w:rPr>
            </w:pPr>
            <w:r>
              <w:rPr>
                <w:rFonts w:hint="default"/>
                <w:lang w:val="en-US" w:eastAsia="zh-CN"/>
              </w:rPr>
              <w:t>已对三号井架空乘人装置紧急拉停保护装置进行固定，控制拉线伸缩幅度，</w:t>
            </w:r>
            <w:r>
              <w:rPr>
                <w:rFonts w:hint="eastAsia"/>
                <w:lang w:val="en-US" w:eastAsia="zh-CN"/>
              </w:rPr>
              <w:t>安排</w:t>
            </w:r>
            <w:r>
              <w:rPr>
                <w:rFonts w:hint="default"/>
                <w:lang w:val="en-US" w:eastAsia="zh-CN"/>
              </w:rPr>
              <w:t>人员定期进行检查调整各项保护装置</w:t>
            </w:r>
            <w:r>
              <w:rPr>
                <w:rFonts w:hint="eastAsia"/>
                <w:lang w:val="en-US" w:eastAsia="zh-CN"/>
              </w:rPr>
              <w:t>。</w:t>
            </w:r>
          </w:p>
          <w:p>
            <w:pPr>
              <w:pStyle w:val="2"/>
              <w:numPr>
                <w:ilvl w:val="0"/>
                <w:numId w:val="1"/>
              </w:numPr>
              <w:rPr>
                <w:rFonts w:hint="default"/>
                <w:lang w:val="en-US" w:eastAsia="zh-CN"/>
              </w:rPr>
            </w:pPr>
            <w:r>
              <w:rPr>
                <w:rFonts w:hint="default"/>
                <w:lang w:val="en-US" w:eastAsia="zh-CN"/>
              </w:rPr>
              <w:t>已对井下机电设备设施进行编号并建立管理台账，制作设备管理板牌悬挂于设备处，明确设备名称、型号、用途、责任人。</w:t>
            </w:r>
          </w:p>
          <w:p>
            <w:pPr>
              <w:pStyle w:val="2"/>
              <w:numPr>
                <w:ilvl w:val="0"/>
                <w:numId w:val="1"/>
              </w:numPr>
              <w:rPr>
                <w:rFonts w:hint="default"/>
                <w:lang w:val="en-US" w:eastAsia="zh-CN"/>
              </w:rPr>
            </w:pPr>
            <w:r>
              <w:rPr>
                <w:rFonts w:hint="default"/>
                <w:lang w:val="en-US" w:eastAsia="zh-CN"/>
              </w:rPr>
              <w:t>已对水泵电机等接地进行整改。</w:t>
            </w:r>
          </w:p>
          <w:p>
            <w:pPr>
              <w:pStyle w:val="2"/>
              <w:numPr>
                <w:ilvl w:val="0"/>
                <w:numId w:val="1"/>
              </w:numPr>
              <w:rPr>
                <w:rFonts w:hint="default"/>
                <w:lang w:val="en-US" w:eastAsia="zh-CN"/>
              </w:rPr>
            </w:pPr>
            <w:r>
              <w:rPr>
                <w:rFonts w:hint="default"/>
                <w:lang w:val="en-US" w:eastAsia="zh-CN"/>
              </w:rPr>
              <w:t>已对二段架空人车尾轮后限位置保护装置进行调整</w:t>
            </w:r>
            <w:r>
              <w:rPr>
                <w:rFonts w:hint="eastAsia"/>
                <w:lang w:val="en-US" w:eastAsia="zh-CN"/>
              </w:rPr>
              <w:t>。</w:t>
            </w:r>
          </w:p>
        </w:tc>
        <w:tc>
          <w:tcPr>
            <w:tcW w:w="1125" w:type="dxa"/>
            <w:vAlign w:val="center"/>
          </w:tcPr>
          <w:p>
            <w:pPr>
              <w:spacing w:line="300" w:lineRule="exact"/>
              <w:jc w:val="center"/>
              <w:rPr>
                <w:rFonts w:hint="eastAsia" w:ascii="Times New Roman" w:hAnsi="Times New Roman" w:eastAsia="仿宋_GB2312"/>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527" w:type="dxa"/>
            <w:vAlign w:val="center"/>
          </w:tcPr>
          <w:p>
            <w:pPr>
              <w:widowControl/>
              <w:jc w:val="center"/>
              <w:textAlignment w:val="center"/>
              <w:rPr>
                <w:rFonts w:hint="default" w:ascii="Times New Roman" w:hAnsi="Times New Roman"/>
                <w:color w:val="000000"/>
                <w:kern w:val="0"/>
                <w:sz w:val="20"/>
                <w:szCs w:val="20"/>
                <w:lang w:val="en-US" w:eastAsia="zh-CN"/>
              </w:rPr>
            </w:pPr>
            <w:r>
              <w:rPr>
                <w:rFonts w:hint="eastAsia" w:ascii="Times New Roman" w:hAnsi="Times New Roman"/>
                <w:color w:val="000000"/>
                <w:kern w:val="0"/>
                <w:sz w:val="20"/>
                <w:szCs w:val="20"/>
                <w:lang w:val="en-US" w:eastAsia="zh-CN"/>
              </w:rPr>
              <w:t>7</w:t>
            </w:r>
          </w:p>
        </w:tc>
        <w:tc>
          <w:tcPr>
            <w:tcW w:w="1622" w:type="dxa"/>
            <w:vAlign w:val="center"/>
          </w:tcPr>
          <w:p>
            <w:pPr>
              <w:spacing w:line="300" w:lineRule="exact"/>
              <w:jc w:val="center"/>
              <w:rPr>
                <w:rFonts w:hint="eastAsia"/>
                <w:lang w:eastAsia="zh-CN"/>
              </w:rPr>
            </w:pPr>
            <w:r>
              <w:rPr>
                <w:rFonts w:hint="eastAsia"/>
                <w:lang w:eastAsia="zh-CN"/>
              </w:rPr>
              <w:t>浏阳市沙秀矿业有限公司</w:t>
            </w:r>
          </w:p>
        </w:tc>
        <w:tc>
          <w:tcPr>
            <w:tcW w:w="666" w:type="dxa"/>
            <w:vAlign w:val="center"/>
          </w:tcPr>
          <w:p>
            <w:pPr>
              <w:spacing w:line="300" w:lineRule="exact"/>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3.5</w:t>
            </w:r>
          </w:p>
        </w:tc>
        <w:tc>
          <w:tcPr>
            <w:tcW w:w="5371" w:type="dxa"/>
            <w:vAlign w:val="center"/>
          </w:tcPr>
          <w:p>
            <w:pPr>
              <w:pStyle w:val="2"/>
              <w:numPr>
                <w:ilvl w:val="0"/>
                <w:numId w:val="0"/>
              </w:numPr>
              <w:ind w:leftChars="0"/>
              <w:rPr>
                <w:rFonts w:hint="eastAsia"/>
              </w:rPr>
            </w:pPr>
            <w:r>
              <w:rPr>
                <w:rFonts w:hint="eastAsia"/>
              </w:rPr>
              <w:t>该矿采矿许可证有效期至2024年5月5日，安全生产许可证有效期至2025年6月20日，因矿内资源枯竭该矿于2024年2月18日已向浏阳市自然资源局申请闭坑，安全生产许可证已交回应急部门，春节后未复工进行采矿作业。</w:t>
            </w:r>
          </w:p>
        </w:tc>
        <w:tc>
          <w:tcPr>
            <w:tcW w:w="1016" w:type="dxa"/>
            <w:vAlign w:val="center"/>
          </w:tcPr>
          <w:p>
            <w:pPr>
              <w:spacing w:line="300" w:lineRule="exact"/>
              <w:jc w:val="center"/>
              <w:rPr>
                <w:rFonts w:hint="eastAsia" w:ascii="Times New Roman" w:hAnsi="Times New Roman" w:eastAsia="仿宋_GB2312" w:cs="Times New Roman"/>
                <w:kern w:val="2"/>
                <w:sz w:val="20"/>
                <w:szCs w:val="20"/>
                <w:lang w:val="en-US" w:eastAsia="zh-CN" w:bidi="ar-SA"/>
              </w:rPr>
            </w:pPr>
          </w:p>
        </w:tc>
        <w:tc>
          <w:tcPr>
            <w:tcW w:w="706" w:type="dxa"/>
            <w:vAlign w:val="center"/>
          </w:tcPr>
          <w:p>
            <w:pPr>
              <w:spacing w:line="300" w:lineRule="exact"/>
              <w:jc w:val="center"/>
              <w:rPr>
                <w:rFonts w:hint="eastAsia" w:ascii="Times New Roman" w:hAnsi="Times New Roman" w:eastAsia="仿宋_GB2312" w:cs="Times New Roman"/>
                <w:kern w:val="2"/>
                <w:sz w:val="20"/>
                <w:szCs w:val="20"/>
                <w:lang w:val="en-US" w:eastAsia="zh-CN" w:bidi="ar-SA"/>
              </w:rPr>
            </w:pPr>
          </w:p>
        </w:tc>
        <w:tc>
          <w:tcPr>
            <w:tcW w:w="4697" w:type="dxa"/>
            <w:vAlign w:val="center"/>
          </w:tcPr>
          <w:p>
            <w:pPr>
              <w:pStyle w:val="2"/>
              <w:numPr>
                <w:ilvl w:val="0"/>
                <w:numId w:val="0"/>
              </w:numPr>
              <w:rPr>
                <w:rFonts w:hint="default"/>
                <w:lang w:val="en-US" w:eastAsia="zh-CN"/>
              </w:rPr>
            </w:pPr>
          </w:p>
        </w:tc>
        <w:tc>
          <w:tcPr>
            <w:tcW w:w="1125" w:type="dxa"/>
            <w:vAlign w:val="center"/>
          </w:tcPr>
          <w:p>
            <w:pPr>
              <w:spacing w:line="300" w:lineRule="exact"/>
              <w:jc w:val="center"/>
              <w:rPr>
                <w:rFonts w:hint="eastAsia" w:ascii="Times New Roman" w:hAnsi="Times New Roman" w:eastAsia="仿宋_GB2312"/>
                <w:sz w:val="20"/>
                <w:szCs w:val="20"/>
                <w:lang w:eastAsia="zh-CN"/>
              </w:rPr>
            </w:pPr>
            <w:r>
              <w:rPr>
                <w:rFonts w:hint="eastAsia" w:ascii="Times New Roman" w:hAnsi="Times New Roman" w:eastAsia="仿宋_GB2312"/>
                <w:sz w:val="20"/>
                <w:szCs w:val="20"/>
                <w:lang w:eastAsia="zh-CN"/>
              </w:rPr>
              <w:t>企业停产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527" w:type="dxa"/>
            <w:vAlign w:val="center"/>
          </w:tcPr>
          <w:p>
            <w:pPr>
              <w:widowControl/>
              <w:jc w:val="center"/>
              <w:textAlignment w:val="center"/>
              <w:rPr>
                <w:rFonts w:hint="default" w:ascii="Times New Roman" w:hAnsi="Times New Roman"/>
                <w:color w:val="000000"/>
                <w:kern w:val="0"/>
                <w:sz w:val="20"/>
                <w:szCs w:val="20"/>
                <w:lang w:val="en-US" w:eastAsia="zh-CN"/>
              </w:rPr>
            </w:pPr>
            <w:r>
              <w:rPr>
                <w:rFonts w:hint="eastAsia" w:ascii="Times New Roman" w:hAnsi="Times New Roman"/>
                <w:color w:val="000000"/>
                <w:kern w:val="0"/>
                <w:sz w:val="20"/>
                <w:szCs w:val="20"/>
                <w:lang w:val="en-US" w:eastAsia="zh-CN"/>
              </w:rPr>
              <w:t>8</w:t>
            </w:r>
          </w:p>
        </w:tc>
        <w:tc>
          <w:tcPr>
            <w:tcW w:w="1622" w:type="dxa"/>
            <w:vAlign w:val="center"/>
          </w:tcPr>
          <w:p>
            <w:pPr>
              <w:spacing w:line="300" w:lineRule="exact"/>
              <w:jc w:val="center"/>
              <w:rPr>
                <w:rFonts w:hint="eastAsia"/>
                <w:lang w:eastAsia="zh-CN"/>
              </w:rPr>
            </w:pPr>
            <w:r>
              <w:rPr>
                <w:rFonts w:hint="eastAsia"/>
                <w:lang w:eastAsia="zh-CN"/>
              </w:rPr>
              <w:t>浏阳市洞阳毛立山采石场</w:t>
            </w:r>
          </w:p>
        </w:tc>
        <w:tc>
          <w:tcPr>
            <w:tcW w:w="666" w:type="dxa"/>
            <w:vAlign w:val="center"/>
          </w:tcPr>
          <w:p>
            <w:pPr>
              <w:spacing w:line="300" w:lineRule="exact"/>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3.21</w:t>
            </w:r>
          </w:p>
        </w:tc>
        <w:tc>
          <w:tcPr>
            <w:tcW w:w="5371" w:type="dxa"/>
            <w:vAlign w:val="center"/>
          </w:tcPr>
          <w:p>
            <w:pPr>
              <w:pStyle w:val="2"/>
              <w:numPr>
                <w:ilvl w:val="0"/>
                <w:numId w:val="0"/>
              </w:numPr>
              <w:ind w:leftChars="0"/>
              <w:rPr>
                <w:rFonts w:hint="eastAsia"/>
              </w:rPr>
            </w:pPr>
            <w:r>
              <w:rPr>
                <w:rFonts w:hint="eastAsia"/>
              </w:rPr>
              <w:t>浏阳市洞阳毛立山采石场矿山名称已变更为浏阳市毛立山矿区建筑石料用灰岩矿，采矿权人湖南水公坡矿业有限公司，营业执照统一社会信用代码91430181MABYM6KYXH；该矿于2023年12月25日换发了新的采矿许可证，矿区范围调整且从地下开采变更为露天开采，有效期为2020年6月19日至2025年5月31日，生产规模为90万吨每年；换发新采矿许可后，该矿重新进行了安全设施设计，长沙市应急管理局已组织审查并于2024年3月6日出具批复意见，基建期为12个月，现场检查时该矿因用地手续未办理等问题暂未开工。</w:t>
            </w:r>
          </w:p>
        </w:tc>
        <w:tc>
          <w:tcPr>
            <w:tcW w:w="1016" w:type="dxa"/>
            <w:vAlign w:val="center"/>
          </w:tcPr>
          <w:p>
            <w:pPr>
              <w:spacing w:line="300" w:lineRule="exact"/>
              <w:jc w:val="center"/>
              <w:rPr>
                <w:rFonts w:hint="eastAsia" w:ascii="Times New Roman" w:hAnsi="Times New Roman" w:eastAsia="仿宋_GB2312" w:cs="Times New Roman"/>
                <w:kern w:val="2"/>
                <w:sz w:val="20"/>
                <w:szCs w:val="20"/>
                <w:lang w:val="en-US" w:eastAsia="zh-CN" w:bidi="ar-SA"/>
              </w:rPr>
            </w:pPr>
          </w:p>
        </w:tc>
        <w:tc>
          <w:tcPr>
            <w:tcW w:w="706" w:type="dxa"/>
            <w:vAlign w:val="center"/>
          </w:tcPr>
          <w:p>
            <w:pPr>
              <w:spacing w:line="300" w:lineRule="exact"/>
              <w:jc w:val="center"/>
              <w:rPr>
                <w:rFonts w:hint="eastAsia" w:ascii="Times New Roman" w:hAnsi="Times New Roman" w:eastAsia="仿宋_GB2312" w:cs="Times New Roman"/>
                <w:kern w:val="2"/>
                <w:sz w:val="20"/>
                <w:szCs w:val="20"/>
                <w:lang w:val="en-US" w:eastAsia="zh-CN" w:bidi="ar-SA"/>
              </w:rPr>
            </w:pPr>
          </w:p>
        </w:tc>
        <w:tc>
          <w:tcPr>
            <w:tcW w:w="4697" w:type="dxa"/>
            <w:vAlign w:val="center"/>
          </w:tcPr>
          <w:p>
            <w:pPr>
              <w:pStyle w:val="2"/>
              <w:numPr>
                <w:ilvl w:val="0"/>
                <w:numId w:val="0"/>
              </w:numPr>
              <w:rPr>
                <w:rFonts w:hint="default"/>
                <w:lang w:val="en-US" w:eastAsia="zh-CN"/>
              </w:rPr>
            </w:pPr>
          </w:p>
        </w:tc>
        <w:tc>
          <w:tcPr>
            <w:tcW w:w="1125" w:type="dxa"/>
            <w:vAlign w:val="center"/>
          </w:tcPr>
          <w:p>
            <w:pPr>
              <w:spacing w:line="300" w:lineRule="exact"/>
              <w:jc w:val="center"/>
              <w:rPr>
                <w:rFonts w:hint="eastAsia" w:ascii="Times New Roman" w:hAnsi="Times New Roman" w:eastAsia="仿宋_GB2312"/>
                <w:sz w:val="20"/>
                <w:szCs w:val="20"/>
                <w:lang w:eastAsia="zh-CN"/>
              </w:rPr>
            </w:pPr>
            <w:r>
              <w:rPr>
                <w:rFonts w:hint="eastAsia" w:ascii="Times New Roman" w:hAnsi="Times New Roman" w:eastAsia="仿宋_GB2312"/>
                <w:sz w:val="20"/>
                <w:szCs w:val="20"/>
                <w:lang w:eastAsia="zh-CN"/>
              </w:rPr>
              <w:t>企业停产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527" w:type="dxa"/>
            <w:vAlign w:val="center"/>
          </w:tcPr>
          <w:p>
            <w:pPr>
              <w:widowControl/>
              <w:jc w:val="center"/>
              <w:textAlignment w:val="center"/>
              <w:rPr>
                <w:rFonts w:hint="default" w:ascii="Times New Roman" w:hAnsi="Times New Roman"/>
                <w:color w:val="000000"/>
                <w:kern w:val="0"/>
                <w:sz w:val="20"/>
                <w:szCs w:val="20"/>
                <w:lang w:val="en-US" w:eastAsia="zh-CN"/>
              </w:rPr>
            </w:pPr>
            <w:r>
              <w:rPr>
                <w:rFonts w:hint="eastAsia" w:ascii="Times New Roman" w:hAnsi="Times New Roman"/>
                <w:color w:val="000000"/>
                <w:kern w:val="0"/>
                <w:sz w:val="20"/>
                <w:szCs w:val="20"/>
                <w:lang w:val="en-US" w:eastAsia="zh-CN"/>
              </w:rPr>
              <w:t>9</w:t>
            </w:r>
          </w:p>
        </w:tc>
        <w:tc>
          <w:tcPr>
            <w:tcW w:w="1622" w:type="dxa"/>
            <w:vAlign w:val="center"/>
          </w:tcPr>
          <w:p>
            <w:pPr>
              <w:spacing w:line="300" w:lineRule="exact"/>
              <w:jc w:val="center"/>
              <w:rPr>
                <w:rFonts w:hint="eastAsia"/>
                <w:lang w:eastAsia="zh-CN"/>
              </w:rPr>
            </w:pPr>
            <w:r>
              <w:rPr>
                <w:rFonts w:hint="eastAsia"/>
                <w:lang w:eastAsia="zh-CN"/>
              </w:rPr>
              <w:t>湖南博隆矿业开发有限公司</w:t>
            </w:r>
          </w:p>
        </w:tc>
        <w:tc>
          <w:tcPr>
            <w:tcW w:w="666" w:type="dxa"/>
            <w:vAlign w:val="center"/>
          </w:tcPr>
          <w:p>
            <w:pPr>
              <w:spacing w:line="300" w:lineRule="exact"/>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3.22</w:t>
            </w:r>
          </w:p>
        </w:tc>
        <w:tc>
          <w:tcPr>
            <w:tcW w:w="5371" w:type="dxa"/>
            <w:vAlign w:val="center"/>
          </w:tcPr>
          <w:p>
            <w:pPr>
              <w:pStyle w:val="2"/>
              <w:numPr>
                <w:ilvl w:val="0"/>
                <w:numId w:val="0"/>
              </w:numPr>
              <w:ind w:leftChars="0"/>
              <w:rPr>
                <w:rFonts w:hint="eastAsia"/>
              </w:rPr>
            </w:pPr>
            <w:r>
              <w:rPr>
                <w:rFonts w:hint="eastAsia"/>
              </w:rPr>
              <w:t>1、-58m车场底部1台低压开关柜供给绞车、风机电源的出线电缆没有保护接地芯</w:t>
            </w:r>
            <w:bookmarkStart w:id="0" w:name="_GoBack"/>
            <w:bookmarkEnd w:id="0"/>
            <w:r>
              <w:rPr>
                <w:rFonts w:hint="eastAsia"/>
              </w:rPr>
              <w:t>线；</w:t>
            </w:r>
          </w:p>
          <w:p>
            <w:pPr>
              <w:pStyle w:val="2"/>
              <w:numPr>
                <w:ilvl w:val="0"/>
                <w:numId w:val="0"/>
              </w:numPr>
              <w:ind w:leftChars="0"/>
              <w:rPr>
                <w:rFonts w:hint="eastAsia"/>
              </w:rPr>
            </w:pPr>
            <w:r>
              <w:rPr>
                <w:rFonts w:hint="eastAsia"/>
              </w:rPr>
              <w:t>2、±0m中段大巷电力电缆敷设在通信（光缆）电缆上方；</w:t>
            </w:r>
          </w:p>
          <w:p>
            <w:pPr>
              <w:pStyle w:val="2"/>
              <w:numPr>
                <w:ilvl w:val="0"/>
                <w:numId w:val="0"/>
              </w:numPr>
              <w:ind w:leftChars="0"/>
              <w:rPr>
                <w:rFonts w:hint="eastAsia"/>
              </w:rPr>
            </w:pPr>
            <w:r>
              <w:rPr>
                <w:rFonts w:hint="eastAsia"/>
              </w:rPr>
              <w:t>3、-120m中段水泵房变电所备用变压器坏了未维修好，仅1台变压器运行；</w:t>
            </w:r>
          </w:p>
          <w:p>
            <w:pPr>
              <w:pStyle w:val="2"/>
              <w:numPr>
                <w:ilvl w:val="0"/>
                <w:numId w:val="0"/>
              </w:numPr>
              <w:ind w:leftChars="0"/>
              <w:rPr>
                <w:rFonts w:hint="eastAsia"/>
              </w:rPr>
            </w:pPr>
            <w:r>
              <w:rPr>
                <w:rFonts w:hint="eastAsia"/>
              </w:rPr>
              <w:t>4、井下-120中段水泵房变电所动力变压器未编号，供配电系统图上变压器型号与实际型号不相符；</w:t>
            </w:r>
          </w:p>
          <w:p>
            <w:pPr>
              <w:pStyle w:val="2"/>
              <w:numPr>
                <w:ilvl w:val="0"/>
                <w:numId w:val="0"/>
              </w:numPr>
              <w:ind w:leftChars="0"/>
              <w:rPr>
                <w:rFonts w:hint="eastAsia"/>
              </w:rPr>
            </w:pPr>
            <w:r>
              <w:rPr>
                <w:rFonts w:hint="eastAsia"/>
              </w:rPr>
              <w:t>5、-230m主通风机房测量风压、风量及轴承温度的仪表损坏；</w:t>
            </w:r>
          </w:p>
          <w:p>
            <w:pPr>
              <w:pStyle w:val="2"/>
              <w:numPr>
                <w:ilvl w:val="0"/>
                <w:numId w:val="0"/>
              </w:numPr>
              <w:ind w:leftChars="0"/>
              <w:rPr>
                <w:rFonts w:hint="eastAsia"/>
              </w:rPr>
            </w:pPr>
            <w:r>
              <w:rPr>
                <w:rFonts w:hint="eastAsia"/>
              </w:rPr>
              <w:t>6、每月由矿机电部门组织对主井提升系统各部分检査1次的检查记录仅1人签名；</w:t>
            </w:r>
          </w:p>
          <w:p>
            <w:pPr>
              <w:pStyle w:val="2"/>
              <w:numPr>
                <w:ilvl w:val="0"/>
                <w:numId w:val="0"/>
              </w:numPr>
              <w:ind w:leftChars="0"/>
              <w:rPr>
                <w:rFonts w:hint="eastAsia"/>
              </w:rPr>
            </w:pPr>
            <w:r>
              <w:rPr>
                <w:rFonts w:hint="eastAsia"/>
              </w:rPr>
              <w:t>7、-80m9线绞车房未悬挂提升系统图、制动系统图、电气控制原理图和提升系统的技术特征等；</w:t>
            </w:r>
          </w:p>
          <w:p>
            <w:pPr>
              <w:pStyle w:val="2"/>
              <w:numPr>
                <w:ilvl w:val="0"/>
                <w:numId w:val="0"/>
              </w:numPr>
              <w:ind w:leftChars="0"/>
              <w:rPr>
                <w:rFonts w:hint="eastAsia"/>
              </w:rPr>
            </w:pPr>
            <w:r>
              <w:rPr>
                <w:rFonts w:hint="eastAsia"/>
              </w:rPr>
              <w:t>8、尾矿库应急道路局部段存在松散填土，应尽快夯实避免雨水状态下沉陷。</w:t>
            </w:r>
          </w:p>
        </w:tc>
        <w:tc>
          <w:tcPr>
            <w:tcW w:w="1016" w:type="dxa"/>
            <w:vAlign w:val="center"/>
          </w:tcPr>
          <w:p>
            <w:pPr>
              <w:spacing w:line="300" w:lineRule="exact"/>
              <w:jc w:val="center"/>
              <w:rPr>
                <w:rFonts w:hint="default" w:ascii="Times New Roman" w:hAnsi="Times New Roman" w:eastAsia="仿宋_GB2312" w:cs="Times New Roman"/>
                <w:kern w:val="2"/>
                <w:sz w:val="20"/>
                <w:szCs w:val="20"/>
                <w:lang w:val="en-US" w:eastAsia="zh-CN" w:bidi="ar-SA"/>
              </w:rPr>
            </w:pPr>
            <w:r>
              <w:rPr>
                <w:rFonts w:hint="eastAsia" w:ascii="Times New Roman" w:hAnsi="Times New Roman" w:eastAsia="仿宋_GB2312" w:cs="Times New Roman"/>
                <w:kern w:val="2"/>
                <w:sz w:val="20"/>
                <w:szCs w:val="20"/>
                <w:lang w:val="en-US" w:eastAsia="zh-CN" w:bidi="ar-SA"/>
              </w:rPr>
              <w:t>4.10</w:t>
            </w:r>
          </w:p>
        </w:tc>
        <w:tc>
          <w:tcPr>
            <w:tcW w:w="706" w:type="dxa"/>
            <w:vAlign w:val="center"/>
          </w:tcPr>
          <w:p>
            <w:pPr>
              <w:spacing w:line="300" w:lineRule="exact"/>
              <w:jc w:val="center"/>
              <w:rPr>
                <w:rFonts w:hint="default" w:ascii="Times New Roman" w:hAnsi="Times New Roman" w:eastAsia="仿宋_GB2312" w:cs="Times New Roman"/>
                <w:kern w:val="2"/>
                <w:sz w:val="20"/>
                <w:szCs w:val="20"/>
                <w:lang w:val="en-US" w:eastAsia="zh-CN" w:bidi="ar-SA"/>
              </w:rPr>
            </w:pPr>
            <w:r>
              <w:rPr>
                <w:rFonts w:hint="eastAsia" w:ascii="Times New Roman" w:hAnsi="Times New Roman" w:eastAsia="仿宋_GB2312" w:cs="Times New Roman"/>
                <w:kern w:val="2"/>
                <w:sz w:val="20"/>
                <w:szCs w:val="20"/>
                <w:lang w:val="en-US" w:eastAsia="zh-CN" w:bidi="ar-SA"/>
              </w:rPr>
              <w:t>4.15</w:t>
            </w:r>
          </w:p>
        </w:tc>
        <w:tc>
          <w:tcPr>
            <w:tcW w:w="4697" w:type="dxa"/>
            <w:vAlign w:val="center"/>
          </w:tcPr>
          <w:p>
            <w:pPr>
              <w:keepNext w:val="0"/>
              <w:keepLines w:val="0"/>
              <w:widowControl/>
              <w:suppressLineNumbers w:val="0"/>
              <w:jc w:val="left"/>
              <w:rPr>
                <w:rFonts w:hint="eastAsia"/>
              </w:rPr>
            </w:pPr>
            <w:r>
              <w:rPr>
                <w:rFonts w:hint="eastAsia"/>
              </w:rPr>
              <w:t>1、-58m车场底部1台低压开关柜</w:t>
            </w:r>
            <w:r>
              <w:rPr>
                <w:rFonts w:hint="eastAsia"/>
                <w:lang w:eastAsia="zh-CN"/>
              </w:rPr>
              <w:t>已</w:t>
            </w:r>
            <w:r>
              <w:rPr>
                <w:rFonts w:hint="eastAsia"/>
                <w:lang w:val="en-US" w:eastAsia="zh-CN"/>
              </w:rPr>
              <w:t>加装保护接地芯线</w:t>
            </w:r>
            <w:r>
              <w:rPr>
                <w:rFonts w:hint="eastAsia"/>
              </w:rPr>
              <w:t>；</w:t>
            </w:r>
          </w:p>
          <w:p>
            <w:pPr>
              <w:keepNext w:val="0"/>
              <w:keepLines w:val="0"/>
              <w:widowControl/>
              <w:suppressLineNumbers w:val="0"/>
              <w:jc w:val="left"/>
              <w:rPr>
                <w:rFonts w:hint="eastAsia"/>
                <w:lang w:val="en-US" w:eastAsia="zh-CN"/>
              </w:rPr>
            </w:pPr>
            <w:r>
              <w:rPr>
                <w:rFonts w:hint="eastAsia"/>
                <w:lang w:val="en-US" w:eastAsia="zh-CN"/>
              </w:rPr>
              <w:t>2、已调整电力、通信缆线相对位置；</w:t>
            </w:r>
          </w:p>
          <w:p>
            <w:pPr>
              <w:pStyle w:val="2"/>
              <w:numPr>
                <w:ilvl w:val="0"/>
                <w:numId w:val="0"/>
              </w:numPr>
              <w:ind w:leftChars="0"/>
              <w:rPr>
                <w:rFonts w:hint="eastAsia"/>
              </w:rPr>
            </w:pPr>
            <w:r>
              <w:rPr>
                <w:rFonts w:hint="eastAsia"/>
              </w:rPr>
              <w:t>3、-120m中段水泵房变电所备用变压器</w:t>
            </w:r>
            <w:r>
              <w:rPr>
                <w:rFonts w:hint="eastAsia"/>
                <w:lang w:eastAsia="zh-CN"/>
              </w:rPr>
              <w:t>已</w:t>
            </w:r>
            <w:r>
              <w:rPr>
                <w:rFonts w:hint="eastAsia"/>
              </w:rPr>
              <w:t>维修好；</w:t>
            </w:r>
          </w:p>
          <w:p>
            <w:pPr>
              <w:pStyle w:val="2"/>
              <w:numPr>
                <w:ilvl w:val="0"/>
                <w:numId w:val="0"/>
              </w:numPr>
              <w:ind w:leftChars="0"/>
              <w:rPr>
                <w:rFonts w:hint="eastAsia"/>
              </w:rPr>
            </w:pPr>
            <w:r>
              <w:rPr>
                <w:rFonts w:hint="eastAsia"/>
              </w:rPr>
              <w:t>4、井下-120中段水泵房变电所动力变压器实行编号管理，更新图纸；</w:t>
            </w:r>
          </w:p>
          <w:p>
            <w:pPr>
              <w:pStyle w:val="2"/>
              <w:numPr>
                <w:ilvl w:val="0"/>
                <w:numId w:val="0"/>
              </w:numPr>
              <w:ind w:leftChars="0"/>
              <w:rPr>
                <w:rFonts w:hint="eastAsia"/>
              </w:rPr>
            </w:pPr>
            <w:r>
              <w:rPr>
                <w:rFonts w:hint="eastAsia"/>
              </w:rPr>
              <w:t>5、-230m主通风机房测量风压、风量及轴承温度的仪表</w:t>
            </w:r>
            <w:r>
              <w:rPr>
                <w:rFonts w:hint="eastAsia"/>
                <w:lang w:eastAsia="zh-CN"/>
              </w:rPr>
              <w:t>已维修好</w:t>
            </w:r>
            <w:r>
              <w:rPr>
                <w:rFonts w:hint="eastAsia"/>
              </w:rPr>
              <w:t>；</w:t>
            </w:r>
          </w:p>
          <w:p>
            <w:pPr>
              <w:pStyle w:val="2"/>
              <w:numPr>
                <w:ilvl w:val="0"/>
                <w:numId w:val="0"/>
              </w:numPr>
              <w:ind w:leftChars="0"/>
              <w:rPr>
                <w:rFonts w:hint="eastAsia"/>
              </w:rPr>
            </w:pPr>
            <w:r>
              <w:rPr>
                <w:rFonts w:hint="eastAsia"/>
              </w:rPr>
              <w:t>6、</w:t>
            </w:r>
            <w:r>
              <w:rPr>
                <w:rFonts w:hint="eastAsia"/>
                <w:lang w:eastAsia="zh-CN"/>
              </w:rPr>
              <w:t>已规范</w:t>
            </w:r>
            <w:r>
              <w:rPr>
                <w:rFonts w:hint="eastAsia"/>
              </w:rPr>
              <w:t>月检</w:t>
            </w:r>
            <w:r>
              <w:rPr>
                <w:rFonts w:hint="eastAsia"/>
                <w:lang w:eastAsia="zh-CN"/>
              </w:rPr>
              <w:t>查</w:t>
            </w:r>
            <w:r>
              <w:rPr>
                <w:rFonts w:hint="eastAsia"/>
              </w:rPr>
              <w:t>记录；</w:t>
            </w:r>
          </w:p>
          <w:p>
            <w:pPr>
              <w:pStyle w:val="2"/>
              <w:numPr>
                <w:ilvl w:val="0"/>
                <w:numId w:val="0"/>
              </w:numPr>
              <w:ind w:leftChars="0"/>
              <w:rPr>
                <w:rFonts w:hint="eastAsia"/>
              </w:rPr>
            </w:pPr>
            <w:r>
              <w:rPr>
                <w:rFonts w:hint="eastAsia"/>
              </w:rPr>
              <w:t>7、-80m9线绞车房</w:t>
            </w:r>
            <w:r>
              <w:rPr>
                <w:rFonts w:hint="eastAsia"/>
                <w:lang w:eastAsia="zh-CN"/>
              </w:rPr>
              <w:t>已</w:t>
            </w:r>
            <w:r>
              <w:rPr>
                <w:rFonts w:hint="eastAsia"/>
              </w:rPr>
              <w:t>悬挂提升系统图、制动系统图、电气控制原理图和提升系统的技术特征等；</w:t>
            </w:r>
          </w:p>
          <w:p>
            <w:pPr>
              <w:pStyle w:val="2"/>
              <w:numPr>
                <w:ilvl w:val="0"/>
                <w:numId w:val="0"/>
              </w:numPr>
              <w:rPr>
                <w:rFonts w:hint="default"/>
                <w:lang w:val="en-US" w:eastAsia="zh-CN"/>
              </w:rPr>
            </w:pPr>
            <w:r>
              <w:rPr>
                <w:rFonts w:hint="eastAsia"/>
              </w:rPr>
              <w:t>8、</w:t>
            </w:r>
            <w:r>
              <w:rPr>
                <w:rFonts w:hint="eastAsia"/>
                <w:lang w:eastAsia="zh-CN"/>
              </w:rPr>
              <w:t>已</w:t>
            </w:r>
            <w:r>
              <w:rPr>
                <w:rFonts w:hint="eastAsia"/>
              </w:rPr>
              <w:t>平整夯实局部路面。</w:t>
            </w:r>
          </w:p>
        </w:tc>
        <w:tc>
          <w:tcPr>
            <w:tcW w:w="1125" w:type="dxa"/>
            <w:vAlign w:val="center"/>
          </w:tcPr>
          <w:p>
            <w:pPr>
              <w:spacing w:line="300" w:lineRule="exact"/>
              <w:jc w:val="center"/>
              <w:rPr>
                <w:rFonts w:hint="eastAsia" w:ascii="Times New Roman" w:hAnsi="Times New Roman" w:eastAsia="仿宋_GB2312"/>
                <w:sz w:val="20"/>
                <w:szCs w:val="20"/>
                <w:lang w:eastAsia="zh-CN"/>
              </w:rPr>
            </w:pPr>
          </w:p>
        </w:tc>
      </w:tr>
    </w:tbl>
    <w:p>
      <w:pPr>
        <w:spacing w:line="20" w:lineRule="exact"/>
      </w:pPr>
    </w:p>
    <w:sectPr>
      <w:headerReference r:id="rId3" w:type="default"/>
      <w:footerReference r:id="rId4" w:type="default"/>
      <w:footerReference r:id="rId5" w:type="even"/>
      <w:pgSz w:w="16838" w:h="11906" w:orient="landscape"/>
      <w:pgMar w:top="1701" w:right="1247" w:bottom="1134" w:left="124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asciiTheme="minorEastAsia" w:hAnsiTheme="minorEastAsia" w:eastAsiaTheme="minorEastAsia" w:cstheme="minorEastAsia"/>
        <w:sz w:val="24"/>
        <w:szCs w:val="24"/>
      </w:rPr>
    </w:pPr>
    <w:r>
      <w:rPr>
        <w:rStyle w:val="8"/>
        <w:rFonts w:hint="eastAsia" w:asciiTheme="minorEastAsia" w:hAnsiTheme="minorEastAsia" w:eastAsiaTheme="minorEastAsia" w:cstheme="minorEastAsia"/>
        <w:sz w:val="24"/>
        <w:szCs w:val="24"/>
      </w:rPr>
      <w:fldChar w:fldCharType="begin"/>
    </w:r>
    <w:r>
      <w:rPr>
        <w:rStyle w:val="8"/>
        <w:rFonts w:hint="eastAsia" w:asciiTheme="minorEastAsia" w:hAnsiTheme="minorEastAsia" w:eastAsiaTheme="minorEastAsia" w:cstheme="minorEastAsia"/>
        <w:sz w:val="24"/>
        <w:szCs w:val="24"/>
      </w:rPr>
      <w:instrText xml:space="preserve">PAGE  </w:instrText>
    </w:r>
    <w:r>
      <w:rPr>
        <w:rStyle w:val="8"/>
        <w:rFonts w:hint="eastAsia" w:asciiTheme="minorEastAsia" w:hAnsiTheme="minorEastAsia" w:eastAsiaTheme="minorEastAsia" w:cstheme="minorEastAsia"/>
        <w:sz w:val="24"/>
        <w:szCs w:val="24"/>
      </w:rPr>
      <w:fldChar w:fldCharType="separate"/>
    </w:r>
    <w:r>
      <w:rPr>
        <w:rStyle w:val="8"/>
        <w:rFonts w:asciiTheme="minorEastAsia" w:hAnsiTheme="minorEastAsia" w:eastAsiaTheme="minorEastAsia" w:cstheme="minorEastAsia"/>
        <w:sz w:val="24"/>
        <w:szCs w:val="24"/>
      </w:rPr>
      <w:t>- 3 -</w:t>
    </w:r>
    <w:r>
      <w:rPr>
        <w:rStyle w:val="8"/>
        <w:rFonts w:hint="eastAsia" w:asciiTheme="minorEastAsia" w:hAnsiTheme="minorEastAsia" w:eastAsiaTheme="minorEastAsia" w:cstheme="minorEastAsia"/>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24A873"/>
    <w:multiLevelType w:val="singleLevel"/>
    <w:tmpl w:val="5C24A87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lmMzRjNzdiNWUxNDU1YzNlOTNjMTM0OTZmYWRiYWEifQ=="/>
    <w:docVar w:name="KSO_WPS_MARK_KEY" w:val="2c269d7b-b241-4856-bd7d-308ff7d05163"/>
  </w:docVars>
  <w:rsids>
    <w:rsidRoot w:val="00D160A8"/>
    <w:rsid w:val="000001C7"/>
    <w:rsid w:val="000034A8"/>
    <w:rsid w:val="00003F36"/>
    <w:rsid w:val="0001061F"/>
    <w:rsid w:val="00010F42"/>
    <w:rsid w:val="000122E8"/>
    <w:rsid w:val="0001628C"/>
    <w:rsid w:val="00021248"/>
    <w:rsid w:val="00025181"/>
    <w:rsid w:val="00031F35"/>
    <w:rsid w:val="00033ACC"/>
    <w:rsid w:val="00042D68"/>
    <w:rsid w:val="00052601"/>
    <w:rsid w:val="00056503"/>
    <w:rsid w:val="00062CC8"/>
    <w:rsid w:val="00072BF5"/>
    <w:rsid w:val="00073398"/>
    <w:rsid w:val="00073BCA"/>
    <w:rsid w:val="00073EAE"/>
    <w:rsid w:val="00074286"/>
    <w:rsid w:val="00074E7C"/>
    <w:rsid w:val="00076411"/>
    <w:rsid w:val="00076493"/>
    <w:rsid w:val="000827C6"/>
    <w:rsid w:val="00093283"/>
    <w:rsid w:val="0009577E"/>
    <w:rsid w:val="000A65CD"/>
    <w:rsid w:val="000B0C7A"/>
    <w:rsid w:val="000B6DB9"/>
    <w:rsid w:val="000C305D"/>
    <w:rsid w:val="000C33D7"/>
    <w:rsid w:val="000D08FC"/>
    <w:rsid w:val="000D293D"/>
    <w:rsid w:val="000D3336"/>
    <w:rsid w:val="000D39C7"/>
    <w:rsid w:val="000D4A0B"/>
    <w:rsid w:val="000D730E"/>
    <w:rsid w:val="000E05A1"/>
    <w:rsid w:val="000E4FC1"/>
    <w:rsid w:val="000E7B87"/>
    <w:rsid w:val="000F0483"/>
    <w:rsid w:val="000F33A0"/>
    <w:rsid w:val="000F3D0D"/>
    <w:rsid w:val="000F5548"/>
    <w:rsid w:val="000F7E9E"/>
    <w:rsid w:val="0010280E"/>
    <w:rsid w:val="00103CE6"/>
    <w:rsid w:val="00106ECD"/>
    <w:rsid w:val="0011061D"/>
    <w:rsid w:val="00113727"/>
    <w:rsid w:val="00114378"/>
    <w:rsid w:val="0011770E"/>
    <w:rsid w:val="00122732"/>
    <w:rsid w:val="00123F54"/>
    <w:rsid w:val="00126179"/>
    <w:rsid w:val="00131C99"/>
    <w:rsid w:val="0013481B"/>
    <w:rsid w:val="001362F2"/>
    <w:rsid w:val="0013702F"/>
    <w:rsid w:val="00141CF3"/>
    <w:rsid w:val="00143024"/>
    <w:rsid w:val="00145BB8"/>
    <w:rsid w:val="00162EE6"/>
    <w:rsid w:val="0016311B"/>
    <w:rsid w:val="00163E00"/>
    <w:rsid w:val="0017145A"/>
    <w:rsid w:val="00172317"/>
    <w:rsid w:val="00175881"/>
    <w:rsid w:val="001835E6"/>
    <w:rsid w:val="001846D8"/>
    <w:rsid w:val="00190C86"/>
    <w:rsid w:val="00191296"/>
    <w:rsid w:val="00196ABE"/>
    <w:rsid w:val="001A0A62"/>
    <w:rsid w:val="001A29F4"/>
    <w:rsid w:val="001B38E3"/>
    <w:rsid w:val="001B474A"/>
    <w:rsid w:val="001B5AA0"/>
    <w:rsid w:val="001C6E39"/>
    <w:rsid w:val="001C7256"/>
    <w:rsid w:val="001C79A2"/>
    <w:rsid w:val="001D0899"/>
    <w:rsid w:val="001E19BA"/>
    <w:rsid w:val="001E2CFC"/>
    <w:rsid w:val="001F2330"/>
    <w:rsid w:val="001F30F8"/>
    <w:rsid w:val="001F3401"/>
    <w:rsid w:val="0020318B"/>
    <w:rsid w:val="00203AC6"/>
    <w:rsid w:val="0020495C"/>
    <w:rsid w:val="00213416"/>
    <w:rsid w:val="00214C27"/>
    <w:rsid w:val="00223C79"/>
    <w:rsid w:val="0022775A"/>
    <w:rsid w:val="00233246"/>
    <w:rsid w:val="00233645"/>
    <w:rsid w:val="00233DA8"/>
    <w:rsid w:val="0023527E"/>
    <w:rsid w:val="00236A73"/>
    <w:rsid w:val="00243151"/>
    <w:rsid w:val="0024421B"/>
    <w:rsid w:val="002446C4"/>
    <w:rsid w:val="00244AA5"/>
    <w:rsid w:val="002502A5"/>
    <w:rsid w:val="002516D5"/>
    <w:rsid w:val="0026012F"/>
    <w:rsid w:val="00260A81"/>
    <w:rsid w:val="00262C62"/>
    <w:rsid w:val="00262CC3"/>
    <w:rsid w:val="00272399"/>
    <w:rsid w:val="00275A32"/>
    <w:rsid w:val="00281439"/>
    <w:rsid w:val="0028181B"/>
    <w:rsid w:val="002821A1"/>
    <w:rsid w:val="00285E9F"/>
    <w:rsid w:val="002A368F"/>
    <w:rsid w:val="002B509E"/>
    <w:rsid w:val="002B64A2"/>
    <w:rsid w:val="002B6C08"/>
    <w:rsid w:val="002D4294"/>
    <w:rsid w:val="002F257B"/>
    <w:rsid w:val="0030173D"/>
    <w:rsid w:val="00302E77"/>
    <w:rsid w:val="00302EC8"/>
    <w:rsid w:val="00320123"/>
    <w:rsid w:val="00324853"/>
    <w:rsid w:val="003256B4"/>
    <w:rsid w:val="00331B79"/>
    <w:rsid w:val="00333AFD"/>
    <w:rsid w:val="00333E86"/>
    <w:rsid w:val="003341D7"/>
    <w:rsid w:val="00344E29"/>
    <w:rsid w:val="00347198"/>
    <w:rsid w:val="003505A6"/>
    <w:rsid w:val="00351E86"/>
    <w:rsid w:val="00353F65"/>
    <w:rsid w:val="00353FEF"/>
    <w:rsid w:val="00355C3F"/>
    <w:rsid w:val="00356359"/>
    <w:rsid w:val="00360516"/>
    <w:rsid w:val="00361984"/>
    <w:rsid w:val="00363410"/>
    <w:rsid w:val="003673FB"/>
    <w:rsid w:val="00372570"/>
    <w:rsid w:val="003765F9"/>
    <w:rsid w:val="00380449"/>
    <w:rsid w:val="003814A5"/>
    <w:rsid w:val="00382DC2"/>
    <w:rsid w:val="003833D0"/>
    <w:rsid w:val="00386283"/>
    <w:rsid w:val="00387E00"/>
    <w:rsid w:val="00394438"/>
    <w:rsid w:val="00394827"/>
    <w:rsid w:val="00395DF4"/>
    <w:rsid w:val="00397976"/>
    <w:rsid w:val="003B367E"/>
    <w:rsid w:val="003B4056"/>
    <w:rsid w:val="003B6F0E"/>
    <w:rsid w:val="003B739E"/>
    <w:rsid w:val="003C404F"/>
    <w:rsid w:val="003E0DD4"/>
    <w:rsid w:val="003E3604"/>
    <w:rsid w:val="003E3F7E"/>
    <w:rsid w:val="003E6B34"/>
    <w:rsid w:val="003F170A"/>
    <w:rsid w:val="003F1769"/>
    <w:rsid w:val="003F2157"/>
    <w:rsid w:val="003F2D02"/>
    <w:rsid w:val="003F3EC0"/>
    <w:rsid w:val="003F6FCD"/>
    <w:rsid w:val="00403B2A"/>
    <w:rsid w:val="00413B04"/>
    <w:rsid w:val="00414AEC"/>
    <w:rsid w:val="00414DE9"/>
    <w:rsid w:val="00415C50"/>
    <w:rsid w:val="004200AB"/>
    <w:rsid w:val="00421EAD"/>
    <w:rsid w:val="00425D4F"/>
    <w:rsid w:val="004263BA"/>
    <w:rsid w:val="00430201"/>
    <w:rsid w:val="00430580"/>
    <w:rsid w:val="00431DAF"/>
    <w:rsid w:val="0043612F"/>
    <w:rsid w:val="0043796D"/>
    <w:rsid w:val="00437ACF"/>
    <w:rsid w:val="00440742"/>
    <w:rsid w:val="00442EEA"/>
    <w:rsid w:val="00452BC3"/>
    <w:rsid w:val="00454508"/>
    <w:rsid w:val="004663C4"/>
    <w:rsid w:val="0046779C"/>
    <w:rsid w:val="0048466C"/>
    <w:rsid w:val="004856F0"/>
    <w:rsid w:val="00486BFA"/>
    <w:rsid w:val="0049350C"/>
    <w:rsid w:val="004A4D73"/>
    <w:rsid w:val="004B065D"/>
    <w:rsid w:val="004B1F8B"/>
    <w:rsid w:val="004C6D98"/>
    <w:rsid w:val="004C7605"/>
    <w:rsid w:val="004D0D5F"/>
    <w:rsid w:val="004D2F78"/>
    <w:rsid w:val="004D36E6"/>
    <w:rsid w:val="004D4762"/>
    <w:rsid w:val="004D79AD"/>
    <w:rsid w:val="004E2EDE"/>
    <w:rsid w:val="004E396E"/>
    <w:rsid w:val="004E4D01"/>
    <w:rsid w:val="004E6301"/>
    <w:rsid w:val="004E6CED"/>
    <w:rsid w:val="004F0D96"/>
    <w:rsid w:val="004F63B0"/>
    <w:rsid w:val="00513462"/>
    <w:rsid w:val="00513DC2"/>
    <w:rsid w:val="0051709F"/>
    <w:rsid w:val="0052016E"/>
    <w:rsid w:val="005201AA"/>
    <w:rsid w:val="00523453"/>
    <w:rsid w:val="00524C79"/>
    <w:rsid w:val="00531538"/>
    <w:rsid w:val="00531B3D"/>
    <w:rsid w:val="00543614"/>
    <w:rsid w:val="00551A94"/>
    <w:rsid w:val="005543B5"/>
    <w:rsid w:val="005569B9"/>
    <w:rsid w:val="005612A5"/>
    <w:rsid w:val="00575520"/>
    <w:rsid w:val="00576617"/>
    <w:rsid w:val="00583D3D"/>
    <w:rsid w:val="00584427"/>
    <w:rsid w:val="00584553"/>
    <w:rsid w:val="00587E5D"/>
    <w:rsid w:val="00590876"/>
    <w:rsid w:val="0059155B"/>
    <w:rsid w:val="0059506E"/>
    <w:rsid w:val="005B73AD"/>
    <w:rsid w:val="005B7880"/>
    <w:rsid w:val="005B793C"/>
    <w:rsid w:val="005B7DF4"/>
    <w:rsid w:val="005C1A20"/>
    <w:rsid w:val="005C2FBD"/>
    <w:rsid w:val="005D1F35"/>
    <w:rsid w:val="005E0166"/>
    <w:rsid w:val="005E020A"/>
    <w:rsid w:val="005E2427"/>
    <w:rsid w:val="005F2FF0"/>
    <w:rsid w:val="005F41F0"/>
    <w:rsid w:val="005F4F9D"/>
    <w:rsid w:val="005F74C7"/>
    <w:rsid w:val="005F7D7B"/>
    <w:rsid w:val="00601221"/>
    <w:rsid w:val="00602372"/>
    <w:rsid w:val="00604CB9"/>
    <w:rsid w:val="0060585C"/>
    <w:rsid w:val="006249EF"/>
    <w:rsid w:val="00626108"/>
    <w:rsid w:val="00630FDB"/>
    <w:rsid w:val="0063247A"/>
    <w:rsid w:val="00634657"/>
    <w:rsid w:val="00636016"/>
    <w:rsid w:val="0063650C"/>
    <w:rsid w:val="00651EFE"/>
    <w:rsid w:val="006523F3"/>
    <w:rsid w:val="00652B53"/>
    <w:rsid w:val="00654302"/>
    <w:rsid w:val="00654AF9"/>
    <w:rsid w:val="00661EFE"/>
    <w:rsid w:val="00664675"/>
    <w:rsid w:val="006650A2"/>
    <w:rsid w:val="006655C5"/>
    <w:rsid w:val="0067067F"/>
    <w:rsid w:val="00673729"/>
    <w:rsid w:val="006834C4"/>
    <w:rsid w:val="006835B3"/>
    <w:rsid w:val="00686081"/>
    <w:rsid w:val="00687CA7"/>
    <w:rsid w:val="00690E0D"/>
    <w:rsid w:val="0069138D"/>
    <w:rsid w:val="006942BA"/>
    <w:rsid w:val="00697C33"/>
    <w:rsid w:val="006A23CF"/>
    <w:rsid w:val="006A2B87"/>
    <w:rsid w:val="006B6363"/>
    <w:rsid w:val="006B6A87"/>
    <w:rsid w:val="006B77C7"/>
    <w:rsid w:val="006C5E23"/>
    <w:rsid w:val="006C7AF9"/>
    <w:rsid w:val="006D0912"/>
    <w:rsid w:val="006D3E65"/>
    <w:rsid w:val="006D7963"/>
    <w:rsid w:val="006E0BF5"/>
    <w:rsid w:val="006E0CFE"/>
    <w:rsid w:val="006F0F89"/>
    <w:rsid w:val="006F1319"/>
    <w:rsid w:val="006F66BD"/>
    <w:rsid w:val="00702B5B"/>
    <w:rsid w:val="007119B9"/>
    <w:rsid w:val="007131C2"/>
    <w:rsid w:val="00717298"/>
    <w:rsid w:val="00717D9C"/>
    <w:rsid w:val="0072094A"/>
    <w:rsid w:val="007222F7"/>
    <w:rsid w:val="007232F2"/>
    <w:rsid w:val="00723D2D"/>
    <w:rsid w:val="00730D6F"/>
    <w:rsid w:val="00733688"/>
    <w:rsid w:val="00734215"/>
    <w:rsid w:val="00736E49"/>
    <w:rsid w:val="007404EA"/>
    <w:rsid w:val="00741F0B"/>
    <w:rsid w:val="0074562A"/>
    <w:rsid w:val="0076186A"/>
    <w:rsid w:val="00764BF1"/>
    <w:rsid w:val="00777A86"/>
    <w:rsid w:val="007A7F8A"/>
    <w:rsid w:val="007B44B4"/>
    <w:rsid w:val="007B71A7"/>
    <w:rsid w:val="007C065A"/>
    <w:rsid w:val="007C5A54"/>
    <w:rsid w:val="007E0E17"/>
    <w:rsid w:val="007E374F"/>
    <w:rsid w:val="007E40F7"/>
    <w:rsid w:val="007F22E8"/>
    <w:rsid w:val="007F5948"/>
    <w:rsid w:val="0080055B"/>
    <w:rsid w:val="00803DC5"/>
    <w:rsid w:val="00810DFD"/>
    <w:rsid w:val="00812FA4"/>
    <w:rsid w:val="00813DB9"/>
    <w:rsid w:val="00814B91"/>
    <w:rsid w:val="008156A0"/>
    <w:rsid w:val="00815A29"/>
    <w:rsid w:val="008170C9"/>
    <w:rsid w:val="0082580E"/>
    <w:rsid w:val="008318F2"/>
    <w:rsid w:val="008425CC"/>
    <w:rsid w:val="00842C8A"/>
    <w:rsid w:val="00844273"/>
    <w:rsid w:val="00845731"/>
    <w:rsid w:val="0085218E"/>
    <w:rsid w:val="00856ADF"/>
    <w:rsid w:val="00864BDE"/>
    <w:rsid w:val="00867230"/>
    <w:rsid w:val="00871DA9"/>
    <w:rsid w:val="00871EEF"/>
    <w:rsid w:val="0087202C"/>
    <w:rsid w:val="00883926"/>
    <w:rsid w:val="00884FB2"/>
    <w:rsid w:val="0088602B"/>
    <w:rsid w:val="008862BD"/>
    <w:rsid w:val="008875AE"/>
    <w:rsid w:val="00887CE1"/>
    <w:rsid w:val="00890EC3"/>
    <w:rsid w:val="00892761"/>
    <w:rsid w:val="008A18AA"/>
    <w:rsid w:val="008A3BB5"/>
    <w:rsid w:val="008A4DAD"/>
    <w:rsid w:val="008A4ED5"/>
    <w:rsid w:val="008B24D6"/>
    <w:rsid w:val="008C24BD"/>
    <w:rsid w:val="008C634C"/>
    <w:rsid w:val="008C6685"/>
    <w:rsid w:val="008D2631"/>
    <w:rsid w:val="008D4850"/>
    <w:rsid w:val="008E3412"/>
    <w:rsid w:val="008F304A"/>
    <w:rsid w:val="008F3989"/>
    <w:rsid w:val="008F3BAF"/>
    <w:rsid w:val="009003A0"/>
    <w:rsid w:val="00900DBB"/>
    <w:rsid w:val="00901626"/>
    <w:rsid w:val="00903C17"/>
    <w:rsid w:val="0091172F"/>
    <w:rsid w:val="00912A02"/>
    <w:rsid w:val="00922459"/>
    <w:rsid w:val="0092446E"/>
    <w:rsid w:val="009321BB"/>
    <w:rsid w:val="00932D2A"/>
    <w:rsid w:val="00940162"/>
    <w:rsid w:val="009450D9"/>
    <w:rsid w:val="009526F3"/>
    <w:rsid w:val="0095610A"/>
    <w:rsid w:val="00956664"/>
    <w:rsid w:val="00957CAA"/>
    <w:rsid w:val="00964F54"/>
    <w:rsid w:val="00966533"/>
    <w:rsid w:val="00967078"/>
    <w:rsid w:val="00973991"/>
    <w:rsid w:val="00973C30"/>
    <w:rsid w:val="009813C9"/>
    <w:rsid w:val="00984A5D"/>
    <w:rsid w:val="00991640"/>
    <w:rsid w:val="0099190E"/>
    <w:rsid w:val="009937DD"/>
    <w:rsid w:val="009A10F1"/>
    <w:rsid w:val="009A7696"/>
    <w:rsid w:val="009B1F88"/>
    <w:rsid w:val="009B3E1D"/>
    <w:rsid w:val="009B41B5"/>
    <w:rsid w:val="009B7D43"/>
    <w:rsid w:val="009C04BD"/>
    <w:rsid w:val="009C5442"/>
    <w:rsid w:val="009C7566"/>
    <w:rsid w:val="009D171F"/>
    <w:rsid w:val="009D5AB2"/>
    <w:rsid w:val="009D7114"/>
    <w:rsid w:val="009E564B"/>
    <w:rsid w:val="009F021D"/>
    <w:rsid w:val="009F32A6"/>
    <w:rsid w:val="009F403E"/>
    <w:rsid w:val="009F438D"/>
    <w:rsid w:val="009F4D32"/>
    <w:rsid w:val="009F4FAA"/>
    <w:rsid w:val="009F5354"/>
    <w:rsid w:val="00A01784"/>
    <w:rsid w:val="00A03157"/>
    <w:rsid w:val="00A152ED"/>
    <w:rsid w:val="00A160B9"/>
    <w:rsid w:val="00A17CEA"/>
    <w:rsid w:val="00A20700"/>
    <w:rsid w:val="00A2470E"/>
    <w:rsid w:val="00A25F04"/>
    <w:rsid w:val="00A35EFD"/>
    <w:rsid w:val="00A57614"/>
    <w:rsid w:val="00A57732"/>
    <w:rsid w:val="00A604AC"/>
    <w:rsid w:val="00A618CD"/>
    <w:rsid w:val="00A63F13"/>
    <w:rsid w:val="00A66595"/>
    <w:rsid w:val="00A6761B"/>
    <w:rsid w:val="00A70985"/>
    <w:rsid w:val="00A709BF"/>
    <w:rsid w:val="00A70CE8"/>
    <w:rsid w:val="00A735CD"/>
    <w:rsid w:val="00A75E0D"/>
    <w:rsid w:val="00A8796A"/>
    <w:rsid w:val="00A95C31"/>
    <w:rsid w:val="00AA4357"/>
    <w:rsid w:val="00AA472A"/>
    <w:rsid w:val="00AA61D1"/>
    <w:rsid w:val="00AA739B"/>
    <w:rsid w:val="00AB08C4"/>
    <w:rsid w:val="00AB2468"/>
    <w:rsid w:val="00AB3C68"/>
    <w:rsid w:val="00AB6D97"/>
    <w:rsid w:val="00AC066D"/>
    <w:rsid w:val="00AC3970"/>
    <w:rsid w:val="00AC5C16"/>
    <w:rsid w:val="00AC6054"/>
    <w:rsid w:val="00AC7C12"/>
    <w:rsid w:val="00AD7D5C"/>
    <w:rsid w:val="00AE0BBA"/>
    <w:rsid w:val="00AE115C"/>
    <w:rsid w:val="00AE2E5D"/>
    <w:rsid w:val="00AE4D8B"/>
    <w:rsid w:val="00AE640C"/>
    <w:rsid w:val="00AF2094"/>
    <w:rsid w:val="00AF24CE"/>
    <w:rsid w:val="00AF6942"/>
    <w:rsid w:val="00B0410C"/>
    <w:rsid w:val="00B13503"/>
    <w:rsid w:val="00B13DBA"/>
    <w:rsid w:val="00B22431"/>
    <w:rsid w:val="00B22DBD"/>
    <w:rsid w:val="00B270CB"/>
    <w:rsid w:val="00B32FDD"/>
    <w:rsid w:val="00B338D0"/>
    <w:rsid w:val="00B33A33"/>
    <w:rsid w:val="00B33BE6"/>
    <w:rsid w:val="00B364A7"/>
    <w:rsid w:val="00B369A4"/>
    <w:rsid w:val="00B4099D"/>
    <w:rsid w:val="00B4329F"/>
    <w:rsid w:val="00B44AC8"/>
    <w:rsid w:val="00B53403"/>
    <w:rsid w:val="00B53478"/>
    <w:rsid w:val="00B56556"/>
    <w:rsid w:val="00B56EBE"/>
    <w:rsid w:val="00B6369A"/>
    <w:rsid w:val="00B63B76"/>
    <w:rsid w:val="00B7167D"/>
    <w:rsid w:val="00B75FC6"/>
    <w:rsid w:val="00B956D7"/>
    <w:rsid w:val="00BA00EF"/>
    <w:rsid w:val="00BA04A0"/>
    <w:rsid w:val="00BA43E2"/>
    <w:rsid w:val="00BA4DB6"/>
    <w:rsid w:val="00BB0C3B"/>
    <w:rsid w:val="00BB4628"/>
    <w:rsid w:val="00BB7F8E"/>
    <w:rsid w:val="00BC3E02"/>
    <w:rsid w:val="00BC7F1A"/>
    <w:rsid w:val="00BD115B"/>
    <w:rsid w:val="00BD1C8B"/>
    <w:rsid w:val="00BD24C2"/>
    <w:rsid w:val="00BD2C97"/>
    <w:rsid w:val="00BD46E9"/>
    <w:rsid w:val="00BE285D"/>
    <w:rsid w:val="00BE5307"/>
    <w:rsid w:val="00BE6BD2"/>
    <w:rsid w:val="00BF3FF8"/>
    <w:rsid w:val="00BF52C0"/>
    <w:rsid w:val="00C00BB3"/>
    <w:rsid w:val="00C01CE0"/>
    <w:rsid w:val="00C05ED2"/>
    <w:rsid w:val="00C13EAE"/>
    <w:rsid w:val="00C16125"/>
    <w:rsid w:val="00C17267"/>
    <w:rsid w:val="00C17998"/>
    <w:rsid w:val="00C23B3E"/>
    <w:rsid w:val="00C23EA8"/>
    <w:rsid w:val="00C24713"/>
    <w:rsid w:val="00C25034"/>
    <w:rsid w:val="00C3349E"/>
    <w:rsid w:val="00C359FB"/>
    <w:rsid w:val="00C378CA"/>
    <w:rsid w:val="00C42080"/>
    <w:rsid w:val="00C44979"/>
    <w:rsid w:val="00C46FB3"/>
    <w:rsid w:val="00C50C56"/>
    <w:rsid w:val="00C55D3A"/>
    <w:rsid w:val="00C56757"/>
    <w:rsid w:val="00C60B63"/>
    <w:rsid w:val="00C60EE1"/>
    <w:rsid w:val="00C61103"/>
    <w:rsid w:val="00C67E6D"/>
    <w:rsid w:val="00C70A22"/>
    <w:rsid w:val="00C73256"/>
    <w:rsid w:val="00C73297"/>
    <w:rsid w:val="00C76395"/>
    <w:rsid w:val="00C766D6"/>
    <w:rsid w:val="00C76F8F"/>
    <w:rsid w:val="00C8144A"/>
    <w:rsid w:val="00C83E46"/>
    <w:rsid w:val="00C844E6"/>
    <w:rsid w:val="00C91D8A"/>
    <w:rsid w:val="00C96246"/>
    <w:rsid w:val="00CA60B3"/>
    <w:rsid w:val="00CB2A49"/>
    <w:rsid w:val="00CC46D1"/>
    <w:rsid w:val="00CD496F"/>
    <w:rsid w:val="00CD4E8D"/>
    <w:rsid w:val="00CE196A"/>
    <w:rsid w:val="00CE3CFC"/>
    <w:rsid w:val="00CF1EC5"/>
    <w:rsid w:val="00CF2F70"/>
    <w:rsid w:val="00CF3A4A"/>
    <w:rsid w:val="00CF7EE6"/>
    <w:rsid w:val="00D02D57"/>
    <w:rsid w:val="00D047EF"/>
    <w:rsid w:val="00D04A6F"/>
    <w:rsid w:val="00D05E58"/>
    <w:rsid w:val="00D078DD"/>
    <w:rsid w:val="00D11A38"/>
    <w:rsid w:val="00D160A8"/>
    <w:rsid w:val="00D35E28"/>
    <w:rsid w:val="00D36FEC"/>
    <w:rsid w:val="00D42523"/>
    <w:rsid w:val="00D42BDE"/>
    <w:rsid w:val="00D455B7"/>
    <w:rsid w:val="00D466D9"/>
    <w:rsid w:val="00D47EB3"/>
    <w:rsid w:val="00D606BD"/>
    <w:rsid w:val="00D66261"/>
    <w:rsid w:val="00D6670E"/>
    <w:rsid w:val="00D8177C"/>
    <w:rsid w:val="00D86A64"/>
    <w:rsid w:val="00D9293F"/>
    <w:rsid w:val="00D93375"/>
    <w:rsid w:val="00D94265"/>
    <w:rsid w:val="00DA1CFF"/>
    <w:rsid w:val="00DA36A7"/>
    <w:rsid w:val="00DD3502"/>
    <w:rsid w:val="00DE4B85"/>
    <w:rsid w:val="00DF0F47"/>
    <w:rsid w:val="00DF6B36"/>
    <w:rsid w:val="00E00E03"/>
    <w:rsid w:val="00E02102"/>
    <w:rsid w:val="00E07945"/>
    <w:rsid w:val="00E162FF"/>
    <w:rsid w:val="00E23864"/>
    <w:rsid w:val="00E329DE"/>
    <w:rsid w:val="00E3344F"/>
    <w:rsid w:val="00E340D6"/>
    <w:rsid w:val="00E37AA5"/>
    <w:rsid w:val="00E46708"/>
    <w:rsid w:val="00E50322"/>
    <w:rsid w:val="00E5070B"/>
    <w:rsid w:val="00E51452"/>
    <w:rsid w:val="00E515A4"/>
    <w:rsid w:val="00E51AD3"/>
    <w:rsid w:val="00E54060"/>
    <w:rsid w:val="00E63547"/>
    <w:rsid w:val="00E636BC"/>
    <w:rsid w:val="00E648C6"/>
    <w:rsid w:val="00E6500C"/>
    <w:rsid w:val="00E67A36"/>
    <w:rsid w:val="00E67B1B"/>
    <w:rsid w:val="00E713DE"/>
    <w:rsid w:val="00E72135"/>
    <w:rsid w:val="00E736DB"/>
    <w:rsid w:val="00E766EA"/>
    <w:rsid w:val="00E829B5"/>
    <w:rsid w:val="00E85565"/>
    <w:rsid w:val="00E8729C"/>
    <w:rsid w:val="00E87666"/>
    <w:rsid w:val="00E901D3"/>
    <w:rsid w:val="00E91D33"/>
    <w:rsid w:val="00E94134"/>
    <w:rsid w:val="00E97764"/>
    <w:rsid w:val="00EA2743"/>
    <w:rsid w:val="00EA4DEA"/>
    <w:rsid w:val="00EA69FC"/>
    <w:rsid w:val="00EA7780"/>
    <w:rsid w:val="00EB2DF7"/>
    <w:rsid w:val="00EB5A10"/>
    <w:rsid w:val="00EC216A"/>
    <w:rsid w:val="00EC2BE3"/>
    <w:rsid w:val="00EC70B4"/>
    <w:rsid w:val="00ED2118"/>
    <w:rsid w:val="00ED40E4"/>
    <w:rsid w:val="00ED5AFA"/>
    <w:rsid w:val="00ED6034"/>
    <w:rsid w:val="00ED67C5"/>
    <w:rsid w:val="00ED7D38"/>
    <w:rsid w:val="00EE0B01"/>
    <w:rsid w:val="00EE2430"/>
    <w:rsid w:val="00EE50C8"/>
    <w:rsid w:val="00EE746F"/>
    <w:rsid w:val="00EF4034"/>
    <w:rsid w:val="00F06B0F"/>
    <w:rsid w:val="00F07C13"/>
    <w:rsid w:val="00F07FD7"/>
    <w:rsid w:val="00F123EF"/>
    <w:rsid w:val="00F15F64"/>
    <w:rsid w:val="00F22F0E"/>
    <w:rsid w:val="00F25E72"/>
    <w:rsid w:val="00F26F3F"/>
    <w:rsid w:val="00F36CC8"/>
    <w:rsid w:val="00F400D0"/>
    <w:rsid w:val="00F40283"/>
    <w:rsid w:val="00F429AE"/>
    <w:rsid w:val="00F53187"/>
    <w:rsid w:val="00F53422"/>
    <w:rsid w:val="00F55290"/>
    <w:rsid w:val="00F55ADB"/>
    <w:rsid w:val="00F655A8"/>
    <w:rsid w:val="00F66165"/>
    <w:rsid w:val="00F67CB4"/>
    <w:rsid w:val="00F70322"/>
    <w:rsid w:val="00F703F0"/>
    <w:rsid w:val="00F713D2"/>
    <w:rsid w:val="00F83231"/>
    <w:rsid w:val="00F8457D"/>
    <w:rsid w:val="00F90CE3"/>
    <w:rsid w:val="00F946C9"/>
    <w:rsid w:val="00FA356F"/>
    <w:rsid w:val="00FA3775"/>
    <w:rsid w:val="00FA72DE"/>
    <w:rsid w:val="00FB1645"/>
    <w:rsid w:val="00FB27C9"/>
    <w:rsid w:val="00FB6AF8"/>
    <w:rsid w:val="00FC3364"/>
    <w:rsid w:val="00FC7FDE"/>
    <w:rsid w:val="00FD06A5"/>
    <w:rsid w:val="00FD1497"/>
    <w:rsid w:val="00FD1E65"/>
    <w:rsid w:val="00FD227C"/>
    <w:rsid w:val="00FD3FE0"/>
    <w:rsid w:val="00FD470B"/>
    <w:rsid w:val="00FD5270"/>
    <w:rsid w:val="00FF1753"/>
    <w:rsid w:val="045126C6"/>
    <w:rsid w:val="048609C2"/>
    <w:rsid w:val="05781A8C"/>
    <w:rsid w:val="06E16807"/>
    <w:rsid w:val="06EA13DB"/>
    <w:rsid w:val="075B0DD7"/>
    <w:rsid w:val="08702CC9"/>
    <w:rsid w:val="0A253A3C"/>
    <w:rsid w:val="0A30449B"/>
    <w:rsid w:val="0AA67BFA"/>
    <w:rsid w:val="0AF16BEE"/>
    <w:rsid w:val="0C512C61"/>
    <w:rsid w:val="0C6A792C"/>
    <w:rsid w:val="0C9F5A0D"/>
    <w:rsid w:val="0D10168F"/>
    <w:rsid w:val="0D1E7195"/>
    <w:rsid w:val="0DFA2134"/>
    <w:rsid w:val="0E1F6BB0"/>
    <w:rsid w:val="0E612524"/>
    <w:rsid w:val="0EA03215"/>
    <w:rsid w:val="0F0940C7"/>
    <w:rsid w:val="0FAB5009"/>
    <w:rsid w:val="0FE124DE"/>
    <w:rsid w:val="10A60A9B"/>
    <w:rsid w:val="10AA40AA"/>
    <w:rsid w:val="111F687C"/>
    <w:rsid w:val="124869E1"/>
    <w:rsid w:val="12A250BA"/>
    <w:rsid w:val="135878AC"/>
    <w:rsid w:val="135D0DCE"/>
    <w:rsid w:val="13DB1646"/>
    <w:rsid w:val="14EB169E"/>
    <w:rsid w:val="155E1ABF"/>
    <w:rsid w:val="156552BE"/>
    <w:rsid w:val="160E5D7C"/>
    <w:rsid w:val="166079CF"/>
    <w:rsid w:val="1770306A"/>
    <w:rsid w:val="1793069E"/>
    <w:rsid w:val="181F1401"/>
    <w:rsid w:val="191B0898"/>
    <w:rsid w:val="193A0B58"/>
    <w:rsid w:val="1B7C503A"/>
    <w:rsid w:val="1BFC7E56"/>
    <w:rsid w:val="1C5472FA"/>
    <w:rsid w:val="1D982511"/>
    <w:rsid w:val="1DA15855"/>
    <w:rsid w:val="1E3D36EA"/>
    <w:rsid w:val="1ED26B5F"/>
    <w:rsid w:val="1F0443E9"/>
    <w:rsid w:val="1F2A1C1D"/>
    <w:rsid w:val="1F2E74B4"/>
    <w:rsid w:val="1F7A6A3D"/>
    <w:rsid w:val="1FDE5F31"/>
    <w:rsid w:val="20855092"/>
    <w:rsid w:val="20A966C5"/>
    <w:rsid w:val="21445F7B"/>
    <w:rsid w:val="215E438F"/>
    <w:rsid w:val="225F4466"/>
    <w:rsid w:val="228639D1"/>
    <w:rsid w:val="229F28B9"/>
    <w:rsid w:val="2337553A"/>
    <w:rsid w:val="23D26469"/>
    <w:rsid w:val="23E006B8"/>
    <w:rsid w:val="23EC6D91"/>
    <w:rsid w:val="2461556D"/>
    <w:rsid w:val="25C80B9D"/>
    <w:rsid w:val="26FE5650"/>
    <w:rsid w:val="27233B79"/>
    <w:rsid w:val="275F1418"/>
    <w:rsid w:val="27C67C08"/>
    <w:rsid w:val="2845204F"/>
    <w:rsid w:val="28D82E18"/>
    <w:rsid w:val="295C289C"/>
    <w:rsid w:val="29A67343"/>
    <w:rsid w:val="29A81C02"/>
    <w:rsid w:val="29E55D80"/>
    <w:rsid w:val="2AD4239C"/>
    <w:rsid w:val="2B075FDA"/>
    <w:rsid w:val="2B2B0652"/>
    <w:rsid w:val="2B4F70BA"/>
    <w:rsid w:val="2C2350EB"/>
    <w:rsid w:val="2C266143"/>
    <w:rsid w:val="2D5A58F7"/>
    <w:rsid w:val="2DF2505D"/>
    <w:rsid w:val="2ECC14CD"/>
    <w:rsid w:val="2F5B4630"/>
    <w:rsid w:val="309655FF"/>
    <w:rsid w:val="30E8221B"/>
    <w:rsid w:val="3228176F"/>
    <w:rsid w:val="323C11E5"/>
    <w:rsid w:val="326D0028"/>
    <w:rsid w:val="32A22376"/>
    <w:rsid w:val="3301360E"/>
    <w:rsid w:val="33155335"/>
    <w:rsid w:val="353F2D47"/>
    <w:rsid w:val="35DA7C08"/>
    <w:rsid w:val="3658690B"/>
    <w:rsid w:val="36722C5C"/>
    <w:rsid w:val="37042388"/>
    <w:rsid w:val="37261456"/>
    <w:rsid w:val="37664DBD"/>
    <w:rsid w:val="38084ABC"/>
    <w:rsid w:val="38A32714"/>
    <w:rsid w:val="3A124D0D"/>
    <w:rsid w:val="3A1A4987"/>
    <w:rsid w:val="3A831EE0"/>
    <w:rsid w:val="3AAA5780"/>
    <w:rsid w:val="3BA87499"/>
    <w:rsid w:val="3BEE72A6"/>
    <w:rsid w:val="3C041646"/>
    <w:rsid w:val="3C165208"/>
    <w:rsid w:val="3CDC1CA9"/>
    <w:rsid w:val="3E7845AC"/>
    <w:rsid w:val="3F76587F"/>
    <w:rsid w:val="3F885B04"/>
    <w:rsid w:val="3FC01279"/>
    <w:rsid w:val="40531E77"/>
    <w:rsid w:val="42BA2046"/>
    <w:rsid w:val="430C7034"/>
    <w:rsid w:val="43204BBF"/>
    <w:rsid w:val="44CE7025"/>
    <w:rsid w:val="45A202C4"/>
    <w:rsid w:val="45BA32F1"/>
    <w:rsid w:val="4636466C"/>
    <w:rsid w:val="468263F2"/>
    <w:rsid w:val="482945EC"/>
    <w:rsid w:val="48621F95"/>
    <w:rsid w:val="48AF21BB"/>
    <w:rsid w:val="49AA4A22"/>
    <w:rsid w:val="4AA70F60"/>
    <w:rsid w:val="4AAE49E1"/>
    <w:rsid w:val="4AAF2D71"/>
    <w:rsid w:val="4C062A36"/>
    <w:rsid w:val="4C27379C"/>
    <w:rsid w:val="4E033B21"/>
    <w:rsid w:val="50BE2A5A"/>
    <w:rsid w:val="50EB7E71"/>
    <w:rsid w:val="516C2BB3"/>
    <w:rsid w:val="51B74EE6"/>
    <w:rsid w:val="51CB03DC"/>
    <w:rsid w:val="51E92D4E"/>
    <w:rsid w:val="52097CC3"/>
    <w:rsid w:val="52512CF0"/>
    <w:rsid w:val="53540355"/>
    <w:rsid w:val="546023CB"/>
    <w:rsid w:val="549A454D"/>
    <w:rsid w:val="561079FB"/>
    <w:rsid w:val="581B083F"/>
    <w:rsid w:val="582200E5"/>
    <w:rsid w:val="58DD20B7"/>
    <w:rsid w:val="59ED1453"/>
    <w:rsid w:val="5A0B0138"/>
    <w:rsid w:val="5A6D6827"/>
    <w:rsid w:val="5AE50AEB"/>
    <w:rsid w:val="5B067C7B"/>
    <w:rsid w:val="5B500E6B"/>
    <w:rsid w:val="5C6A2CF8"/>
    <w:rsid w:val="5CD75475"/>
    <w:rsid w:val="5D1966B7"/>
    <w:rsid w:val="5DA85A32"/>
    <w:rsid w:val="5DF15727"/>
    <w:rsid w:val="5E137B61"/>
    <w:rsid w:val="5E5C0FFF"/>
    <w:rsid w:val="5EEE3567"/>
    <w:rsid w:val="5F090055"/>
    <w:rsid w:val="607F4028"/>
    <w:rsid w:val="615758D6"/>
    <w:rsid w:val="616B1480"/>
    <w:rsid w:val="619A258E"/>
    <w:rsid w:val="61A66C73"/>
    <w:rsid w:val="62452752"/>
    <w:rsid w:val="62C4764E"/>
    <w:rsid w:val="62CE393B"/>
    <w:rsid w:val="63181028"/>
    <w:rsid w:val="63377605"/>
    <w:rsid w:val="63C97365"/>
    <w:rsid w:val="642E3092"/>
    <w:rsid w:val="64DD32BE"/>
    <w:rsid w:val="6784733E"/>
    <w:rsid w:val="69976C74"/>
    <w:rsid w:val="6B295019"/>
    <w:rsid w:val="6C2B62AD"/>
    <w:rsid w:val="6D7A3E46"/>
    <w:rsid w:val="6E1462F4"/>
    <w:rsid w:val="6E324DB3"/>
    <w:rsid w:val="70384ACA"/>
    <w:rsid w:val="70D904DE"/>
    <w:rsid w:val="71682DE8"/>
    <w:rsid w:val="71F03C0C"/>
    <w:rsid w:val="723076CA"/>
    <w:rsid w:val="726C3449"/>
    <w:rsid w:val="72DB1D10"/>
    <w:rsid w:val="73AC35BE"/>
    <w:rsid w:val="73CF1FEC"/>
    <w:rsid w:val="73D91971"/>
    <w:rsid w:val="74213E04"/>
    <w:rsid w:val="74C6037C"/>
    <w:rsid w:val="75923A2D"/>
    <w:rsid w:val="779004CF"/>
    <w:rsid w:val="78C92A9F"/>
    <w:rsid w:val="7ADC5803"/>
    <w:rsid w:val="7ADD18AE"/>
    <w:rsid w:val="7BE028ED"/>
    <w:rsid w:val="7BF6412B"/>
    <w:rsid w:val="7C073A10"/>
    <w:rsid w:val="7D7859A5"/>
    <w:rsid w:val="7D9773A4"/>
    <w:rsid w:val="7DC67936"/>
    <w:rsid w:val="7E0E7A59"/>
    <w:rsid w:val="7E0F7D35"/>
    <w:rsid w:val="7E2766B8"/>
    <w:rsid w:val="7EFB72D2"/>
    <w:rsid w:val="7F164006"/>
    <w:rsid w:val="7F5B6D99"/>
    <w:rsid w:val="7F7D45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rPr>
      <w:rFonts w:cs="Times New Roman"/>
    </w:rPr>
  </w:style>
  <w:style w:type="character" w:styleId="9">
    <w:name w:val="FollowedHyperlink"/>
    <w:basedOn w:val="7"/>
    <w:semiHidden/>
    <w:unhideWhenUsed/>
    <w:qFormat/>
    <w:uiPriority w:val="99"/>
    <w:rPr>
      <w:color w:val="800080"/>
      <w:u w:val="none"/>
    </w:rPr>
  </w:style>
  <w:style w:type="character" w:styleId="10">
    <w:name w:val="Hyperlink"/>
    <w:basedOn w:val="7"/>
    <w:semiHidden/>
    <w:unhideWhenUsed/>
    <w:qFormat/>
    <w:uiPriority w:val="99"/>
    <w:rPr>
      <w:color w:val="0000FF"/>
      <w:u w:val="none"/>
    </w:rPr>
  </w:style>
  <w:style w:type="character" w:customStyle="1" w:styleId="11">
    <w:name w:val="页眉 Char"/>
    <w:basedOn w:val="7"/>
    <w:link w:val="4"/>
    <w:semiHidden/>
    <w:qFormat/>
    <w:locked/>
    <w:uiPriority w:val="99"/>
    <w:rPr>
      <w:rFonts w:cs="Times New Roman"/>
      <w:sz w:val="18"/>
      <w:szCs w:val="18"/>
    </w:rPr>
  </w:style>
  <w:style w:type="character" w:customStyle="1" w:styleId="12">
    <w:name w:val="页脚 Char"/>
    <w:basedOn w:val="7"/>
    <w:link w:val="3"/>
    <w:semiHidden/>
    <w:qFormat/>
    <w:locked/>
    <w:uiPriority w:val="99"/>
    <w:rPr>
      <w:rFonts w:cs="Times New Roman"/>
      <w:sz w:val="18"/>
      <w:szCs w:val="18"/>
    </w:rPr>
  </w:style>
  <w:style w:type="character" w:customStyle="1" w:styleId="13">
    <w:name w:val="divide"/>
    <w:basedOn w:val="7"/>
    <w:qFormat/>
    <w:uiPriority w:val="0"/>
    <w:rPr>
      <w:bdr w:val="single" w:color="9AC6FF" w:sz="4"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1988</Words>
  <Characters>2177</Characters>
  <Lines>25</Lines>
  <Paragraphs>7</Paragraphs>
  <TotalTime>5</TotalTime>
  <ScaleCrop>false</ScaleCrop>
  <LinksUpToDate>false</LinksUpToDate>
  <CharactersWithSpaces>2180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2019-07-12T02:44:00Z</dcterms:created>
  <dc:creator>侯键 59.231.158.62</dc:creator>
  <cp:lastModifiedBy>李攀兵</cp:lastModifiedBy>
  <cp:lastPrinted>2019-09-23T01:04:00Z</cp:lastPrinted>
  <dcterms:modified xsi:type="dcterms:W3CDTF">2024-04-15T06:38:00Z</dcterms:modified>
  <dc:title>2017年非煤矿山隐患管控台账</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1B3920BBF9D7402C8CB935C813552F94</vt:lpwstr>
  </property>
</Properties>
</file>