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uto"/>
        <w:ind w:firstLine="0" w:firstLineChars="0"/>
        <w:jc w:val="center"/>
        <w:textAlignment w:val="center"/>
        <w:rPr>
          <w:rFonts w:ascii="方正小标宋简体" w:hAnsi="宋体" w:eastAsia="方正小标宋简体" w:cs="宋体"/>
          <w:kern w:val="0"/>
          <w:sz w:val="44"/>
          <w:szCs w:val="44"/>
        </w:rPr>
      </w:pPr>
      <w:r>
        <w:rPr>
          <w:rFonts w:hint="eastAsia" w:ascii="方正小标宋简体" w:hAnsi="宋体" w:eastAsia="方正小标宋简体" w:cs="宋体"/>
          <w:bCs/>
          <w:kern w:val="0"/>
          <w:sz w:val="44"/>
          <w:szCs w:val="44"/>
          <w:lang w:eastAsia="zh-CN"/>
        </w:rPr>
        <w:t>沿溪镇</w:t>
      </w:r>
      <w:r>
        <w:rPr>
          <w:rFonts w:hint="eastAsia" w:ascii="方正小标宋简体" w:hAnsi="宋体" w:eastAsia="方正小标宋简体" w:cs="宋体"/>
          <w:bCs/>
          <w:kern w:val="0"/>
          <w:sz w:val="44"/>
          <w:szCs w:val="44"/>
          <w:lang w:val="en-US" w:eastAsia="zh-CN"/>
        </w:rPr>
        <w:t>2021年度</w:t>
      </w:r>
      <w:r>
        <w:rPr>
          <w:rFonts w:hint="eastAsia" w:ascii="方正小标宋简体" w:hAnsi="宋体" w:eastAsia="方正小标宋简体" w:cs="宋体"/>
          <w:bCs/>
          <w:kern w:val="0"/>
          <w:sz w:val="44"/>
          <w:szCs w:val="44"/>
        </w:rPr>
        <w:t>政府信息公开工作年度报告</w:t>
      </w:r>
    </w:p>
    <w:p>
      <w:pPr>
        <w:widowControl/>
        <w:shd w:val="clear" w:color="auto" w:fill="FFFFFF"/>
        <w:spacing w:line="240" w:lineRule="auto"/>
        <w:ind w:firstLine="480" w:firstLineChars="0"/>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根据《中华人民共和国政府信息公开条例》（以下简称《条例》）和《浏阳市政府信息公开规定》（下面简称《规定》）要求，我镇编辑了2021年度政府信息公开工作报告。全文包括总体情况、主动公开政府信息情况、收到和处理政府信息公开申请、因政府信息公开工作被申请行政复议与提起行政诉讼情况、政府信息公开工作存在的主要问题及改进情况、其他需要报告的情况共计六个方面的内容。</w:t>
      </w:r>
    </w:p>
    <w:p>
      <w:pPr>
        <w:widowControl/>
        <w:shd w:val="clear" w:color="auto" w:fill="FFFFFF"/>
        <w:spacing w:line="240" w:lineRule="auto"/>
        <w:ind w:firstLine="480" w:firstLineChars="0"/>
        <w:textAlignment w:val="center"/>
        <w:rPr>
          <w:rFonts w:ascii="仿宋_GB2312" w:hAnsi="宋体" w:eastAsia="仿宋_GB2312" w:cs="宋体"/>
          <w:kern w:val="0"/>
          <w:szCs w:val="32"/>
        </w:rPr>
      </w:pPr>
      <w:r>
        <w:rPr>
          <w:rFonts w:hint="eastAsia" w:ascii="仿宋_GB2312" w:hAnsi="宋体" w:eastAsia="仿宋_GB2312" w:cs="宋体"/>
          <w:b/>
          <w:bCs/>
          <w:kern w:val="0"/>
          <w:szCs w:val="32"/>
        </w:rPr>
        <w:t>一、总体情况</w:t>
      </w:r>
    </w:p>
    <w:p>
      <w:pPr>
        <w:pStyle w:val="4"/>
        <w:widowControl/>
        <w:shd w:val="clear" w:color="auto" w:fill="FFFFFF"/>
        <w:spacing w:beforeAutospacing="0" w:afterAutospacing="0" w:line="400" w:lineRule="atLeast"/>
        <w:ind w:firstLine="420"/>
        <w:jc w:val="both"/>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lang w:eastAsia="zh-CN"/>
        </w:rPr>
        <w:t>沿溪镇</w:t>
      </w:r>
      <w:r>
        <w:rPr>
          <w:rFonts w:hint="eastAsia" w:ascii="仿宋" w:hAnsi="仿宋" w:eastAsia="仿宋" w:cs="仿宋"/>
          <w:bCs/>
          <w:sz w:val="28"/>
          <w:szCs w:val="28"/>
          <w:shd w:val="clear" w:color="auto" w:fill="FFFFFF"/>
        </w:rPr>
        <w:t>认真贯彻落实国家、省、市对政府信息公开工作的要求，把政府信息公开作为一项重要工作来抓，加强组织领导，建立健全制度，完善公开形式，推动《政府信息公开条例》在</w:t>
      </w:r>
      <w:r>
        <w:rPr>
          <w:rFonts w:hint="eastAsia" w:ascii="仿宋" w:hAnsi="仿宋" w:eastAsia="仿宋" w:cs="仿宋"/>
          <w:bCs/>
          <w:sz w:val="28"/>
          <w:szCs w:val="28"/>
          <w:shd w:val="clear" w:color="auto" w:fill="FFFFFF"/>
          <w:lang w:eastAsia="zh-CN"/>
        </w:rPr>
        <w:t>沿溪镇</w:t>
      </w:r>
      <w:r>
        <w:rPr>
          <w:rFonts w:hint="eastAsia" w:ascii="仿宋" w:hAnsi="仿宋" w:eastAsia="仿宋" w:cs="仿宋"/>
          <w:bCs/>
          <w:sz w:val="28"/>
          <w:szCs w:val="28"/>
          <w:shd w:val="clear" w:color="auto" w:fill="FFFFFF"/>
        </w:rPr>
        <w:t>政府信息公开工作上全面、正确、有效地贯彻实施，积极推进主动公开，不断深化依申请公开，有力地保障了人民群众的知情权、参与权和监督权。</w:t>
      </w:r>
    </w:p>
    <w:p>
      <w:pPr>
        <w:pStyle w:val="4"/>
        <w:widowControl/>
        <w:shd w:val="clear" w:color="auto" w:fill="FFFFFF"/>
        <w:spacing w:beforeAutospacing="0" w:afterAutospacing="0" w:line="400" w:lineRule="atLeast"/>
        <w:ind w:firstLine="420"/>
        <w:jc w:val="both"/>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（一）健全工作机构。为了强化政府信息公开工作，</w:t>
      </w:r>
      <w:r>
        <w:rPr>
          <w:rFonts w:hint="eastAsia" w:ascii="仿宋" w:hAnsi="仿宋" w:eastAsia="仿宋" w:cs="仿宋"/>
          <w:bCs/>
          <w:sz w:val="28"/>
          <w:szCs w:val="28"/>
          <w:shd w:val="clear" w:color="auto" w:fill="FFFFFF"/>
          <w:lang w:eastAsia="zh-CN"/>
        </w:rPr>
        <w:t>沿溪镇</w:t>
      </w:r>
      <w:r>
        <w:rPr>
          <w:rFonts w:hint="eastAsia" w:ascii="仿宋" w:hAnsi="仿宋" w:eastAsia="仿宋" w:cs="仿宋"/>
          <w:bCs/>
          <w:sz w:val="28"/>
          <w:szCs w:val="28"/>
          <w:shd w:val="clear" w:color="auto" w:fill="FFFFFF"/>
        </w:rPr>
        <w:t>仍保留了政府信息公开领导小组，领导小组下设办公室，政府主要领导亲自抓、分管领导具体抓,办公室具体落实。领导小组下设党政综合办为办公室，并指定专门人员管理此项工作，负责推进、指导、协调、监督全镇政府信息公开工作，积极与上级对接，形成了上下联运、覆盖面广的信息公开网络体系，保证工作的顺利开展。</w:t>
      </w:r>
    </w:p>
    <w:p>
      <w:pPr>
        <w:pStyle w:val="4"/>
        <w:widowControl/>
        <w:shd w:val="clear" w:color="auto" w:fill="FFFFFF"/>
        <w:spacing w:beforeAutospacing="0" w:afterAutospacing="0" w:line="400" w:lineRule="atLeast"/>
        <w:ind w:firstLine="420"/>
        <w:jc w:val="both"/>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（二）严格工作制度。结合实际完善各项信息公开工作相关制度,对新进或新调整工作人员进行培训，要求按照信息公开工作流程办事，确保政府信息公开工作有效开展。</w:t>
      </w:r>
    </w:p>
    <w:p>
      <w:pPr>
        <w:pStyle w:val="4"/>
        <w:widowControl/>
        <w:shd w:val="clear" w:color="auto" w:fill="FFFFFF"/>
        <w:spacing w:beforeAutospacing="0" w:afterAutospacing="0" w:line="400" w:lineRule="atLeast"/>
        <w:ind w:firstLine="420"/>
        <w:jc w:val="both"/>
        <w:rPr>
          <w:rFonts w:hint="eastAsia"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（三）落实工作目标。公开工作领导小组办公室及时将工作动态、政策文件、发展规划等最新信息及其他符合公开原则的信息及时公开，及时与市数据资源中心沟通，圆满完成年度工作目标。</w:t>
      </w:r>
    </w:p>
    <w:p>
      <w:pPr>
        <w:pStyle w:val="4"/>
        <w:widowControl/>
        <w:shd w:val="clear" w:color="auto" w:fill="FFFFFF"/>
        <w:spacing w:beforeAutospacing="0" w:afterAutospacing="0" w:line="400" w:lineRule="atLeast"/>
        <w:ind w:firstLine="420"/>
        <w:jc w:val="both"/>
        <w:rPr>
          <w:rFonts w:hint="eastAsia" w:ascii="仿宋" w:hAnsi="仿宋" w:eastAsia="仿宋" w:cs="仿宋"/>
          <w:kern w:val="0"/>
          <w:sz w:val="28"/>
          <w:szCs w:val="28"/>
        </w:rPr>
      </w:pPr>
      <w:r>
        <w:rPr>
          <w:rFonts w:hint="eastAsia" w:ascii="仿宋" w:hAnsi="仿宋" w:eastAsia="仿宋" w:cs="仿宋"/>
          <w:bCs/>
          <w:sz w:val="28"/>
          <w:szCs w:val="28"/>
          <w:shd w:val="clear" w:color="auto" w:fill="FFFFFF"/>
        </w:rPr>
        <w:t>（四）丰富便民通道。一是用好各类媒体媒介。凡涉及全镇重大工作部署、重点工程建设、重要民生项目，都主动邀请新闻媒体全程参与报道，在报纸、网站上发通告，向社会公开，让群众了解。二是回应好民生舆情。做好12345市民热线等舆论应对工作,满意率达100%；积极推动群众合理合法诉求事项的解决。</w:t>
      </w:r>
    </w:p>
    <w:p>
      <w:pPr>
        <w:widowControl/>
        <w:shd w:val="clear" w:color="auto" w:fill="FFFFFF"/>
        <w:spacing w:line="240" w:lineRule="auto"/>
        <w:ind w:firstLine="480" w:firstLineChars="0"/>
        <w:textAlignment w:val="center"/>
        <w:rPr>
          <w:rFonts w:ascii="仿宋_GB2312" w:hAnsi="宋体" w:eastAsia="仿宋_GB2312" w:cs="宋体"/>
          <w:kern w:val="0"/>
          <w:szCs w:val="32"/>
        </w:rPr>
      </w:pPr>
      <w:r>
        <w:rPr>
          <w:rFonts w:hint="eastAsia" w:ascii="仿宋_GB2312" w:hAnsi="宋体" w:eastAsia="仿宋_GB2312" w:cs="宋体"/>
          <w:b/>
          <w:bCs/>
          <w:kern w:val="0"/>
          <w:szCs w:val="32"/>
        </w:rPr>
        <w:t>二、主动公开政府信息情况</w:t>
      </w:r>
    </w:p>
    <w:tbl>
      <w:tblPr>
        <w:tblStyle w:val="5"/>
        <w:tblW w:w="8426" w:type="dxa"/>
        <w:jc w:val="center"/>
        <w:tblLayout w:type="fixed"/>
        <w:tblCellMar>
          <w:top w:w="0" w:type="dxa"/>
          <w:left w:w="0" w:type="dxa"/>
          <w:bottom w:w="0" w:type="dxa"/>
          <w:right w:w="0" w:type="dxa"/>
        </w:tblCellMar>
      </w:tblPr>
      <w:tblGrid>
        <w:gridCol w:w="2101"/>
        <w:gridCol w:w="2106"/>
        <w:gridCol w:w="2100"/>
        <w:gridCol w:w="2119"/>
      </w:tblGrid>
      <w:tr>
        <w:tblPrEx>
          <w:tblCellMar>
            <w:top w:w="0" w:type="dxa"/>
            <w:left w:w="0" w:type="dxa"/>
            <w:bottom w:w="0" w:type="dxa"/>
            <w:right w:w="0" w:type="dxa"/>
          </w:tblCellMar>
        </w:tblPrEx>
        <w:trPr>
          <w:trHeight w:val="345" w:hRule="atLeast"/>
          <w:jc w:val="center"/>
        </w:trPr>
        <w:tc>
          <w:tcPr>
            <w:tcW w:w="8426"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信息内容</w:t>
            </w:r>
          </w:p>
        </w:tc>
        <w:tc>
          <w:tcPr>
            <w:tcW w:w="2106" w:type="dxa"/>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本年</w:t>
            </w:r>
            <w:r>
              <w:rPr>
                <w:rFonts w:hint="eastAsia" w:ascii="宋体" w:hAnsi="宋体" w:eastAsia="宋体" w:cs="Calibri"/>
                <w:kern w:val="0"/>
                <w:sz w:val="24"/>
              </w:rPr>
              <w:t>制</w:t>
            </w:r>
            <w:r>
              <w:rPr>
                <w:rFonts w:hint="eastAsia" w:ascii="宋体" w:hAnsi="宋体" w:eastAsia="宋体" w:cs="宋体"/>
                <w:kern w:val="0"/>
                <w:sz w:val="20"/>
                <w:szCs w:val="20"/>
              </w:rPr>
              <w:t>发件</w:t>
            </w:r>
            <w:r>
              <w:rPr>
                <w:rFonts w:hint="eastAsia" w:ascii="宋体" w:hAnsi="宋体" w:eastAsia="宋体" w:cs="Calibri"/>
                <w:kern w:val="0"/>
                <w:sz w:val="24"/>
              </w:rPr>
              <w:t>数</w:t>
            </w:r>
          </w:p>
        </w:tc>
        <w:tc>
          <w:tcPr>
            <w:tcW w:w="2100" w:type="dxa"/>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本年废止件数</w:t>
            </w:r>
          </w:p>
        </w:tc>
        <w:tc>
          <w:tcPr>
            <w:tcW w:w="2119" w:type="dxa"/>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现行有效件</w:t>
            </w:r>
            <w:r>
              <w:rPr>
                <w:rFonts w:hint="eastAsia" w:ascii="宋体" w:hAnsi="宋体" w:eastAsia="宋体" w:cs="Calibri"/>
                <w:kern w:val="0"/>
                <w:sz w:val="24"/>
              </w:rPr>
              <w:t>数</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规章</w:t>
            </w:r>
          </w:p>
        </w:tc>
        <w:tc>
          <w:tcPr>
            <w:tcW w:w="2106"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2100"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211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行政规范性文件</w:t>
            </w:r>
          </w:p>
        </w:tc>
        <w:tc>
          <w:tcPr>
            <w:tcW w:w="2106"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2100"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211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trHeight w:val="345" w:hRule="atLeast"/>
          <w:jc w:val="center"/>
        </w:trPr>
        <w:tc>
          <w:tcPr>
            <w:tcW w:w="8426"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信息内容</w:t>
            </w:r>
          </w:p>
        </w:tc>
        <w:tc>
          <w:tcPr>
            <w:tcW w:w="6325" w:type="dxa"/>
            <w:gridSpan w:val="3"/>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行政许可</w:t>
            </w:r>
          </w:p>
        </w:tc>
        <w:tc>
          <w:tcPr>
            <w:tcW w:w="6325" w:type="dxa"/>
            <w:gridSpan w:val="3"/>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523</w:t>
            </w:r>
          </w:p>
        </w:tc>
      </w:tr>
      <w:tr>
        <w:tblPrEx>
          <w:tblCellMar>
            <w:top w:w="0" w:type="dxa"/>
            <w:left w:w="0" w:type="dxa"/>
            <w:bottom w:w="0" w:type="dxa"/>
            <w:right w:w="0" w:type="dxa"/>
          </w:tblCellMar>
        </w:tblPrEx>
        <w:trPr>
          <w:trHeight w:val="345" w:hRule="atLeast"/>
          <w:jc w:val="center"/>
        </w:trPr>
        <w:tc>
          <w:tcPr>
            <w:tcW w:w="8426"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信息内容</w:t>
            </w:r>
          </w:p>
        </w:tc>
        <w:tc>
          <w:tcPr>
            <w:tcW w:w="6325" w:type="dxa"/>
            <w:gridSpan w:val="3"/>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行政处罚</w:t>
            </w:r>
          </w:p>
        </w:tc>
        <w:tc>
          <w:tcPr>
            <w:tcW w:w="6325" w:type="dxa"/>
            <w:gridSpan w:val="3"/>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行政强制</w:t>
            </w:r>
          </w:p>
        </w:tc>
        <w:tc>
          <w:tcPr>
            <w:tcW w:w="6325" w:type="dxa"/>
            <w:gridSpan w:val="3"/>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trHeight w:val="345" w:hRule="atLeast"/>
          <w:jc w:val="center"/>
        </w:trPr>
        <w:tc>
          <w:tcPr>
            <w:tcW w:w="8426"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信息内容</w:t>
            </w:r>
          </w:p>
        </w:tc>
        <w:tc>
          <w:tcPr>
            <w:tcW w:w="6325" w:type="dxa"/>
            <w:gridSpan w:val="3"/>
            <w:tcBorders>
              <w:top w:val="nil"/>
              <w:left w:val="nil"/>
              <w:bottom w:val="single" w:color="auto" w:sz="6" w:space="0"/>
              <w:right w:val="single" w:color="000000"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5" w:hRule="atLeast"/>
          <w:jc w:val="center"/>
        </w:trPr>
        <w:tc>
          <w:tcPr>
            <w:tcW w:w="2101" w:type="dxa"/>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行政事业性收费</w:t>
            </w:r>
          </w:p>
        </w:tc>
        <w:tc>
          <w:tcPr>
            <w:tcW w:w="6325" w:type="dxa"/>
            <w:gridSpan w:val="3"/>
            <w:tcBorders>
              <w:top w:val="nil"/>
              <w:left w:val="nil"/>
              <w:bottom w:val="single" w:color="auto" w:sz="6" w:space="0"/>
              <w:right w:val="single" w:color="000000" w:sz="6" w:space="0"/>
            </w:tcBorders>
            <w:tcMar>
              <w:top w:w="0" w:type="dxa"/>
              <w:left w:w="60" w:type="dxa"/>
              <w:bottom w:w="0" w:type="dxa"/>
              <w:right w:w="60" w:type="dxa"/>
            </w:tcMar>
            <w:vAlign w:val="center"/>
          </w:tcPr>
          <w:p>
            <w:pPr>
              <w:widowControl/>
              <w:spacing w:line="240" w:lineRule="auto"/>
              <w:ind w:firstLine="0" w:firstLineChars="0"/>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pacing w:line="240" w:lineRule="auto"/>
        <w:ind w:firstLine="0" w:firstLineChars="0"/>
        <w:jc w:val="left"/>
        <w:textAlignment w:val="center"/>
        <w:rPr>
          <w:rFonts w:ascii="宋体" w:hAnsi="宋体" w:eastAsia="宋体" w:cs="宋体"/>
          <w:kern w:val="0"/>
          <w:sz w:val="24"/>
        </w:rPr>
      </w:pPr>
    </w:p>
    <w:p>
      <w:pPr>
        <w:widowControl/>
        <w:shd w:val="clear" w:color="auto" w:fill="FFFFFF"/>
        <w:spacing w:line="240" w:lineRule="auto"/>
        <w:ind w:firstLine="480" w:firstLineChars="0"/>
        <w:textAlignment w:val="center"/>
        <w:rPr>
          <w:rFonts w:hint="eastAsia" w:ascii="仿宋_GB2312" w:hAnsi="宋体" w:eastAsia="仿宋_GB2312" w:cs="宋体"/>
          <w:b/>
          <w:bCs/>
          <w:kern w:val="0"/>
          <w:szCs w:val="32"/>
        </w:rPr>
      </w:pPr>
      <w:bookmarkStart w:id="0" w:name="_GoBack"/>
    </w:p>
    <w:bookmarkEnd w:id="0"/>
    <w:p>
      <w:pPr>
        <w:widowControl/>
        <w:shd w:val="clear" w:color="auto" w:fill="FFFFFF"/>
        <w:spacing w:line="240" w:lineRule="auto"/>
        <w:ind w:firstLine="480" w:firstLineChars="0"/>
        <w:textAlignment w:val="center"/>
        <w:rPr>
          <w:rFonts w:ascii="仿宋_GB2312" w:hAnsi="宋体" w:eastAsia="仿宋_GB2312" w:cs="宋体"/>
          <w:kern w:val="0"/>
          <w:szCs w:val="32"/>
        </w:rPr>
      </w:pPr>
      <w:r>
        <w:rPr>
          <w:rFonts w:hint="eastAsia" w:ascii="仿宋_GB2312" w:hAnsi="宋体" w:eastAsia="仿宋_GB2312" w:cs="宋体"/>
          <w:b/>
          <w:bCs/>
          <w:kern w:val="0"/>
          <w:szCs w:val="32"/>
        </w:rPr>
        <w:t>三、收到和处理政府信息公开申请情况</w:t>
      </w:r>
    </w:p>
    <w:p>
      <w:pPr>
        <w:widowControl/>
        <w:shd w:val="clear" w:color="auto" w:fill="FFFFFF"/>
        <w:spacing w:line="240" w:lineRule="auto"/>
        <w:ind w:firstLine="480" w:firstLineChars="0"/>
        <w:textAlignment w:val="center"/>
        <w:rPr>
          <w:rFonts w:ascii="宋体" w:hAnsi="宋体" w:eastAsia="宋体" w:cs="宋体"/>
          <w:kern w:val="0"/>
          <w:sz w:val="24"/>
        </w:rPr>
      </w:pPr>
    </w:p>
    <w:tbl>
      <w:tblPr>
        <w:tblStyle w:val="5"/>
        <w:tblW w:w="8471" w:type="dxa"/>
        <w:jc w:val="center"/>
        <w:tblLayout w:type="fixed"/>
        <w:tblCellMar>
          <w:top w:w="0" w:type="dxa"/>
          <w:left w:w="0" w:type="dxa"/>
          <w:bottom w:w="0" w:type="dxa"/>
          <w:right w:w="0" w:type="dxa"/>
        </w:tblCellMar>
      </w:tblPr>
      <w:tblGrid>
        <w:gridCol w:w="709"/>
        <w:gridCol w:w="893"/>
        <w:gridCol w:w="2606"/>
        <w:gridCol w:w="609"/>
        <w:gridCol w:w="609"/>
        <w:gridCol w:w="609"/>
        <w:gridCol w:w="609"/>
        <w:gridCol w:w="609"/>
        <w:gridCol w:w="609"/>
        <w:gridCol w:w="609"/>
      </w:tblGrid>
      <w:tr>
        <w:tblPrEx>
          <w:tblCellMar>
            <w:top w:w="0" w:type="dxa"/>
            <w:left w:w="0" w:type="dxa"/>
            <w:bottom w:w="0" w:type="dxa"/>
            <w:right w:w="0" w:type="dxa"/>
          </w:tblCellMar>
        </w:tblPrEx>
        <w:trPr>
          <w:jc w:val="center"/>
        </w:trPr>
        <w:tc>
          <w:tcPr>
            <w:tcW w:w="4208" w:type="dxa"/>
            <w:gridSpan w:val="3"/>
            <w:vMerge w:val="restart"/>
            <w:tcBorders>
              <w:top w:val="single" w:color="auto" w:sz="6" w:space="0"/>
              <w:left w:val="single" w:color="auto" w:sz="6" w:space="0"/>
              <w:bottom w:val="inset"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263" w:type="dxa"/>
            <w:gridSpan w:val="7"/>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4208" w:type="dxa"/>
            <w:gridSpan w:val="3"/>
            <w:vMerge w:val="continue"/>
            <w:tcBorders>
              <w:top w:val="single" w:color="auto" w:sz="6" w:space="0"/>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609" w:type="dxa"/>
            <w:vMerge w:val="restart"/>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自然人</w:t>
            </w:r>
          </w:p>
        </w:tc>
        <w:tc>
          <w:tcPr>
            <w:tcW w:w="3045" w:type="dxa"/>
            <w:gridSpan w:val="5"/>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609" w:type="dxa"/>
            <w:vMerge w:val="restart"/>
            <w:tcBorders>
              <w:top w:val="single" w:color="auto" w:sz="6" w:space="0"/>
              <w:left w:val="nil"/>
              <w:bottom w:val="inset"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4208" w:type="dxa"/>
            <w:gridSpan w:val="3"/>
            <w:vMerge w:val="continue"/>
            <w:tcBorders>
              <w:top w:val="single" w:color="auto" w:sz="6" w:space="0"/>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609" w:type="dxa"/>
            <w:vMerge w:val="continue"/>
            <w:tcBorders>
              <w:top w:val="nil"/>
              <w:left w:val="nil"/>
              <w:bottom w:val="single"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商业</w:t>
            </w:r>
          </w:p>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企业</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科研</w:t>
            </w:r>
          </w:p>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机构</w:t>
            </w:r>
          </w:p>
        </w:tc>
        <w:tc>
          <w:tcPr>
            <w:tcW w:w="609" w:type="dxa"/>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609" w:type="dxa"/>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609" w:type="dxa"/>
            <w:tcBorders>
              <w:top w:val="single" w:color="auto" w:sz="6" w:space="0"/>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其他</w:t>
            </w:r>
          </w:p>
        </w:tc>
        <w:tc>
          <w:tcPr>
            <w:tcW w:w="609" w:type="dxa"/>
            <w:vMerge w:val="continue"/>
            <w:tcBorders>
              <w:top w:val="single" w:color="auto" w:sz="6" w:space="0"/>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4208" w:type="dxa"/>
            <w:gridSpan w:val="3"/>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4208" w:type="dxa"/>
            <w:gridSpan w:val="3"/>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restart"/>
            <w:tcBorders>
              <w:top w:val="nil"/>
              <w:left w:val="single" w:color="auto" w:sz="6" w:space="0"/>
              <w:bottom w:val="inset"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三、本年度办理结果</w:t>
            </w:r>
          </w:p>
        </w:tc>
        <w:tc>
          <w:tcPr>
            <w:tcW w:w="3499" w:type="dxa"/>
            <w:gridSpan w:val="2"/>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（一）予以公开</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6"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3499" w:type="dxa"/>
            <w:gridSpan w:val="2"/>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09" w:type="dxa"/>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4"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4"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4"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restart"/>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（三）不予公开</w:t>
            </w:r>
          </w:p>
        </w:tc>
        <w:tc>
          <w:tcPr>
            <w:tcW w:w="2606"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1.</w:t>
            </w:r>
            <w:r>
              <w:rPr>
                <w:rFonts w:hint="eastAsia" w:ascii="宋体" w:hAnsi="宋体" w:eastAsia="宋体" w:cs="宋体"/>
                <w:kern w:val="0"/>
                <w:sz w:val="20"/>
                <w:szCs w:val="20"/>
              </w:rPr>
              <w:t>属于国家秘密</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4"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2.</w:t>
            </w:r>
            <w:r>
              <w:rPr>
                <w:rFonts w:hint="eastAsia" w:ascii="宋体" w:hAnsi="宋体" w:eastAsia="宋体" w:cs="宋体"/>
                <w:kern w:val="0"/>
                <w:sz w:val="20"/>
                <w:szCs w:val="20"/>
              </w:rPr>
              <w:t>其他法律行政法规禁止公开</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single" w:color="auto" w:sz="4" w:space="0"/>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3.</w:t>
            </w:r>
            <w:r>
              <w:rPr>
                <w:rFonts w:hint="eastAsia" w:ascii="宋体" w:hAnsi="宋体" w:eastAsia="宋体" w:cs="宋体"/>
                <w:kern w:val="0"/>
                <w:sz w:val="20"/>
                <w:szCs w:val="20"/>
              </w:rPr>
              <w:t>危及“三安全一稳定”</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single" w:color="auto" w:sz="4" w:space="0"/>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4.</w:t>
            </w:r>
            <w:r>
              <w:rPr>
                <w:rFonts w:hint="eastAsia" w:ascii="宋体" w:hAnsi="宋体" w:eastAsia="宋体" w:cs="宋体"/>
                <w:kern w:val="0"/>
                <w:sz w:val="20"/>
                <w:szCs w:val="20"/>
              </w:rPr>
              <w:t>保护第三方合法权益</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5.</w:t>
            </w:r>
            <w:r>
              <w:rPr>
                <w:rFonts w:hint="eastAsia" w:ascii="宋体" w:hAnsi="宋体" w:eastAsia="宋体" w:cs="宋体"/>
                <w:kern w:val="0"/>
                <w:sz w:val="20"/>
                <w:szCs w:val="20"/>
              </w:rPr>
              <w:t>属于三类内部事务信息</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6.</w:t>
            </w:r>
            <w:r>
              <w:rPr>
                <w:rFonts w:hint="eastAsia" w:ascii="宋体" w:hAnsi="宋体" w:eastAsia="宋体" w:cs="宋体"/>
                <w:kern w:val="0"/>
                <w:sz w:val="20"/>
                <w:szCs w:val="20"/>
              </w:rPr>
              <w:t>属于四类过程性信息</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7.</w:t>
            </w:r>
            <w:r>
              <w:rPr>
                <w:rFonts w:hint="eastAsia" w:ascii="宋体" w:hAnsi="宋体" w:eastAsia="宋体" w:cs="宋体"/>
                <w:kern w:val="0"/>
                <w:sz w:val="20"/>
                <w:szCs w:val="20"/>
              </w:rPr>
              <w:t>属于行政执法案卷</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8.</w:t>
            </w:r>
            <w:r>
              <w:rPr>
                <w:rFonts w:hint="eastAsia" w:ascii="宋体" w:hAnsi="宋体" w:eastAsia="宋体" w:cs="宋体"/>
                <w:kern w:val="0"/>
                <w:sz w:val="20"/>
                <w:szCs w:val="20"/>
              </w:rPr>
              <w:t>属于行政查询事项</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restart"/>
            <w:tcBorders>
              <w:top w:val="nil"/>
              <w:left w:val="nil"/>
              <w:bottom w:val="inset"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（四）无法提供</w:t>
            </w: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1.</w:t>
            </w:r>
            <w:r>
              <w:rPr>
                <w:rFonts w:hint="eastAsia" w:ascii="宋体" w:hAnsi="宋体" w:eastAsia="宋体" w:cs="宋体"/>
                <w:kern w:val="0"/>
                <w:sz w:val="20"/>
                <w:szCs w:val="20"/>
              </w:rPr>
              <w:t>本机关不掌握相关政府信息</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2.</w:t>
            </w:r>
            <w:r>
              <w:rPr>
                <w:rFonts w:hint="eastAsia" w:ascii="宋体" w:hAnsi="宋体" w:eastAsia="宋体" w:cs="宋体"/>
                <w:kern w:val="0"/>
                <w:sz w:val="20"/>
                <w:szCs w:val="20"/>
              </w:rPr>
              <w:t>没有现成信息需要另行制作</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3.</w:t>
            </w:r>
            <w:r>
              <w:rPr>
                <w:rFonts w:hint="eastAsia" w:ascii="宋体" w:hAnsi="宋体" w:eastAsia="宋体" w:cs="宋体"/>
                <w:kern w:val="0"/>
                <w:sz w:val="20"/>
                <w:szCs w:val="20"/>
              </w:rPr>
              <w:t>补正后申请内容仍不明确</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restart"/>
            <w:tcBorders>
              <w:top w:val="nil"/>
              <w:left w:val="nil"/>
              <w:bottom w:val="inset"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（五）不予处理</w:t>
            </w: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1.</w:t>
            </w:r>
            <w:r>
              <w:rPr>
                <w:rFonts w:hint="eastAsia" w:ascii="宋体" w:hAnsi="宋体" w:eastAsia="宋体" w:cs="宋体"/>
                <w:kern w:val="0"/>
                <w:sz w:val="20"/>
                <w:szCs w:val="20"/>
              </w:rPr>
              <w:t>信访举报投诉类申请</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2.</w:t>
            </w:r>
            <w:r>
              <w:rPr>
                <w:rFonts w:hint="eastAsia" w:ascii="宋体" w:hAnsi="宋体" w:eastAsia="宋体" w:cs="宋体"/>
                <w:kern w:val="0"/>
                <w:sz w:val="20"/>
                <w:szCs w:val="20"/>
              </w:rPr>
              <w:t>重复申请</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3.</w:t>
            </w:r>
            <w:r>
              <w:rPr>
                <w:rFonts w:hint="eastAsia" w:ascii="宋体" w:hAnsi="宋体" w:eastAsia="宋体" w:cs="宋体"/>
                <w:kern w:val="0"/>
                <w:sz w:val="20"/>
                <w:szCs w:val="20"/>
              </w:rPr>
              <w:t>要求提供公开出版物</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4.</w:t>
            </w:r>
            <w:r>
              <w:rPr>
                <w:rFonts w:hint="eastAsia" w:ascii="宋体" w:hAnsi="宋体" w:eastAsia="宋体" w:cs="宋体"/>
                <w:kern w:val="0"/>
                <w:sz w:val="20"/>
                <w:szCs w:val="20"/>
              </w:rPr>
              <w:t>无正当理由大量反复申请</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trHeight w:val="780" w:hRule="atLeast"/>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nil"/>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inset"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textAlignment w:val="center"/>
              <w:rPr>
                <w:rFonts w:ascii="宋体" w:hAnsi="宋体" w:eastAsia="宋体" w:cs="宋体"/>
                <w:kern w:val="0"/>
                <w:sz w:val="24"/>
              </w:rPr>
            </w:pPr>
            <w:r>
              <w:rPr>
                <w:rFonts w:ascii="宋体" w:hAnsi="宋体" w:eastAsia="宋体" w:cs="宋体"/>
                <w:kern w:val="0"/>
                <w:sz w:val="20"/>
                <w:szCs w:val="20"/>
              </w:rPr>
              <w:t>5.</w:t>
            </w:r>
            <w:r>
              <w:rPr>
                <w:rFonts w:hint="eastAsia" w:ascii="宋体" w:hAnsi="宋体" w:eastAsia="宋体" w:cs="宋体"/>
                <w:kern w:val="0"/>
                <w:sz w:val="20"/>
                <w:szCs w:val="20"/>
              </w:rPr>
              <w:t>要求行政机关确认或重新出具已获取信息</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inset"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restart"/>
            <w:tcBorders>
              <w:top w:val="inset" w:color="auto" w:sz="6" w:space="0"/>
              <w:left w:val="nil"/>
              <w:bottom w:val="inset"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（六）其他处理</w:t>
            </w:r>
          </w:p>
        </w:tc>
        <w:tc>
          <w:tcPr>
            <w:tcW w:w="2606"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textAlignment w:val="center"/>
              <w:rPr>
                <w:rFonts w:ascii="宋体" w:hAnsi="宋体" w:eastAsia="宋体" w:cs="宋体"/>
                <w:kern w:val="0"/>
                <w:sz w:val="24"/>
              </w:rPr>
            </w:pPr>
            <w:r>
              <w:rPr>
                <w:rFonts w:ascii="宋体" w:hAnsi="宋体" w:eastAsia="宋体" w:cs="宋体"/>
                <w:kern w:val="0"/>
                <w:sz w:val="20"/>
                <w:szCs w:val="20"/>
              </w:rPr>
              <w:t>1.</w:t>
            </w:r>
            <w:r>
              <w:rPr>
                <w:rFonts w:hint="eastAsia" w:ascii="宋体" w:hAnsi="宋体" w:eastAsia="宋体" w:cs="宋体"/>
                <w:kern w:val="0"/>
                <w:sz w:val="20"/>
                <w:szCs w:val="20"/>
              </w:rPr>
              <w:t>申请人无正当理由逾期不补正、行政机关不再处理其政府信息公开申请</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inset" w:color="auto" w:sz="6" w:space="0"/>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textAlignment w:val="center"/>
              <w:rPr>
                <w:rFonts w:ascii="宋体" w:hAnsi="宋体" w:eastAsia="宋体" w:cs="宋体"/>
                <w:kern w:val="0"/>
                <w:sz w:val="24"/>
              </w:rPr>
            </w:pPr>
            <w:r>
              <w:rPr>
                <w:rFonts w:ascii="宋体" w:hAnsi="宋体" w:eastAsia="宋体" w:cs="宋体"/>
                <w:kern w:val="0"/>
                <w:sz w:val="20"/>
                <w:szCs w:val="20"/>
              </w:rPr>
              <w:t>2.</w:t>
            </w:r>
            <w:r>
              <w:rPr>
                <w:rFonts w:hint="eastAsia" w:ascii="宋体" w:hAnsi="宋体" w:eastAsia="宋体" w:cs="宋体"/>
                <w:kern w:val="0"/>
                <w:sz w:val="20"/>
                <w:szCs w:val="20"/>
              </w:rPr>
              <w:t>申请人逾期未按收费通知要求缴纳费用、行政机关不再处理其政府信息公开申请</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893" w:type="dxa"/>
            <w:vMerge w:val="continue"/>
            <w:tcBorders>
              <w:top w:val="inset" w:color="auto" w:sz="6" w:space="0"/>
              <w:left w:val="nil"/>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2606"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ascii="宋体" w:hAnsi="宋体" w:eastAsia="宋体" w:cs="宋体"/>
                <w:kern w:val="0"/>
                <w:sz w:val="20"/>
                <w:szCs w:val="20"/>
              </w:rPr>
              <w:t>3.</w:t>
            </w:r>
            <w:r>
              <w:rPr>
                <w:rFonts w:hint="eastAsia" w:ascii="宋体" w:hAnsi="宋体" w:eastAsia="宋体" w:cs="宋体"/>
                <w:kern w:val="0"/>
                <w:sz w:val="20"/>
                <w:szCs w:val="20"/>
              </w:rPr>
              <w:t>其他</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709" w:type="dxa"/>
            <w:vMerge w:val="continue"/>
            <w:tcBorders>
              <w:top w:val="nil"/>
              <w:left w:val="single" w:color="auto" w:sz="6" w:space="0"/>
              <w:bottom w:val="inset"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3499" w:type="dxa"/>
            <w:gridSpan w:val="2"/>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（七）总计</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0" w:type="dxa"/>
            <w:left w:w="0" w:type="dxa"/>
            <w:bottom w:w="0" w:type="dxa"/>
            <w:right w:w="0" w:type="dxa"/>
          </w:tblCellMar>
        </w:tblPrEx>
        <w:trPr>
          <w:jc w:val="center"/>
        </w:trPr>
        <w:tc>
          <w:tcPr>
            <w:tcW w:w="4208" w:type="dxa"/>
            <w:gridSpan w:val="3"/>
            <w:tcBorders>
              <w:top w:val="nil"/>
              <w:left w:val="single" w:color="auto" w:sz="6" w:space="0"/>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textAlignment w:val="center"/>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09" w:type="dxa"/>
            <w:tcBorders>
              <w:top w:val="nil"/>
              <w:left w:val="nil"/>
              <w:bottom w:val="single" w:color="auto" w:sz="6" w:space="0"/>
              <w:right w:val="single" w:color="auto" w:sz="6" w:space="0"/>
            </w:tcBorders>
            <w:tcMar>
              <w:top w:w="0" w:type="dxa"/>
              <w:left w:w="60" w:type="dxa"/>
              <w:bottom w:w="0" w:type="dxa"/>
              <w:right w:w="60" w:type="dxa"/>
            </w:tcMa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spacing w:line="240" w:lineRule="auto"/>
        <w:ind w:firstLine="480" w:firstLineChars="0"/>
        <w:textAlignment w:val="center"/>
        <w:rPr>
          <w:rFonts w:ascii="宋体" w:hAnsi="宋体" w:eastAsia="宋体" w:cs="宋体"/>
          <w:kern w:val="0"/>
          <w:sz w:val="24"/>
        </w:rPr>
      </w:pPr>
      <w:r>
        <w:rPr>
          <w:rFonts w:hint="eastAsia" w:ascii="仿宋_GB2312" w:hAnsi="宋体" w:eastAsia="仿宋_GB2312" w:cs="宋体"/>
          <w:b/>
          <w:bCs/>
          <w:kern w:val="0"/>
          <w:szCs w:val="32"/>
        </w:rPr>
        <w:t>四、政府信息公开行政复议、行政诉讼情况</w:t>
      </w:r>
    </w:p>
    <w:tbl>
      <w:tblPr>
        <w:tblStyle w:val="5"/>
        <w:tblW w:w="8516" w:type="dxa"/>
        <w:jc w:val="center"/>
        <w:tblLayout w:type="fixed"/>
        <w:tblCellMar>
          <w:top w:w="0" w:type="dxa"/>
          <w:left w:w="0" w:type="dxa"/>
          <w:bottom w:w="0" w:type="dxa"/>
          <w:right w:w="0" w:type="dxa"/>
        </w:tblCellMar>
      </w:tblPr>
      <w:tblGrid>
        <w:gridCol w:w="567"/>
        <w:gridCol w:w="567"/>
        <w:gridCol w:w="567"/>
        <w:gridCol w:w="567"/>
        <w:gridCol w:w="568"/>
        <w:gridCol w:w="568"/>
        <w:gridCol w:w="568"/>
        <w:gridCol w:w="568"/>
        <w:gridCol w:w="568"/>
        <w:gridCol w:w="568"/>
        <w:gridCol w:w="568"/>
        <w:gridCol w:w="568"/>
        <w:gridCol w:w="568"/>
        <w:gridCol w:w="568"/>
        <w:gridCol w:w="568"/>
      </w:tblGrid>
      <w:tr>
        <w:tblPrEx>
          <w:tblCellMar>
            <w:top w:w="0" w:type="dxa"/>
            <w:left w:w="0" w:type="dxa"/>
            <w:bottom w:w="0" w:type="dxa"/>
            <w:right w:w="0" w:type="dxa"/>
          </w:tblCellMar>
        </w:tblPrEx>
        <w:trPr>
          <w:jc w:val="center"/>
        </w:trPr>
        <w:tc>
          <w:tcPr>
            <w:tcW w:w="2836"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行政复议</w:t>
            </w:r>
          </w:p>
        </w:tc>
        <w:tc>
          <w:tcPr>
            <w:tcW w:w="5680" w:type="dxa"/>
            <w:gridSpan w:val="10"/>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567"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结果维持</w:t>
            </w:r>
          </w:p>
        </w:tc>
        <w:tc>
          <w:tcPr>
            <w:tcW w:w="567"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结果</w:t>
            </w:r>
            <w:r>
              <w:rPr>
                <w:rFonts w:ascii="宋体" w:hAnsi="宋体" w:eastAsia="宋体" w:cs="宋体"/>
                <w:kern w:val="0"/>
                <w:sz w:val="24"/>
              </w:rPr>
              <w:br w:type="textWrapping"/>
            </w:r>
            <w:r>
              <w:rPr>
                <w:rFonts w:hint="eastAsia" w:ascii="宋体" w:hAnsi="宋体" w:eastAsia="宋体" w:cs="宋体"/>
                <w:kern w:val="0"/>
                <w:sz w:val="20"/>
                <w:szCs w:val="20"/>
              </w:rPr>
              <w:t>纠正</w:t>
            </w:r>
          </w:p>
        </w:tc>
        <w:tc>
          <w:tcPr>
            <w:tcW w:w="567"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其他</w:t>
            </w:r>
            <w:r>
              <w:rPr>
                <w:rFonts w:ascii="宋体" w:hAnsi="宋体" w:eastAsia="宋体" w:cs="宋体"/>
                <w:kern w:val="0"/>
                <w:sz w:val="24"/>
              </w:rPr>
              <w:br w:type="textWrapping"/>
            </w:r>
            <w:r>
              <w:rPr>
                <w:rFonts w:hint="eastAsia" w:ascii="宋体" w:hAnsi="宋体" w:eastAsia="宋体" w:cs="宋体"/>
                <w:kern w:val="0"/>
                <w:sz w:val="20"/>
                <w:szCs w:val="20"/>
              </w:rPr>
              <w:t>结果</w:t>
            </w:r>
          </w:p>
        </w:tc>
        <w:tc>
          <w:tcPr>
            <w:tcW w:w="567"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尚未</w:t>
            </w:r>
            <w:r>
              <w:rPr>
                <w:rFonts w:ascii="宋体" w:hAnsi="宋体" w:eastAsia="宋体" w:cs="宋体"/>
                <w:kern w:val="0"/>
                <w:sz w:val="24"/>
              </w:rPr>
              <w:br w:type="textWrapping"/>
            </w:r>
            <w:r>
              <w:rPr>
                <w:rFonts w:hint="eastAsia" w:ascii="宋体" w:hAnsi="宋体" w:eastAsia="宋体" w:cs="宋体"/>
                <w:kern w:val="0"/>
                <w:sz w:val="20"/>
                <w:szCs w:val="20"/>
              </w:rPr>
              <w:t>审结</w:t>
            </w:r>
          </w:p>
        </w:tc>
        <w:tc>
          <w:tcPr>
            <w:tcW w:w="568"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总计</w:t>
            </w:r>
          </w:p>
        </w:tc>
        <w:tc>
          <w:tcPr>
            <w:tcW w:w="2840"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2840"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567" w:type="dxa"/>
            <w:vMerge w:val="continue"/>
            <w:tcBorders>
              <w:top w:val="nil"/>
              <w:left w:val="single" w:color="auto" w:sz="6" w:space="0"/>
              <w:bottom w:val="single"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567" w:type="dxa"/>
            <w:vMerge w:val="continue"/>
            <w:tcBorders>
              <w:top w:val="nil"/>
              <w:left w:val="single" w:color="auto" w:sz="6" w:space="0"/>
              <w:bottom w:val="single"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56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56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56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ind w:firstLine="0" w:firstLineChars="0"/>
              <w:jc w:val="left"/>
              <w:rPr>
                <w:rFonts w:ascii="宋体" w:hAnsi="宋体" w:eastAsia="宋体" w:cs="宋体"/>
                <w:kern w:val="0"/>
                <w:sz w:val="24"/>
              </w:rPr>
            </w:pP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结果</w:t>
            </w:r>
            <w:r>
              <w:rPr>
                <w:rFonts w:ascii="宋体" w:hAnsi="宋体" w:eastAsia="宋体" w:cs="宋体"/>
                <w:kern w:val="0"/>
                <w:sz w:val="24"/>
              </w:rPr>
              <w:br w:type="textWrapping"/>
            </w:r>
            <w:r>
              <w:rPr>
                <w:rFonts w:hint="eastAsia" w:ascii="宋体" w:hAnsi="宋体" w:eastAsia="宋体" w:cs="宋体"/>
                <w:kern w:val="0"/>
                <w:sz w:val="20"/>
                <w:szCs w:val="20"/>
              </w:rPr>
              <w:t>维持</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结果</w:t>
            </w:r>
            <w:r>
              <w:rPr>
                <w:rFonts w:ascii="宋体" w:hAnsi="宋体" w:eastAsia="宋体" w:cs="宋体"/>
                <w:kern w:val="0"/>
                <w:sz w:val="24"/>
              </w:rPr>
              <w:br w:type="textWrapping"/>
            </w:r>
            <w:r>
              <w:rPr>
                <w:rFonts w:hint="eastAsia" w:ascii="宋体" w:hAnsi="宋体" w:eastAsia="宋体" w:cs="宋体"/>
                <w:kern w:val="0"/>
                <w:sz w:val="20"/>
                <w:szCs w:val="20"/>
              </w:rPr>
              <w:t>纠正</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其他</w:t>
            </w:r>
            <w:r>
              <w:rPr>
                <w:rFonts w:ascii="宋体" w:hAnsi="宋体" w:eastAsia="宋体" w:cs="宋体"/>
                <w:kern w:val="0"/>
                <w:sz w:val="24"/>
              </w:rPr>
              <w:br w:type="textWrapping"/>
            </w:r>
            <w:r>
              <w:rPr>
                <w:rFonts w:hint="eastAsia" w:ascii="宋体" w:hAnsi="宋体" w:eastAsia="宋体" w:cs="宋体"/>
                <w:kern w:val="0"/>
                <w:sz w:val="20"/>
                <w:szCs w:val="20"/>
              </w:rPr>
              <w:t>结果</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尚未</w:t>
            </w:r>
            <w:r>
              <w:rPr>
                <w:rFonts w:ascii="宋体" w:hAnsi="宋体" w:eastAsia="宋体" w:cs="宋体"/>
                <w:kern w:val="0"/>
                <w:sz w:val="24"/>
              </w:rPr>
              <w:br w:type="textWrapping"/>
            </w:r>
            <w:r>
              <w:rPr>
                <w:rFonts w:hint="eastAsia" w:ascii="宋体" w:hAnsi="宋体" w:eastAsia="宋体" w:cs="宋体"/>
                <w:kern w:val="0"/>
                <w:sz w:val="20"/>
                <w:szCs w:val="20"/>
              </w:rPr>
              <w:t>审结</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总计</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结果</w:t>
            </w:r>
            <w:r>
              <w:rPr>
                <w:rFonts w:ascii="宋体" w:hAnsi="宋体" w:eastAsia="宋体" w:cs="宋体"/>
                <w:kern w:val="0"/>
                <w:sz w:val="24"/>
              </w:rPr>
              <w:br w:type="textWrapping"/>
            </w:r>
            <w:r>
              <w:rPr>
                <w:rFonts w:hint="eastAsia" w:ascii="宋体" w:hAnsi="宋体" w:eastAsia="宋体" w:cs="宋体"/>
                <w:kern w:val="0"/>
                <w:sz w:val="20"/>
                <w:szCs w:val="20"/>
              </w:rPr>
              <w:t>维持</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结果</w:t>
            </w:r>
            <w:r>
              <w:rPr>
                <w:rFonts w:ascii="宋体" w:hAnsi="宋体" w:eastAsia="宋体" w:cs="宋体"/>
                <w:kern w:val="0"/>
                <w:sz w:val="24"/>
              </w:rPr>
              <w:br w:type="textWrapping"/>
            </w:r>
            <w:r>
              <w:rPr>
                <w:rFonts w:hint="eastAsia" w:ascii="宋体" w:hAnsi="宋体" w:eastAsia="宋体" w:cs="宋体"/>
                <w:kern w:val="0"/>
                <w:sz w:val="20"/>
                <w:szCs w:val="20"/>
              </w:rPr>
              <w:t>纠正</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其他</w:t>
            </w:r>
            <w:r>
              <w:rPr>
                <w:rFonts w:ascii="宋体" w:hAnsi="宋体" w:eastAsia="宋体" w:cs="宋体"/>
                <w:kern w:val="0"/>
                <w:sz w:val="24"/>
              </w:rPr>
              <w:br w:type="textWrapping"/>
            </w:r>
            <w:r>
              <w:rPr>
                <w:rFonts w:hint="eastAsia" w:ascii="宋体" w:hAnsi="宋体" w:eastAsia="宋体" w:cs="宋体"/>
                <w:kern w:val="0"/>
                <w:sz w:val="20"/>
                <w:szCs w:val="20"/>
              </w:rPr>
              <w:t>结果</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尚未</w:t>
            </w:r>
            <w:r>
              <w:rPr>
                <w:rFonts w:ascii="宋体" w:hAnsi="宋体" w:eastAsia="宋体" w:cs="宋体"/>
                <w:kern w:val="0"/>
                <w:sz w:val="24"/>
              </w:rPr>
              <w:br w:type="textWrapping"/>
            </w:r>
            <w:r>
              <w:rPr>
                <w:rFonts w:hint="eastAsia" w:ascii="宋体" w:hAnsi="宋体" w:eastAsia="宋体" w:cs="宋体"/>
                <w:kern w:val="0"/>
                <w:sz w:val="20"/>
                <w:szCs w:val="20"/>
              </w:rPr>
              <w:t>审结</w:t>
            </w:r>
          </w:p>
        </w:tc>
        <w:tc>
          <w:tcPr>
            <w:tcW w:w="56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75" w:hRule="atLeast"/>
          <w:jc w:val="center"/>
        </w:trPr>
        <w:tc>
          <w:tcPr>
            <w:tcW w:w="5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7"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568"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uto"/>
              <w:ind w:firstLine="0" w:firstLineChars="0"/>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spacing w:line="240" w:lineRule="auto"/>
        <w:ind w:firstLine="480" w:firstLineChars="0"/>
        <w:textAlignment w:val="center"/>
        <w:rPr>
          <w:rFonts w:ascii="仿宋_GB2312" w:hAnsi="宋体" w:eastAsia="仿宋_GB2312" w:cs="宋体"/>
          <w:kern w:val="0"/>
          <w:szCs w:val="32"/>
        </w:rPr>
      </w:pPr>
      <w:r>
        <w:rPr>
          <w:rFonts w:hint="eastAsia" w:ascii="仿宋_GB2312" w:hAnsi="宋体" w:eastAsia="仿宋_GB2312" w:cs="宋体"/>
          <w:b/>
          <w:bCs/>
          <w:kern w:val="0"/>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480" w:firstLineChars="0"/>
        <w:textAlignment w:val="center"/>
        <w:outlineLvl w:val="9"/>
        <w:rPr>
          <w:rFonts w:hint="eastAsia" w:ascii="仿宋_GB2312" w:hAnsi="仿宋_GB2312" w:eastAsia="仿宋_GB2312" w:cs="仿宋_GB2312"/>
          <w:bCs/>
          <w:sz w:val="28"/>
          <w:szCs w:val="28"/>
          <w:shd w:val="clear" w:color="auto" w:fill="FFFFFF"/>
        </w:rPr>
      </w:pPr>
      <w:r>
        <w:rPr>
          <w:rFonts w:hint="eastAsia" w:ascii="仿宋_GB2312" w:hAnsi="宋体" w:eastAsia="仿宋_GB2312" w:cs="宋体"/>
          <w:kern w:val="0"/>
          <w:sz w:val="28"/>
          <w:szCs w:val="28"/>
          <w:lang w:val="en-US" w:eastAsia="zh-CN"/>
        </w:rPr>
        <w:t>2021年，</w:t>
      </w:r>
      <w:r>
        <w:rPr>
          <w:rFonts w:hint="eastAsia" w:ascii="仿宋_GB2312" w:hAnsi="仿宋_GB2312" w:eastAsia="仿宋_GB2312" w:cs="仿宋_GB2312"/>
          <w:bCs/>
          <w:sz w:val="28"/>
          <w:szCs w:val="28"/>
          <w:shd w:val="clear" w:color="auto" w:fill="FFFFFF"/>
        </w:rPr>
        <w:t>我镇政府信息公开工作虽取得了一定成效，但也存在一些不足：</w:t>
      </w:r>
      <w:r>
        <w:rPr>
          <w:rFonts w:hint="eastAsia" w:ascii="仿宋_GB2312" w:hAnsi="仿宋_GB2312" w:eastAsia="仿宋_GB2312" w:cs="仿宋_GB2312"/>
          <w:bCs/>
          <w:sz w:val="28"/>
          <w:szCs w:val="28"/>
          <w:shd w:val="clear" w:color="auto" w:fill="FFFFFF"/>
          <w:lang w:eastAsia="zh-CN"/>
        </w:rPr>
        <w:t>政务</w:t>
      </w:r>
      <w:r>
        <w:rPr>
          <w:rFonts w:hint="eastAsia" w:ascii="仿宋_GB2312" w:hAnsi="宋体" w:eastAsia="仿宋_GB2312" w:cs="宋体"/>
          <w:kern w:val="0"/>
          <w:sz w:val="28"/>
          <w:szCs w:val="28"/>
          <w:lang w:eastAsia="zh-CN"/>
        </w:rPr>
        <w:t>信息公开的影响力有待提升。群众对公开的信息关注度不高，</w:t>
      </w:r>
      <w:r>
        <w:rPr>
          <w:rFonts w:hint="eastAsia" w:ascii="仿宋_GB2312" w:hAnsi="仿宋_GB2312" w:eastAsia="仿宋_GB2312" w:cs="仿宋_GB2312"/>
          <w:bCs/>
          <w:sz w:val="28"/>
          <w:szCs w:val="28"/>
          <w:shd w:val="clear" w:color="auto" w:fill="FFFFFF"/>
        </w:rPr>
        <w:t>政务信息公开工作在主动公开的政府信息内容与公众的需求还存在差距，政府信息公开的时效性、便民性、系统性有待提高。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tLeast"/>
        <w:ind w:firstLine="420"/>
        <w:jc w:val="both"/>
        <w:outlineLvl w:val="9"/>
        <w:rPr>
          <w:rFonts w:hint="eastAsia" w:ascii="仿宋_GB2312" w:hAnsi="宋体" w:eastAsia="仿宋_GB2312" w:cs="宋体"/>
          <w:kern w:val="0"/>
          <w:szCs w:val="32"/>
        </w:rPr>
      </w:pPr>
      <w:r>
        <w:rPr>
          <w:rFonts w:hint="eastAsia" w:ascii="仿宋_GB2312" w:hAnsi="仿宋_GB2312" w:eastAsia="仿宋_GB2312" w:cs="仿宋_GB2312"/>
          <w:bCs/>
          <w:sz w:val="28"/>
          <w:szCs w:val="28"/>
          <w:shd w:val="clear" w:color="auto" w:fill="FFFFFF"/>
          <w:lang w:val="en-US" w:eastAsia="zh-CN"/>
        </w:rPr>
        <w:t>2022年，我镇</w:t>
      </w:r>
      <w:r>
        <w:rPr>
          <w:rFonts w:hint="eastAsia" w:ascii="仿宋_GB2312" w:hAnsi="仿宋_GB2312" w:eastAsia="仿宋_GB2312" w:cs="仿宋_GB2312"/>
          <w:bCs/>
          <w:sz w:val="28"/>
          <w:szCs w:val="28"/>
          <w:shd w:val="clear" w:color="auto" w:fill="FFFFFF"/>
        </w:rPr>
        <w:t>将重点从以下几个方面改进提升：一是深化主动公开。以群众需求为导向，按照规范、高效、便民、廉洁原则，根据全市政务服务工作实际，进一步完善政务服务公开目录，推进依法公开、安全公开。二是落实工作制度。坚决执行信息公开工作制度，强化责任落实，严格责任追究，全面推动信息公开各项工作落实到位。三是提高公开质量。坚持以群众需求为出发点，对群众广泛关注、涉及百姓切实利益的重点领域，重大民生事项，全流程、全过程公开，充分发挥政府信息对人民群众生产、生活和经济社会活动的服务作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line="240" w:lineRule="atLeast"/>
        <w:ind w:firstLine="643" w:firstLineChars="200"/>
        <w:textAlignment w:val="center"/>
        <w:rPr>
          <w:rFonts w:hint="eastAsia" w:ascii="仿宋_GB2312" w:hAnsi="宋体" w:eastAsia="仿宋_GB2312" w:cs="宋体"/>
          <w:b/>
          <w:bCs/>
          <w:kern w:val="0"/>
          <w:szCs w:val="32"/>
        </w:rPr>
      </w:pPr>
      <w:r>
        <w:rPr>
          <w:rFonts w:hint="eastAsia" w:ascii="仿宋_GB2312" w:hAnsi="宋体" w:eastAsia="仿宋_GB2312" w:cs="宋体"/>
          <w:b/>
          <w:bCs/>
          <w:kern w:val="0"/>
          <w:szCs w:val="32"/>
        </w:rPr>
        <w:t>其他需要报告的事项</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tLeast"/>
        <w:ind w:firstLine="420"/>
        <w:jc w:val="both"/>
        <w:outlineLvl w:val="9"/>
        <w:rPr>
          <w:rFonts w:hint="eastAsia" w:ascii="仿宋_GB2312" w:hAnsi="仿宋_GB2312" w:eastAsia="仿宋_GB2312" w:cs="仿宋_GB2312"/>
          <w:bCs/>
          <w:sz w:val="28"/>
          <w:szCs w:val="28"/>
          <w:shd w:val="clear" w:color="auto" w:fill="FFFFFF"/>
        </w:rPr>
      </w:pPr>
      <w:r>
        <w:rPr>
          <w:rFonts w:hint="eastAsia" w:ascii="仿宋_GB2312" w:hAnsi="仿宋_GB2312" w:eastAsia="仿宋_GB2312" w:cs="仿宋_GB2312"/>
          <w:bCs/>
          <w:sz w:val="28"/>
          <w:szCs w:val="28"/>
          <w:shd w:val="clear" w:color="auto" w:fill="FFFFFF"/>
          <w:lang w:eastAsia="zh-CN"/>
        </w:rPr>
        <w:t>无</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0" w:firstLineChars="0"/>
        <w:jc w:val="right"/>
        <w:textAlignment w:val="center"/>
        <w:rPr>
          <w:rFonts w:hint="default" w:ascii="仿宋_GB2312" w:hAnsi="宋体" w:eastAsia="仿宋_GB2312" w:cs="宋体"/>
          <w:kern w:val="0"/>
          <w:sz w:val="28"/>
          <w:szCs w:val="28"/>
          <w:lang w:val="en-US" w:eastAsia="zh-CN"/>
        </w:rPr>
      </w:pPr>
      <w:r>
        <w:rPr>
          <w:rFonts w:hint="eastAsia" w:ascii="仿宋_GB2312" w:hAnsi="宋体" w:eastAsia="仿宋_GB2312" w:cs="宋体"/>
          <w:b/>
          <w:bCs/>
          <w:kern w:val="0"/>
          <w:szCs w:val="32"/>
          <w:lang w:val="en-US" w:eastAsia="zh-CN"/>
        </w:rPr>
        <w:t xml:space="preserve"> </w:t>
      </w:r>
      <w:r>
        <w:rPr>
          <w:rFonts w:hint="eastAsia" w:ascii="仿宋_GB2312" w:hAnsi="宋体" w:eastAsia="仿宋_GB2312" w:cs="宋体"/>
          <w:kern w:val="0"/>
          <w:sz w:val="28"/>
          <w:szCs w:val="28"/>
          <w:lang w:val="en-US" w:eastAsia="zh-CN"/>
        </w:rPr>
        <w:t xml:space="preserve">沿溪镇人民政府 </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0" w:firstLineChars="0"/>
        <w:jc w:val="right"/>
        <w:textAlignment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2022年1月14日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C39E4"/>
    <w:multiLevelType w:val="singleLevel"/>
    <w:tmpl w:val="15BC39E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64E13"/>
    <w:rsid w:val="00072C8C"/>
    <w:rsid w:val="00082740"/>
    <w:rsid w:val="000C6292"/>
    <w:rsid w:val="001E76B2"/>
    <w:rsid w:val="0040700A"/>
    <w:rsid w:val="00515BC3"/>
    <w:rsid w:val="008D0840"/>
    <w:rsid w:val="009C10D0"/>
    <w:rsid w:val="00C1324A"/>
    <w:rsid w:val="00FF0A4C"/>
    <w:rsid w:val="02D026C1"/>
    <w:rsid w:val="02DC1D17"/>
    <w:rsid w:val="1651261D"/>
    <w:rsid w:val="1CDEAE7D"/>
    <w:rsid w:val="1FB9288D"/>
    <w:rsid w:val="335B9F8B"/>
    <w:rsid w:val="38CF7436"/>
    <w:rsid w:val="3F9F3DE6"/>
    <w:rsid w:val="3FDF6882"/>
    <w:rsid w:val="400A6200"/>
    <w:rsid w:val="5E464E13"/>
    <w:rsid w:val="5F735369"/>
    <w:rsid w:val="675F1D0C"/>
    <w:rsid w:val="6F7D3C86"/>
    <w:rsid w:val="6FCF80E5"/>
    <w:rsid w:val="75BF89DD"/>
    <w:rsid w:val="7B7C4ABB"/>
    <w:rsid w:val="BB7E58F3"/>
    <w:rsid w:val="BBBF96D4"/>
    <w:rsid w:val="BFDE063E"/>
    <w:rsid w:val="EBFB5D1B"/>
    <w:rsid w:val="ECFB46A6"/>
    <w:rsid w:val="EF6BBE3D"/>
    <w:rsid w:val="F6FE24E4"/>
    <w:rsid w:val="FCB76D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ascii="Calibri" w:hAnsi="Calibri" w:eastAsia="仿宋" w:cs="Times New Roman"/>
      <w:kern w:val="2"/>
      <w:sz w:val="32"/>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Header Char"/>
    <w:basedOn w:val="6"/>
    <w:link w:val="3"/>
    <w:qFormat/>
    <w:locked/>
    <w:uiPriority w:val="99"/>
    <w:rPr>
      <w:rFonts w:ascii="Calibri" w:hAnsi="Calibri" w:eastAsia="仿宋" w:cs="Times New Roman"/>
      <w:kern w:val="2"/>
      <w:sz w:val="18"/>
      <w:szCs w:val="18"/>
    </w:rPr>
  </w:style>
  <w:style w:type="character" w:customStyle="1" w:styleId="8">
    <w:name w:val="Footer Char"/>
    <w:basedOn w:val="6"/>
    <w:link w:val="2"/>
    <w:qFormat/>
    <w:locked/>
    <w:uiPriority w:val="99"/>
    <w:rPr>
      <w:rFonts w:ascii="Calibri" w:hAnsi="Calibri" w:eastAsia="仿宋"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177</Words>
  <Characters>1015</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2022-01-05T06:24:00Z</dcterms:created>
  <dc:creator>Changsha</dc:creator>
  <cp:lastModifiedBy>。</cp:lastModifiedBy>
  <dcterms:modified xsi:type="dcterms:W3CDTF">2022-02-07T08:40:24Z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D6E260BFDB144BF2BBEB82F2D734B8AC</vt:lpwstr>
  </property>
</Properties>
</file>