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p>
    <w:p>
      <w:pPr>
        <w:jc w:val="center"/>
        <w:rPr>
          <w:rFonts w:hint="eastAsia" w:ascii="方正小标宋简体" w:hAnsi="Times New Roman" w:eastAsia="方正小标宋简体"/>
          <w:color w:val="000000"/>
          <w:sz w:val="48"/>
          <w:szCs w:val="48"/>
        </w:rPr>
      </w:pPr>
    </w:p>
    <w:p>
      <w:pPr>
        <w:jc w:val="center"/>
        <w:rPr>
          <w:rFonts w:hint="eastAsia" w:ascii="方正小标宋简体" w:hAnsi="Times New Roman" w:eastAsia="方正小标宋简体"/>
          <w:color w:val="000000"/>
          <w:sz w:val="48"/>
          <w:szCs w:val="48"/>
        </w:rPr>
      </w:pPr>
      <w:r>
        <w:rPr>
          <w:rFonts w:hint="eastAsia" w:ascii="方正小标宋简体" w:hAnsi="Times New Roman" w:eastAsia="方正小标宋简体"/>
          <w:color w:val="000000"/>
          <w:sz w:val="48"/>
          <w:szCs w:val="48"/>
        </w:rPr>
        <w:t>202</w:t>
      </w:r>
      <w:r>
        <w:rPr>
          <w:rFonts w:hint="eastAsia" w:ascii="方正小标宋简体" w:hAnsi="Times New Roman" w:eastAsia="方正小标宋简体"/>
          <w:color w:val="000000"/>
          <w:sz w:val="48"/>
          <w:szCs w:val="48"/>
          <w:lang w:val="en-US" w:eastAsia="zh-CN"/>
        </w:rPr>
        <w:t>2</w:t>
      </w:r>
      <w:r>
        <w:rPr>
          <w:rFonts w:hint="eastAsia" w:ascii="方正小标宋简体" w:hAnsi="Times New Roman" w:eastAsia="方正小标宋简体"/>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pacing w:val="-14"/>
          <w:sz w:val="36"/>
          <w:szCs w:val="36"/>
        </w:rPr>
      </w:pPr>
      <w:r>
        <w:rPr>
          <w:rFonts w:ascii="Times New Roman" w:hAnsi="Times New Roman" w:eastAsia="黑体"/>
          <w:color w:val="000000"/>
          <w:spacing w:val="-14"/>
          <w:sz w:val="36"/>
          <w:szCs w:val="36"/>
        </w:rPr>
        <w:t>单位名称（盖章）：湖南省浏阳大围山国家森林公园管理处</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楷体_GB2312"/>
          <w:b/>
          <w:color w:val="000000"/>
          <w:sz w:val="36"/>
          <w:szCs w:val="36"/>
        </w:rPr>
      </w:pPr>
      <w:r>
        <w:rPr>
          <w:rFonts w:ascii="Times New Roman" w:hAnsi="Times New Roman" w:eastAsia="楷体_GB2312"/>
          <w:b/>
          <w:color w:val="000000"/>
          <w:sz w:val="36"/>
          <w:szCs w:val="36"/>
        </w:rPr>
        <w:t>二O二</w:t>
      </w:r>
      <w:r>
        <w:rPr>
          <w:rFonts w:hint="eastAsia" w:ascii="Times New Roman" w:hAnsi="Times New Roman" w:eastAsia="楷体_GB2312"/>
          <w:b/>
          <w:color w:val="000000"/>
          <w:sz w:val="36"/>
          <w:szCs w:val="36"/>
          <w:lang w:val="en-US" w:eastAsia="zh-CN"/>
        </w:rPr>
        <w:t>三</w:t>
      </w:r>
      <w:r>
        <w:rPr>
          <w:rFonts w:ascii="Times New Roman" w:hAnsi="Times New Roman" w:eastAsia="楷体_GB2312"/>
          <w:b/>
          <w:color w:val="000000"/>
          <w:sz w:val="36"/>
          <w:szCs w:val="36"/>
        </w:rPr>
        <w:t>年</w:t>
      </w:r>
      <w:r>
        <w:rPr>
          <w:rFonts w:hint="eastAsia" w:ascii="Times New Roman" w:hAnsi="Times New Roman" w:eastAsia="楷体_GB2312"/>
          <w:b/>
          <w:color w:val="000000"/>
          <w:sz w:val="36"/>
          <w:szCs w:val="36"/>
          <w:lang w:val="en-US" w:eastAsia="zh-CN"/>
        </w:rPr>
        <w:t>九</w:t>
      </w:r>
      <w:r>
        <w:rPr>
          <w:rFonts w:ascii="Times New Roman" w:hAnsi="Times New Roman" w:eastAsia="楷体_GB2312"/>
          <w:b/>
          <w:color w:val="000000"/>
          <w:sz w:val="36"/>
          <w:szCs w:val="36"/>
        </w:rPr>
        <w:t>月</w:t>
      </w:r>
      <w:r>
        <w:rPr>
          <w:rFonts w:hint="eastAsia" w:ascii="Times New Roman" w:hAnsi="Times New Roman" w:eastAsia="楷体_GB2312"/>
          <w:b/>
          <w:color w:val="000000"/>
          <w:sz w:val="36"/>
          <w:szCs w:val="36"/>
          <w:lang w:val="en-US" w:eastAsia="zh-CN"/>
        </w:rPr>
        <w:t>二十五</w:t>
      </w:r>
      <w:r>
        <w:rPr>
          <w:rFonts w:ascii="Times New Roman" w:hAnsi="Times New Roman" w:eastAsia="楷体_GB2312"/>
          <w:b/>
          <w:color w:val="000000"/>
          <w:sz w:val="36"/>
          <w:szCs w:val="36"/>
        </w:rPr>
        <w:t>日</w:t>
      </w:r>
    </w:p>
    <w:p>
      <w:pPr>
        <w:pStyle w:val="10"/>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sz w:val="32"/>
          <w:szCs w:val="32"/>
        </w:rPr>
        <w:br w:type="page"/>
      </w:r>
      <w:r>
        <w:rPr>
          <w:rFonts w:ascii="Times New Roman" w:hAnsi="Times New Roman" w:eastAsia="黑体"/>
          <w:color w:val="000000"/>
          <w:kern w:val="0"/>
          <w:sz w:val="32"/>
          <w:szCs w:val="32"/>
        </w:rPr>
        <w:t>一、部门概况</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（一）部门职能概述</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贯彻执行国家关于森林公园管理的法律、法规和行业标准。依照《国家森林公园管理办法》和《湖南省森林公园管理条例》的规定，对公园实施全面管理。在公园开发建设中负责对各种关系协调、组织。</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协同市林业行政管理部门负责编制公园的中长期发展规划和年度发展计划。按照森林公园管理的有关规定，结合本园的实际，制订公园管理的办法和细则，并组织实施。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负责组织园内旅游资源的开发、利用和保护。组织旅游建设项目的实施，对其它单位和个人在园内投资的旅游项目依法进行管理和监督。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负责园内的经营管理，对园内经营旅游业务的单位和个人依法进行管理和监督，引导旅游市场健康发展。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 负责对园内旅游、交通、治安、消防、林政、护林防火、自然保护、工商、宗教、文化、环保、规划、国土、税务、物价、卫生防疫、劳动、统计等各项工作进行管理，同时，在业务上接受各相关行业主管部门的指导。</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 负责园内服务质量的检查监督，受理游客投诉并进行查处。　</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 根据上级审批的建设项目总体规划，负责制定公园的详规和小区规划；在建设项目中实施规划管理，组织规划的实施。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 负责组织招商引资，并按照有关优惠政策，搞好投资环境的优化，促进公园的开发建设工作。根据公园的发展规划和要求，协同有关职能部门负责承办公园内建设项目的审核、报批手续。　</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 根据国家有关政策和法律规定，制定园内有关收费和收费标准的规定，并按程序报批。组织好各种税收和规费的收缴、管理。</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 负责公园的治安保卫和综合治理工作，开展治安小区活动，积极开展精神文明建设。</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kern w:val="0"/>
          <w:sz w:val="32"/>
          <w:szCs w:val="32"/>
        </w:rPr>
        <w:t>11. 完成浏阳市委、市人民政府和上级业务主管部门交办的其他工作任务。</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（二）部门组织机构及人员情况</w:t>
      </w:r>
    </w:p>
    <w:p>
      <w:pPr>
        <w:spacing w:line="600" w:lineRule="exact"/>
        <w:ind w:firstLine="640" w:firstLineChars="200"/>
        <w:rPr>
          <w:rFonts w:ascii="Times New Roman" w:hAnsi="Times New Roman" w:eastAsia="仿宋"/>
          <w:sz w:val="32"/>
        </w:rPr>
      </w:pPr>
      <w:r>
        <w:rPr>
          <w:rFonts w:ascii="Times New Roman" w:hAnsi="Times New Roman" w:eastAsia="仿宋_GB2312"/>
          <w:color w:val="000000"/>
          <w:kern w:val="0"/>
          <w:sz w:val="32"/>
          <w:szCs w:val="32"/>
        </w:rPr>
        <w:t>大国山国家森林公园管理处是根据市人民政府授权负责大围山森林公园行政管理工作的副县级事业单位，下设6个副科级内设机构：办公室、财务科、安全保卫科、防火科、经营销售科、地质研究和建设科；</w:t>
      </w:r>
      <w:r>
        <w:rPr>
          <w:rFonts w:ascii="Times New Roman" w:hAnsi="Times New Roman" w:eastAsia="仿宋_GB2312"/>
          <w:sz w:val="32"/>
        </w:rPr>
        <w:t>2个下属机构：浏阳大围山自然保护区管理所、浏阳市大围山国有林场。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公园前身为1958年成立的国营大围山林场，1992年被批准建设国家森林公园，1996年8月1日开园，是国家AAAA级景区、国家地质公园、国家生态旅游示范区、湖南省自然保护区、湖南省风景名胜区、</w:t>
      </w:r>
      <w:r>
        <w:rPr>
          <w:rFonts w:ascii="Times New Roman" w:hAnsi="Times New Roman" w:eastAsia="仿宋_GB2312"/>
          <w:sz w:val="32"/>
        </w:rPr>
        <w:t>省级旅游度假区</w:t>
      </w:r>
      <w:r>
        <w:rPr>
          <w:rFonts w:ascii="Times New Roman" w:hAnsi="Times New Roman" w:eastAsia="仿宋_GB2312"/>
          <w:color w:val="000000"/>
          <w:kern w:val="0"/>
          <w:sz w:val="32"/>
          <w:szCs w:val="32"/>
        </w:rPr>
        <w:t>。我单位在编人员</w:t>
      </w:r>
      <w:r>
        <w:rPr>
          <w:rFonts w:hint="eastAsia" w:ascii="Times New Roman" w:hAnsi="Times New Roman" w:eastAsia="仿宋_GB2312"/>
          <w:color w:val="000000"/>
          <w:kern w:val="0"/>
          <w:sz w:val="32"/>
          <w:szCs w:val="32"/>
          <w:lang w:val="en-US" w:eastAsia="zh-CN"/>
        </w:rPr>
        <w:t>93</w:t>
      </w:r>
      <w:r>
        <w:rPr>
          <w:rFonts w:ascii="Times New Roman" w:hAnsi="Times New Roman" w:eastAsia="仿宋_GB2312"/>
          <w:color w:val="000000"/>
          <w:kern w:val="0"/>
          <w:sz w:val="32"/>
          <w:szCs w:val="32"/>
        </w:rPr>
        <w:t>人，其中管理处在职</w:t>
      </w:r>
      <w:r>
        <w:rPr>
          <w:rFonts w:hint="eastAsia" w:ascii="Times New Roman" w:hAnsi="Times New Roman" w:eastAsia="仿宋_GB2312"/>
          <w:color w:val="000000"/>
          <w:kern w:val="0"/>
          <w:sz w:val="32"/>
          <w:szCs w:val="32"/>
          <w:lang w:val="en-US" w:eastAsia="zh-CN"/>
        </w:rPr>
        <w:t>41</w:t>
      </w:r>
      <w:r>
        <w:rPr>
          <w:rFonts w:ascii="Times New Roman" w:hAnsi="Times New Roman" w:eastAsia="仿宋_GB2312"/>
          <w:color w:val="000000"/>
          <w:kern w:val="0"/>
          <w:sz w:val="32"/>
          <w:szCs w:val="32"/>
        </w:rPr>
        <w:t>人（全额拨款），退休3人（全额）；林场在职</w:t>
      </w:r>
      <w:r>
        <w:rPr>
          <w:rFonts w:hint="eastAsia" w:ascii="Times New Roman" w:hAnsi="Times New Roman" w:eastAsia="仿宋_GB2312"/>
          <w:color w:val="000000"/>
          <w:kern w:val="0"/>
          <w:sz w:val="32"/>
          <w:szCs w:val="32"/>
          <w:lang w:val="en-US" w:eastAsia="zh-CN"/>
        </w:rPr>
        <w:t>45</w:t>
      </w:r>
      <w:r>
        <w:rPr>
          <w:rFonts w:ascii="Times New Roman" w:hAnsi="Times New Roman" w:eastAsia="仿宋_GB2312"/>
          <w:color w:val="000000"/>
          <w:kern w:val="0"/>
          <w:sz w:val="32"/>
          <w:szCs w:val="32"/>
        </w:rPr>
        <w:t>人（差额），退休</w:t>
      </w:r>
      <w:r>
        <w:rPr>
          <w:rFonts w:hint="eastAsia" w:ascii="Times New Roman" w:hAnsi="Times New Roman" w:eastAsia="仿宋_GB2312"/>
          <w:color w:val="000000"/>
          <w:kern w:val="0"/>
          <w:sz w:val="32"/>
          <w:szCs w:val="32"/>
          <w:lang w:val="en-US" w:eastAsia="zh-CN"/>
        </w:rPr>
        <w:t>52</w:t>
      </w:r>
      <w:r>
        <w:rPr>
          <w:rFonts w:ascii="Times New Roman" w:hAnsi="Times New Roman" w:eastAsia="仿宋_GB2312"/>
          <w:color w:val="000000"/>
          <w:kern w:val="0"/>
          <w:sz w:val="32"/>
          <w:szCs w:val="32"/>
        </w:rPr>
        <w:t>人，保护所在职7人，退休5人。</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2022年</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在市委、市政府的正确领导下，管理处始终坚持以习近平新时代中国特色社会主义思想为指导，不断加强党的领导，推进政治建设，攻坚克难，求真务实，在生态环保、项目建设、品牌营销、景区管理等工作上取得了新成绩新突破，圆满完成了各项目标任务。全年共计接待游客90万人次，实现综合旅游收入1.8亿元，获评“2022年全省国有林场质量管理十佳单位”、“省级优秀自然保护区”、“省级优秀森林公园”、“湖南省研学旅游（示范）基地”、“湖南省第一批五星级森林人家”等荣誉称号。</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（四）部门整体支出规模、使用方向、主要内容和涉及范围</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kern w:val="0"/>
          <w:sz w:val="32"/>
          <w:szCs w:val="32"/>
        </w:rPr>
        <w:t>年度总支出</w:t>
      </w:r>
      <w:r>
        <w:rPr>
          <w:rFonts w:hint="eastAsia" w:ascii="Times New Roman" w:hAnsi="Times New Roman" w:eastAsia="仿宋_GB2312"/>
          <w:color w:val="000000"/>
          <w:kern w:val="0"/>
          <w:sz w:val="32"/>
          <w:szCs w:val="32"/>
        </w:rPr>
        <w:t>4094.29</w:t>
      </w:r>
      <w:r>
        <w:rPr>
          <w:rFonts w:ascii="Times New Roman" w:hAnsi="Times New Roman" w:eastAsia="仿宋_GB2312"/>
          <w:color w:val="000000"/>
          <w:kern w:val="0"/>
          <w:sz w:val="32"/>
          <w:szCs w:val="32"/>
        </w:rPr>
        <w:t>万元，其中基本支出</w:t>
      </w:r>
      <w:r>
        <w:rPr>
          <w:rFonts w:hint="eastAsia" w:ascii="Times New Roman" w:hAnsi="Times New Roman" w:eastAsia="仿宋_GB2312"/>
          <w:color w:val="000000"/>
          <w:kern w:val="0"/>
          <w:sz w:val="32"/>
          <w:szCs w:val="32"/>
        </w:rPr>
        <w:t>2103.71</w:t>
      </w:r>
      <w:r>
        <w:rPr>
          <w:rFonts w:ascii="Times New Roman" w:hAnsi="Times New Roman" w:eastAsia="仿宋_GB2312"/>
          <w:color w:val="000000"/>
          <w:kern w:val="0"/>
          <w:sz w:val="32"/>
          <w:szCs w:val="32"/>
        </w:rPr>
        <w:t>万元，项目支出</w:t>
      </w:r>
      <w:r>
        <w:rPr>
          <w:rFonts w:hint="eastAsia" w:ascii="Times New Roman" w:hAnsi="Times New Roman" w:eastAsia="仿宋_GB2312"/>
          <w:color w:val="000000"/>
          <w:kern w:val="0"/>
          <w:sz w:val="32"/>
          <w:szCs w:val="32"/>
        </w:rPr>
        <w:t>1990.58</w:t>
      </w:r>
      <w:r>
        <w:rPr>
          <w:rFonts w:ascii="Times New Roman" w:hAnsi="Times New Roman" w:eastAsia="仿宋_GB2312"/>
          <w:color w:val="000000"/>
          <w:kern w:val="0"/>
          <w:sz w:val="32"/>
          <w:szCs w:val="32"/>
        </w:rPr>
        <w:t>万元。支出包括保障管理处及林场基本运行的经费，以及大围山旅游发展、杜鹃花节活动、森林管护、园区综合管理、重点专项工作经费等项目支出。</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kern w:val="0"/>
          <w:sz w:val="32"/>
          <w:szCs w:val="32"/>
        </w:rPr>
        <w:t>年总支出为</w:t>
      </w:r>
      <w:r>
        <w:rPr>
          <w:rFonts w:hint="eastAsia" w:ascii="Times New Roman" w:hAnsi="Times New Roman" w:eastAsia="仿宋_GB2312"/>
          <w:color w:val="000000"/>
          <w:kern w:val="0"/>
          <w:sz w:val="32"/>
          <w:szCs w:val="32"/>
        </w:rPr>
        <w:t>4094.29</w:t>
      </w:r>
      <w:r>
        <w:rPr>
          <w:rFonts w:ascii="Times New Roman" w:hAnsi="Times New Roman" w:eastAsia="仿宋_GB2312"/>
          <w:color w:val="000000"/>
          <w:kern w:val="0"/>
          <w:sz w:val="32"/>
          <w:szCs w:val="32"/>
        </w:rPr>
        <w:t>万元，其中基本支出</w:t>
      </w:r>
      <w:r>
        <w:rPr>
          <w:rFonts w:hint="eastAsia" w:ascii="Times New Roman" w:hAnsi="Times New Roman" w:eastAsia="仿宋_GB2312"/>
          <w:color w:val="000000"/>
          <w:kern w:val="0"/>
          <w:sz w:val="32"/>
          <w:szCs w:val="32"/>
        </w:rPr>
        <w:t>2103.71</w:t>
      </w:r>
      <w:r>
        <w:rPr>
          <w:rFonts w:ascii="Times New Roman" w:hAnsi="Times New Roman" w:eastAsia="仿宋_GB2312"/>
          <w:color w:val="000000"/>
          <w:kern w:val="0"/>
          <w:sz w:val="32"/>
          <w:szCs w:val="32"/>
        </w:rPr>
        <w:t>万元，项目支出</w:t>
      </w:r>
      <w:r>
        <w:rPr>
          <w:rFonts w:hint="eastAsia" w:ascii="Times New Roman" w:hAnsi="Times New Roman" w:eastAsia="仿宋_GB2312"/>
          <w:color w:val="000000"/>
          <w:kern w:val="0"/>
          <w:sz w:val="32"/>
          <w:szCs w:val="32"/>
        </w:rPr>
        <w:t>1990.58</w:t>
      </w:r>
      <w:r>
        <w:rPr>
          <w:rFonts w:ascii="Times New Roman" w:hAnsi="Times New Roman" w:eastAsia="仿宋_GB2312"/>
          <w:color w:val="000000"/>
          <w:kern w:val="0"/>
          <w:sz w:val="32"/>
          <w:szCs w:val="32"/>
        </w:rPr>
        <w:t>万元。基本支出包括人员经费和日常公用经费。人员经费支出</w:t>
      </w:r>
      <w:r>
        <w:rPr>
          <w:rFonts w:hint="eastAsia" w:ascii="Times New Roman" w:hAnsi="Times New Roman" w:eastAsia="仿宋_GB2312"/>
          <w:color w:val="000000"/>
          <w:kern w:val="0"/>
          <w:sz w:val="32"/>
          <w:szCs w:val="32"/>
          <w:lang w:val="en-US" w:eastAsia="zh-CN"/>
        </w:rPr>
        <w:t>2033.85</w:t>
      </w:r>
      <w:r>
        <w:rPr>
          <w:rFonts w:ascii="Times New Roman" w:hAnsi="Times New Roman" w:eastAsia="仿宋_GB2312"/>
          <w:color w:val="000000"/>
          <w:kern w:val="0"/>
          <w:sz w:val="32"/>
          <w:szCs w:val="32"/>
        </w:rPr>
        <w:t>万元，占基本支出的9</w:t>
      </w:r>
      <w:r>
        <w:rPr>
          <w:rFonts w:hint="eastAsia" w:ascii="Times New Roman" w:hAnsi="Times New Roman" w:eastAsia="仿宋_GB2312"/>
          <w:color w:val="000000"/>
          <w:kern w:val="0"/>
          <w:sz w:val="32"/>
          <w:szCs w:val="32"/>
          <w:lang w:val="en-US" w:eastAsia="zh-CN"/>
        </w:rPr>
        <w:t>6</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68</w:t>
      </w:r>
      <w:r>
        <w:rPr>
          <w:rFonts w:ascii="Times New Roman" w:hAnsi="Times New Roman" w:eastAsia="仿宋_GB2312"/>
          <w:color w:val="000000"/>
          <w:kern w:val="0"/>
          <w:sz w:val="32"/>
          <w:szCs w:val="32"/>
        </w:rPr>
        <w:t>%。主要包括基本工资、津贴补贴、奖金、社会保障缴费、其他工资福利支出、退休费、住房公积金、其他对个人和家庭的补助。日常公用经费支出</w:t>
      </w:r>
      <w:r>
        <w:rPr>
          <w:rFonts w:hint="eastAsia" w:ascii="Times New Roman" w:hAnsi="Times New Roman" w:eastAsia="仿宋_GB2312"/>
          <w:color w:val="000000"/>
          <w:kern w:val="0"/>
          <w:sz w:val="32"/>
          <w:szCs w:val="32"/>
        </w:rPr>
        <w:t>69.86</w:t>
      </w:r>
      <w:r>
        <w:rPr>
          <w:rFonts w:ascii="Times New Roman" w:hAnsi="Times New Roman" w:eastAsia="仿宋_GB2312"/>
          <w:color w:val="000000"/>
          <w:kern w:val="0"/>
          <w:sz w:val="32"/>
          <w:szCs w:val="32"/>
        </w:rPr>
        <w:t>万元，占基本支出的</w:t>
      </w:r>
      <w:r>
        <w:rPr>
          <w:rFonts w:hint="eastAsia" w:ascii="Times New Roman" w:hAnsi="Times New Roman" w:eastAsia="仿宋_GB2312"/>
          <w:color w:val="000000"/>
          <w:kern w:val="0"/>
          <w:sz w:val="32"/>
          <w:szCs w:val="32"/>
          <w:lang w:val="en-US" w:eastAsia="zh-CN"/>
        </w:rPr>
        <w:t>3.32</w:t>
      </w:r>
      <w:r>
        <w:rPr>
          <w:rFonts w:ascii="Times New Roman" w:hAnsi="Times New Roman" w:eastAsia="仿宋_GB2312"/>
          <w:color w:val="000000"/>
          <w:kern w:val="0"/>
          <w:sz w:val="32"/>
          <w:szCs w:val="32"/>
        </w:rPr>
        <w:t>%。主要包括办公费、维修（护）费、公务接待费、工会经费、福利费、公务用车运行维护费、其他商品和服务支出等。</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“三公”经费的使用和管理严格规范，接待费支出完全按照省市关于公务接待的有关文件执行，202</w:t>
      </w: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kern w:val="0"/>
          <w:sz w:val="32"/>
          <w:szCs w:val="32"/>
        </w:rPr>
        <w:t>年度“三公”经费财政拨款支出预算为20万元，支出决算为</w:t>
      </w:r>
      <w:r>
        <w:rPr>
          <w:rFonts w:hint="eastAsia" w:ascii="Times New Roman" w:hAnsi="Times New Roman" w:eastAsia="仿宋_GB2312"/>
          <w:color w:val="000000"/>
          <w:kern w:val="0"/>
          <w:sz w:val="32"/>
          <w:szCs w:val="32"/>
        </w:rPr>
        <w:t>7.67</w:t>
      </w:r>
      <w:r>
        <w:rPr>
          <w:rFonts w:ascii="Times New Roman" w:hAnsi="Times New Roman" w:eastAsia="仿宋_GB2312"/>
          <w:color w:val="000000"/>
          <w:kern w:val="0"/>
          <w:sz w:val="32"/>
          <w:szCs w:val="32"/>
        </w:rPr>
        <w:t>万元，其中接待经费</w:t>
      </w:r>
      <w:r>
        <w:rPr>
          <w:rFonts w:hint="eastAsia" w:ascii="Times New Roman" w:hAnsi="Times New Roman" w:eastAsia="仿宋_GB2312"/>
          <w:color w:val="000000"/>
          <w:kern w:val="0"/>
          <w:sz w:val="32"/>
          <w:szCs w:val="32"/>
        </w:rPr>
        <w:t>7.67</w:t>
      </w:r>
      <w:r>
        <w:rPr>
          <w:rFonts w:ascii="Times New Roman" w:hAnsi="Times New Roman" w:eastAsia="仿宋_GB2312"/>
          <w:color w:val="000000"/>
          <w:kern w:val="0"/>
          <w:sz w:val="32"/>
          <w:szCs w:val="32"/>
        </w:rPr>
        <w:t>万元；无因公出国（境）费；无公务用车支出（公务用车购置0台，至年底保有量0台）。</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 xml:space="preserve">（二）项目支出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 项目资金安排落实、总投入情况。202</w:t>
      </w: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kern w:val="0"/>
          <w:sz w:val="32"/>
          <w:szCs w:val="32"/>
        </w:rPr>
        <w:t>年度总支出</w:t>
      </w:r>
      <w:r>
        <w:rPr>
          <w:rFonts w:hint="eastAsia" w:ascii="Times New Roman" w:hAnsi="Times New Roman" w:eastAsia="仿宋_GB2312"/>
          <w:color w:val="000000"/>
          <w:kern w:val="0"/>
          <w:sz w:val="32"/>
          <w:szCs w:val="32"/>
        </w:rPr>
        <w:t>4094.29</w:t>
      </w:r>
      <w:r>
        <w:rPr>
          <w:rFonts w:ascii="Times New Roman" w:hAnsi="Times New Roman" w:eastAsia="仿宋_GB2312"/>
          <w:color w:val="000000"/>
          <w:kern w:val="0"/>
          <w:sz w:val="32"/>
          <w:szCs w:val="32"/>
        </w:rPr>
        <w:t>万元，项目支出年初预算数为</w:t>
      </w:r>
      <w:r>
        <w:rPr>
          <w:rFonts w:hint="eastAsia" w:ascii="Times New Roman" w:hAnsi="Times New Roman" w:eastAsia="仿宋_GB2312"/>
          <w:color w:val="000000"/>
          <w:kern w:val="0"/>
          <w:sz w:val="32"/>
          <w:szCs w:val="32"/>
        </w:rPr>
        <w:t>903.87</w:t>
      </w:r>
      <w:r>
        <w:rPr>
          <w:rFonts w:ascii="Times New Roman" w:hAnsi="Times New Roman" w:eastAsia="仿宋_GB2312"/>
          <w:color w:val="000000"/>
          <w:kern w:val="0"/>
          <w:sz w:val="32"/>
          <w:szCs w:val="32"/>
        </w:rPr>
        <w:t>万元，项目支出决算数为1</w:t>
      </w:r>
      <w:r>
        <w:rPr>
          <w:rFonts w:hint="eastAsia" w:ascii="Times New Roman" w:hAnsi="Times New Roman" w:eastAsia="仿宋_GB2312"/>
          <w:color w:val="000000"/>
          <w:kern w:val="0"/>
          <w:sz w:val="32"/>
          <w:szCs w:val="32"/>
        </w:rPr>
        <w:t>990.58</w:t>
      </w:r>
      <w:r>
        <w:rPr>
          <w:rFonts w:ascii="Times New Roman" w:hAnsi="Times New Roman" w:eastAsia="仿宋_GB2312"/>
          <w:color w:val="000000"/>
          <w:kern w:val="0"/>
          <w:sz w:val="32"/>
          <w:szCs w:val="32"/>
        </w:rPr>
        <w:t>万元，支出执行率为</w:t>
      </w:r>
      <w:r>
        <w:rPr>
          <w:rFonts w:hint="eastAsia" w:ascii="Times New Roman" w:hAnsi="Times New Roman" w:eastAsia="仿宋_GB2312"/>
          <w:color w:val="000000"/>
          <w:kern w:val="0"/>
          <w:sz w:val="32"/>
          <w:szCs w:val="32"/>
          <w:lang w:val="en-US" w:eastAsia="zh-CN"/>
        </w:rPr>
        <w:t>220.23</w:t>
      </w:r>
      <w:r>
        <w:rPr>
          <w:rFonts w:ascii="Times New Roman" w:hAnsi="Times New Roman" w:eastAsia="仿宋_GB2312"/>
          <w:color w:val="000000"/>
          <w:kern w:val="0"/>
          <w:sz w:val="32"/>
          <w:szCs w:val="32"/>
        </w:rPr>
        <w:t>%。</w:t>
      </w:r>
    </w:p>
    <w:p>
      <w:pPr>
        <w:spacing w:line="596" w:lineRule="exact"/>
        <w:ind w:firstLine="640" w:firstLineChars="200"/>
        <w:rPr>
          <w:rFonts w:ascii="Times New Roman" w:hAnsi="Times New Roman"/>
        </w:rPr>
      </w:pPr>
      <w:r>
        <w:rPr>
          <w:rFonts w:ascii="Times New Roman" w:hAnsi="Times New Roman" w:eastAsia="仿宋_GB2312"/>
          <w:color w:val="000000"/>
          <w:kern w:val="0"/>
          <w:sz w:val="32"/>
          <w:szCs w:val="32"/>
        </w:rPr>
        <w:t>2. 项目资金实际使用情况。项目资金支出是为实现管理处工作职能，完成年初设定的事业发展目标和工作任务而安排的年度项目支出。资金支出范围主要包括用于</w:t>
      </w:r>
      <w:r>
        <w:rPr>
          <w:rFonts w:ascii="Times New Roman" w:hAnsi="Times New Roman" w:eastAsia="仿宋_GB2312"/>
          <w:sz w:val="32"/>
          <w:szCs w:val="32"/>
        </w:rPr>
        <w:t>大围山旅游发展，促进自然资源得到合理的开发、利用和保护；开展杜鹃花节活动，打造景区特色品牌，提高景区知名度和影响力，加强森林管护，提高林分生物多样性，保护生态环境，促进森林康养、生态旅游事业发展；开展</w:t>
      </w:r>
      <w:r>
        <w:rPr>
          <w:rFonts w:ascii="Times New Roman" w:hAnsi="Times New Roman" w:eastAsia="仿宋_GB2312"/>
          <w:color w:val="000000"/>
          <w:kern w:val="0"/>
          <w:sz w:val="32"/>
          <w:szCs w:val="32"/>
        </w:rPr>
        <w:t>园区综合管理，优化旅游环境，促进旅游收入及相关产业收入提升；推进重点专项工作，实现园区可持续发展等。202</w:t>
      </w: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kern w:val="0"/>
          <w:sz w:val="32"/>
          <w:szCs w:val="32"/>
        </w:rPr>
        <w:t>年项目总支出为</w:t>
      </w:r>
      <w:r>
        <w:rPr>
          <w:rFonts w:hint="eastAsia" w:ascii="Times New Roman" w:hAnsi="Times New Roman" w:eastAsia="仿宋_GB2312"/>
          <w:color w:val="000000"/>
          <w:kern w:val="0"/>
          <w:sz w:val="32"/>
          <w:szCs w:val="32"/>
        </w:rPr>
        <w:t>1990.58</w:t>
      </w:r>
      <w:r>
        <w:rPr>
          <w:rFonts w:ascii="Times New Roman" w:hAnsi="Times New Roman" w:eastAsia="仿宋_GB2312"/>
          <w:color w:val="000000"/>
          <w:kern w:val="0"/>
          <w:sz w:val="32"/>
          <w:szCs w:val="32"/>
        </w:rPr>
        <w:t>万元，其中</w:t>
      </w:r>
      <w:r>
        <w:rPr>
          <w:rFonts w:hint="eastAsia" w:ascii="Times New Roman" w:hAnsi="Times New Roman" w:eastAsia="仿宋_GB2312"/>
          <w:color w:val="000000"/>
          <w:kern w:val="0"/>
          <w:sz w:val="32"/>
          <w:szCs w:val="32"/>
        </w:rPr>
        <w:t>文化旅游体育与传媒支出</w:t>
      </w:r>
      <w:r>
        <w:rPr>
          <w:rFonts w:hint="eastAsia" w:ascii="Times New Roman" w:hAnsi="Times New Roman" w:eastAsia="仿宋_GB2312"/>
          <w:color w:val="000000"/>
          <w:kern w:val="0"/>
          <w:sz w:val="32"/>
          <w:szCs w:val="32"/>
          <w:lang w:val="en-US" w:eastAsia="zh-CN"/>
        </w:rPr>
        <w:t>48</w:t>
      </w:r>
      <w:r>
        <w:rPr>
          <w:rFonts w:hint="eastAsia" w:ascii="Times New Roman" w:hAnsi="Times New Roman" w:eastAsia="仿宋_GB2312"/>
          <w:color w:val="000000"/>
          <w:kern w:val="0"/>
          <w:sz w:val="32"/>
          <w:szCs w:val="32"/>
        </w:rPr>
        <w:t>万元，城乡社区支出</w:t>
      </w:r>
      <w:r>
        <w:rPr>
          <w:rFonts w:hint="eastAsia" w:ascii="Times New Roman" w:hAnsi="Times New Roman" w:eastAsia="仿宋_GB2312"/>
          <w:color w:val="000000"/>
          <w:kern w:val="0"/>
          <w:sz w:val="32"/>
          <w:szCs w:val="32"/>
          <w:lang w:val="en-US" w:eastAsia="zh-CN"/>
        </w:rPr>
        <w:t>20</w:t>
      </w:r>
      <w:r>
        <w:rPr>
          <w:rFonts w:hint="eastAsia" w:ascii="Times New Roman" w:hAnsi="Times New Roman" w:eastAsia="仿宋_GB2312"/>
          <w:color w:val="000000"/>
          <w:kern w:val="0"/>
          <w:sz w:val="32"/>
          <w:szCs w:val="32"/>
        </w:rPr>
        <w:t>万元，农林水支出1</w:t>
      </w:r>
      <w:r>
        <w:rPr>
          <w:rFonts w:hint="eastAsia" w:ascii="Times New Roman" w:hAnsi="Times New Roman" w:eastAsia="仿宋_GB2312"/>
          <w:color w:val="000000"/>
          <w:kern w:val="0"/>
          <w:sz w:val="32"/>
          <w:szCs w:val="32"/>
          <w:lang w:val="en-US" w:eastAsia="zh-CN"/>
        </w:rPr>
        <w:t>895</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67</w:t>
      </w:r>
      <w:r>
        <w:rPr>
          <w:rFonts w:hint="eastAsia" w:ascii="Times New Roman" w:hAnsi="Times New Roman" w:eastAsia="仿宋_GB2312"/>
          <w:color w:val="000000"/>
          <w:kern w:val="0"/>
          <w:sz w:val="32"/>
          <w:szCs w:val="32"/>
        </w:rPr>
        <w:t>万元</w:t>
      </w:r>
      <w:r>
        <w:rPr>
          <w:rFonts w:hint="eastAsia" w:ascii="Times New Roman" w:hAnsi="Times New Roman" w:eastAsia="仿宋_GB2312"/>
          <w:color w:val="000000"/>
          <w:kern w:val="0"/>
          <w:sz w:val="32"/>
          <w:szCs w:val="32"/>
          <w:lang w:val="en-US" w:eastAsia="zh-CN"/>
        </w:rPr>
        <w:t>,交通运输支出21.25万元，节能环保支出0.66万元，一般公共服务支出5万元</w:t>
      </w:r>
      <w:r>
        <w:rPr>
          <w:rFonts w:hint="eastAsia" w:ascii="Times New Roman" w:hAnsi="Times New Roman" w:eastAsia="仿宋_GB2312"/>
          <w:color w:val="000000"/>
          <w:kern w:val="0"/>
          <w:sz w:val="32"/>
          <w:szCs w:val="32"/>
        </w:rPr>
        <w:t>。</w:t>
      </w:r>
      <w:r>
        <w:rPr>
          <w:rFonts w:ascii="Times New Roman" w:hAnsi="Times New Roman"/>
        </w:rPr>
        <w:t xml:space="preserve"> </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项目资金管理情况。严格依法依规进行项目资金管理，项目实施坚持“公开、公平、公正”的原则，在严格执行各项有关法律法规、财经纪律、财务规章制度的同时，按照《贯彻实施行政事业单位内部控制规范的工作方案》和管理处《财务管理制度》等制度，加强经费审批和控制，规范支出标准与范围。由财务科负责资金预算、决算的编制，资金使用的审批、监督与审查，扎实开展内部审计工作和接受相关各级部门的检查。</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三、部门项目组织实施情况 </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（一）项目组织情况</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成立了相应的项目管理领导小组，严格控制预算，规范项目行为，按事前采购、事中检查、事后验收的要求实行项目全过程质量管理。项目遵照政府采购要求执行，达到限额标准的通过长沙政采购服务平台进行政府采购，公开招投标，实行公开、公平竞争。认真组织落实工程、货物和服务的验收，成立了专门的验收小组，将工程实施和验收分离，及时做好资金支付的审批手续，确保项目按时保质完工。</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（二）项目管理情况</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成立了领导小组，明确了分管领导，牵头科室和具体负责人。建立了项目管理制度，并建立了日常检查监督管理制度，专门对项目进度实施情况进行监督。</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四、资产管理情况 </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建立固定资产管理制度，加强对资产的管理，维护资产的安全性和完整性，提高资产的使用效率。进一步明确职责和权限，设置一名资产实物管理专员，实现资产实物管理与账务管理相分离，重点做好资产配置、使用、处置等日常管理，按规定程序严审资产出入库，定期盘点和清查，及时登记好资产管理台账，实行动态管理，做到账实相符。截至202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年12月31日，通过对资产进行盘点和资产清理，总体执行情况较好。</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五、部门整体支出绩效情况 </w:t>
      </w:r>
    </w:p>
    <w:p>
      <w:pPr>
        <w:spacing w:line="596"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（一）单位总支出情况绩效分析</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年度总支出</w:t>
      </w:r>
      <w:r>
        <w:rPr>
          <w:rFonts w:hint="eastAsia" w:ascii="Times New Roman" w:hAnsi="Times New Roman" w:eastAsia="仿宋_GB2312"/>
          <w:color w:val="000000"/>
          <w:sz w:val="32"/>
          <w:szCs w:val="32"/>
        </w:rPr>
        <w:t>4094.29</w:t>
      </w:r>
      <w:r>
        <w:rPr>
          <w:rFonts w:ascii="Times New Roman" w:hAnsi="Times New Roman" w:eastAsia="仿宋_GB2312"/>
          <w:color w:val="000000"/>
          <w:sz w:val="32"/>
          <w:szCs w:val="32"/>
        </w:rPr>
        <w:t>万元，其中基本支出</w:t>
      </w:r>
      <w:r>
        <w:rPr>
          <w:rFonts w:hint="eastAsia" w:ascii="Times New Roman" w:hAnsi="Times New Roman" w:eastAsia="仿宋_GB2312"/>
          <w:color w:val="000000"/>
          <w:sz w:val="32"/>
          <w:szCs w:val="32"/>
        </w:rPr>
        <w:t>2103.71</w:t>
      </w:r>
      <w:r>
        <w:rPr>
          <w:rFonts w:ascii="Times New Roman" w:hAnsi="Times New Roman" w:eastAsia="仿宋_GB2312"/>
          <w:color w:val="000000"/>
          <w:sz w:val="32"/>
          <w:szCs w:val="32"/>
        </w:rPr>
        <w:t>万元，项目支出</w:t>
      </w:r>
      <w:r>
        <w:rPr>
          <w:rFonts w:hint="eastAsia" w:ascii="Times New Roman" w:hAnsi="Times New Roman" w:eastAsia="仿宋_GB2312"/>
          <w:color w:val="000000"/>
          <w:sz w:val="32"/>
          <w:szCs w:val="32"/>
        </w:rPr>
        <w:t>1990.58</w:t>
      </w:r>
      <w:r>
        <w:rPr>
          <w:rFonts w:ascii="Times New Roman" w:hAnsi="Times New Roman" w:eastAsia="仿宋_GB2312"/>
          <w:color w:val="000000"/>
          <w:sz w:val="32"/>
          <w:szCs w:val="32"/>
        </w:rPr>
        <w:t>万元。财政拨款</w:t>
      </w:r>
      <w:r>
        <w:rPr>
          <w:rFonts w:hint="eastAsia" w:ascii="Times New Roman" w:hAnsi="Times New Roman" w:eastAsia="仿宋_GB2312"/>
          <w:color w:val="000000"/>
          <w:sz w:val="32"/>
          <w:szCs w:val="32"/>
        </w:rPr>
        <w:t>3932.10</w:t>
      </w:r>
      <w:r>
        <w:rPr>
          <w:rFonts w:ascii="Times New Roman" w:hAnsi="Times New Roman" w:eastAsia="仿宋_GB2312"/>
          <w:color w:val="000000"/>
          <w:sz w:val="32"/>
          <w:szCs w:val="32"/>
        </w:rPr>
        <w:t>元，其他收入</w:t>
      </w:r>
      <w:r>
        <w:rPr>
          <w:rFonts w:hint="eastAsia" w:ascii="Times New Roman" w:hAnsi="Times New Roman" w:eastAsia="仿宋_GB2312"/>
          <w:color w:val="000000"/>
          <w:sz w:val="32"/>
          <w:szCs w:val="32"/>
        </w:rPr>
        <w:t>162.19</w:t>
      </w:r>
      <w:r>
        <w:rPr>
          <w:rFonts w:ascii="Times New Roman" w:hAnsi="Times New Roman" w:eastAsia="仿宋_GB2312"/>
          <w:color w:val="000000"/>
          <w:sz w:val="32"/>
          <w:szCs w:val="32"/>
        </w:rPr>
        <w:t>万元。</w:t>
      </w:r>
    </w:p>
    <w:p>
      <w:pPr>
        <w:spacing w:line="560" w:lineRule="exact"/>
        <w:ind w:firstLine="643" w:firstLineChars="200"/>
        <w:rPr>
          <w:rFonts w:ascii="Times New Roman" w:hAnsi="Times New Roman" w:eastAsia="楷体_GB2312"/>
          <w:b/>
          <w:kern w:val="0"/>
          <w:sz w:val="32"/>
          <w:szCs w:val="32"/>
        </w:rPr>
      </w:pPr>
      <w:r>
        <w:rPr>
          <w:rFonts w:ascii="Times New Roman" w:hAnsi="Times New Roman" w:eastAsia="楷体_GB2312"/>
          <w:b/>
          <w:kern w:val="0"/>
          <w:sz w:val="32"/>
          <w:szCs w:val="32"/>
        </w:rPr>
        <w:t>（二）单位项目资金绩效分析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年度项目支出</w:t>
      </w:r>
      <w:r>
        <w:rPr>
          <w:rFonts w:hint="eastAsia" w:ascii="Times New Roman" w:hAnsi="Times New Roman" w:eastAsia="仿宋_GB2312"/>
          <w:color w:val="000000"/>
          <w:sz w:val="32"/>
          <w:szCs w:val="32"/>
        </w:rPr>
        <w:t>1990.58</w:t>
      </w:r>
      <w:r>
        <w:rPr>
          <w:rFonts w:ascii="Times New Roman" w:hAnsi="Times New Roman" w:eastAsia="仿宋_GB2312"/>
          <w:color w:val="000000"/>
          <w:sz w:val="32"/>
          <w:szCs w:val="32"/>
        </w:rPr>
        <w:t>万元，</w:t>
      </w:r>
      <w:r>
        <w:rPr>
          <w:rFonts w:ascii="Times New Roman" w:hAnsi="Times New Roman" w:eastAsia="仿宋_GB2312"/>
          <w:sz w:val="32"/>
          <w:szCs w:val="32"/>
        </w:rPr>
        <w:t>主要用于发展大围山旅游，提升旅游管理和服务，举办杜鹃花节，提升景区知名度和影响力，加强森林管护，强化园区综合管理和森林资源管护，推动旅游产业转型升级。其中：</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1. 大围山旅游发展项目支出</w:t>
      </w:r>
      <w:r>
        <w:rPr>
          <w:rFonts w:hint="eastAsia" w:ascii="Times New Roman" w:hAnsi="Times New Roman" w:eastAsia="仿宋_GB2312"/>
          <w:sz w:val="32"/>
          <w:szCs w:val="32"/>
        </w:rPr>
        <w:t>1429.98</w:t>
      </w:r>
      <w:r>
        <w:rPr>
          <w:rFonts w:ascii="Times New Roman" w:hAnsi="Times New Roman" w:eastAsia="仿宋_GB2312"/>
          <w:sz w:val="32"/>
          <w:szCs w:val="32"/>
        </w:rPr>
        <w:t>万元，主要用于提升旅游管理和服务，优化营商环境，加强旅游设施安全维护，加强生态环保及环卫保洁等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w:t>
      </w:r>
      <w:r>
        <w:rPr>
          <w:rFonts w:hint="eastAsia" w:ascii="Times New Roman" w:hAnsi="Times New Roman" w:eastAsia="仿宋_GB2312"/>
          <w:color w:val="000000"/>
          <w:sz w:val="32"/>
          <w:szCs w:val="32"/>
        </w:rPr>
        <w:t>完善景区设施建设与维护，维修维护各类基础设施50余处。筒车湾和春秋坳新桥正式投入使用，有效缓解了园内交通运输压力。持续推进山星园宾馆提质、龙须宾馆改造，四方丘游客服务中心、龙须槽等项目建设。投入1000余万元对红莲寺景区进行全面提质改造，打造了七星峰网红直播间和界碑花海钢琴云梯等网红打卡点，吸引了大量游客前来打卡，助力景区成功“破窗”。</w:t>
      </w:r>
      <w:r>
        <w:rPr>
          <w:rFonts w:hint="eastAsia" w:ascii="Times New Roman" w:hAnsi="Times New Roman" w:eastAsia="仿宋_GB2312"/>
          <w:color w:val="000000"/>
          <w:sz w:val="32"/>
          <w:szCs w:val="32"/>
          <w:lang w:val="en-US" w:eastAsia="zh-CN"/>
        </w:rPr>
        <w:t>二</w:t>
      </w:r>
      <w:r>
        <w:rPr>
          <w:rFonts w:hint="eastAsia" w:ascii="Times New Roman" w:hAnsi="Times New Roman" w:eastAsia="仿宋_GB2312"/>
          <w:color w:val="000000"/>
          <w:sz w:val="32"/>
          <w:szCs w:val="32"/>
        </w:rPr>
        <w:t>开展了“环境综合整治、打造秀美公园”专项行动。共计清理游步道、木栈道及公路等36公里，清理垃圾约60吨，拆除私搭乱建等违章建筑80余处，园区安全和环境得到进一步优化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三</w:t>
      </w:r>
      <w:r>
        <w:rPr>
          <w:rFonts w:hint="eastAsia" w:ascii="Times New Roman" w:hAnsi="Times New Roman" w:eastAsia="仿宋_GB2312"/>
          <w:color w:val="000000"/>
          <w:sz w:val="32"/>
          <w:szCs w:val="32"/>
        </w:rPr>
        <w:t>严格落实常态化疫情防控措施，筑牢了疫情防控防线。联合各部门，开展多轮次交通安全、食品安全、电力安全检查等安全检查，做好了隐患排查、处置工作。加强防火巡查宣传力度，多措并举筑牢防火底线，确保景区零火情。</w:t>
      </w:r>
      <w:r>
        <w:rPr>
          <w:rFonts w:ascii="Times New Roman" w:hAnsi="Times New Roman" w:eastAsia="仿宋_GB2312"/>
          <w:color w:val="000000"/>
          <w:sz w:val="32"/>
          <w:szCs w:val="32"/>
        </w:rPr>
        <w:t>综合来看，该项目运行良好，绩效评价优，</w:t>
      </w:r>
      <w:r>
        <w:rPr>
          <w:rFonts w:ascii="Times New Roman" w:hAnsi="Times New Roman" w:eastAsia="仿宋_GB2312"/>
          <w:kern w:val="0"/>
          <w:sz w:val="32"/>
          <w:szCs w:val="32"/>
        </w:rPr>
        <w:t>建议此项目继续保留</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杜鹃花节活动项目支出</w:t>
      </w:r>
      <w:r>
        <w:rPr>
          <w:rFonts w:hint="eastAsia" w:ascii="Times New Roman" w:hAnsi="Times New Roman" w:eastAsia="仿宋_GB2312"/>
          <w:color w:val="000000"/>
          <w:sz w:val="32"/>
          <w:szCs w:val="32"/>
          <w:lang w:val="en-US" w:eastAsia="zh-CN"/>
        </w:rPr>
        <w:t>300</w:t>
      </w:r>
      <w:r>
        <w:rPr>
          <w:rFonts w:ascii="Times New Roman" w:hAnsi="Times New Roman" w:eastAsia="仿宋_GB2312"/>
          <w:color w:val="000000"/>
          <w:sz w:val="32"/>
          <w:szCs w:val="32"/>
        </w:rPr>
        <w:t>万元，主要用于提质清理改造杜鹃花海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在4月20日—5月20日成功举办第十</w:t>
      </w:r>
      <w:r>
        <w:rPr>
          <w:rFonts w:hint="eastAsia" w:ascii="Times New Roman" w:hAnsi="Times New Roman" w:eastAsia="仿宋_GB2312"/>
          <w:color w:val="000000"/>
          <w:sz w:val="32"/>
          <w:szCs w:val="32"/>
          <w:lang w:val="en-US" w:eastAsia="zh-CN"/>
        </w:rPr>
        <w:t>四</w:t>
      </w:r>
      <w:r>
        <w:rPr>
          <w:rFonts w:ascii="Times New Roman" w:hAnsi="Times New Roman" w:eastAsia="仿宋_GB2312"/>
          <w:color w:val="000000"/>
          <w:sz w:val="32"/>
          <w:szCs w:val="32"/>
        </w:rPr>
        <w:t>届杜鹃花节，节会期间大力在人民网、湖南卫视等多家官方媒体宣传报道，吸引入园游客达2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万人次，开展直升机赏花、</w:t>
      </w:r>
      <w:r>
        <w:rPr>
          <w:rFonts w:hint="eastAsia" w:ascii="Times New Roman" w:hAnsi="Times New Roman" w:eastAsia="仿宋_GB2312"/>
          <w:color w:val="000000"/>
          <w:sz w:val="32"/>
          <w:szCs w:val="32"/>
        </w:rPr>
        <w:t>汉服游园、摄影大赛</w:t>
      </w:r>
      <w:r>
        <w:rPr>
          <w:rFonts w:ascii="Times New Roman" w:hAnsi="Times New Roman" w:eastAsia="仿宋_GB2312"/>
          <w:color w:val="000000"/>
          <w:sz w:val="32"/>
          <w:szCs w:val="32"/>
        </w:rPr>
        <w:t>等活动，提升游客体验感，丰富群众精神文化生活，带动当地旅游产业发展，提供就业岗位，让当地群众经济收入有所提高，不断提升景区杜鹃花品牌和影响力。综合来看，该项目运行良好，绩效评价优，</w:t>
      </w:r>
      <w:r>
        <w:rPr>
          <w:rFonts w:ascii="Times New Roman" w:hAnsi="Times New Roman" w:eastAsia="仿宋_GB2312"/>
          <w:kern w:val="0"/>
          <w:sz w:val="32"/>
          <w:szCs w:val="32"/>
        </w:rPr>
        <w:t>建议此项目继续保留</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森林管护项目支出</w:t>
      </w:r>
      <w:r>
        <w:rPr>
          <w:rFonts w:hint="eastAsia" w:ascii="Times New Roman" w:hAnsi="Times New Roman" w:eastAsia="仿宋_GB2312"/>
          <w:color w:val="000000"/>
          <w:sz w:val="32"/>
          <w:szCs w:val="32"/>
          <w:lang w:val="en-US" w:eastAsia="zh-CN"/>
        </w:rPr>
        <w:t>132</w:t>
      </w:r>
      <w:r>
        <w:rPr>
          <w:rFonts w:ascii="Times New Roman" w:hAnsi="Times New Roman" w:eastAsia="仿宋_GB2312"/>
          <w:color w:val="000000"/>
          <w:sz w:val="32"/>
          <w:szCs w:val="32"/>
        </w:rPr>
        <w:t>万元，主要用于</w:t>
      </w:r>
      <w:r>
        <w:rPr>
          <w:rFonts w:hint="eastAsia" w:ascii="Times New Roman" w:hAnsi="Times New Roman" w:eastAsia="仿宋_GB2312"/>
          <w:color w:val="000000"/>
          <w:sz w:val="32"/>
          <w:szCs w:val="32"/>
        </w:rPr>
        <w:t>加强大围山区域生态和人文资源保护</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抓实森林防火</w:t>
      </w:r>
      <w:r>
        <w:rPr>
          <w:rFonts w:hint="eastAsia" w:ascii="Times New Roman" w:hAnsi="Times New Roman" w:eastAsia="仿宋_GB2312"/>
          <w:color w:val="000000"/>
          <w:sz w:val="32"/>
          <w:szCs w:val="32"/>
          <w:lang w:val="en-US" w:eastAsia="zh-CN"/>
        </w:rPr>
        <w:t>及</w:t>
      </w:r>
      <w:r>
        <w:rPr>
          <w:rFonts w:hint="eastAsia" w:ascii="Times New Roman" w:hAnsi="Times New Roman" w:eastAsia="仿宋_GB2312"/>
          <w:color w:val="000000"/>
          <w:sz w:val="32"/>
          <w:szCs w:val="32"/>
        </w:rPr>
        <w:t>科学养护森林资源</w:t>
      </w:r>
      <w:r>
        <w:rPr>
          <w:rFonts w:hint="eastAsia" w:ascii="Times New Roman" w:hAnsi="Times New Roman" w:eastAsia="仿宋_GB2312"/>
          <w:color w:val="000000"/>
          <w:sz w:val="32"/>
          <w:szCs w:val="32"/>
          <w:lang w:val="en-US" w:eastAsia="zh-CN"/>
        </w:rPr>
        <w:t>等工作。一是</w:t>
      </w:r>
      <w:r>
        <w:rPr>
          <w:rFonts w:hint="eastAsia" w:ascii="Times New Roman" w:hAnsi="Times New Roman" w:eastAsia="仿宋_GB2312"/>
          <w:color w:val="000000"/>
          <w:sz w:val="32"/>
          <w:szCs w:val="32"/>
        </w:rPr>
        <w:t>完成6.</w:t>
      </w:r>
      <w:r>
        <w:rPr>
          <w:rFonts w:hint="eastAsia" w:ascii="Times New Roman" w:hAnsi="Times New Roman" w:eastAsia="仿宋_GB2312"/>
          <w:color w:val="000000"/>
          <w:sz w:val="32"/>
          <w:szCs w:val="32"/>
          <w:lang w:val="en-US" w:eastAsia="zh-CN"/>
        </w:rPr>
        <w:t>13</w:t>
      </w:r>
      <w:r>
        <w:rPr>
          <w:rFonts w:hint="eastAsia" w:ascii="Times New Roman" w:hAnsi="Times New Roman" w:eastAsia="仿宋_GB2312"/>
          <w:color w:val="000000"/>
          <w:sz w:val="32"/>
          <w:szCs w:val="32"/>
        </w:rPr>
        <w:t>万亩森林日常管护，做好森林防火，与17名护林员签订了责任状，发放防火卡片、禁火通告等20000余份。</w:t>
      </w:r>
      <w:r>
        <w:rPr>
          <w:rFonts w:hint="eastAsia" w:ascii="Times New Roman" w:hAnsi="Times New Roman" w:eastAsia="仿宋_GB2312"/>
          <w:color w:val="000000"/>
          <w:sz w:val="32"/>
          <w:szCs w:val="32"/>
          <w:lang w:eastAsia="zh-CN"/>
        </w:rPr>
        <w:t>二是</w:t>
      </w:r>
      <w:r>
        <w:rPr>
          <w:rFonts w:hint="eastAsia" w:ascii="Times New Roman" w:hAnsi="Times New Roman" w:eastAsia="仿宋_GB2312"/>
          <w:color w:val="000000"/>
          <w:sz w:val="32"/>
          <w:szCs w:val="32"/>
        </w:rPr>
        <w:t>严守森林火灾防线，召开“一园四镇”森林防灭火联防联控会议，做到人防、物防、技防，防防到位，延续了森林公园连续16年零火情零火警</w:t>
      </w:r>
      <w:r>
        <w:rPr>
          <w:rFonts w:hint="eastAsia" w:ascii="Times New Roman" w:hAnsi="Times New Roman" w:eastAsia="仿宋_GB2312"/>
          <w:color w:val="000000"/>
          <w:sz w:val="32"/>
          <w:szCs w:val="32"/>
          <w:lang w:eastAsia="zh-CN"/>
        </w:rPr>
        <w:t>。三是积极组织雪灾后自救，完成了路段积雪清理和杜鹃花补植，做好生态修复。</w:t>
      </w:r>
      <w:r>
        <w:rPr>
          <w:rFonts w:ascii="Times New Roman" w:hAnsi="Times New Roman" w:eastAsia="仿宋_GB2312"/>
          <w:color w:val="000000"/>
          <w:sz w:val="32"/>
          <w:szCs w:val="32"/>
        </w:rPr>
        <w:t>综合来看，该项目运行良好，绩效评价优，</w:t>
      </w:r>
      <w:r>
        <w:rPr>
          <w:rFonts w:ascii="Times New Roman" w:hAnsi="Times New Roman" w:eastAsia="仿宋_GB2312"/>
          <w:kern w:val="0"/>
          <w:sz w:val="32"/>
          <w:szCs w:val="32"/>
        </w:rPr>
        <w:t>建议此项目继续保留</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 园区综合管理支出为</w:t>
      </w:r>
      <w:r>
        <w:rPr>
          <w:rFonts w:hint="eastAsia" w:ascii="Times New Roman" w:hAnsi="Times New Roman" w:eastAsia="仿宋_GB2312"/>
          <w:color w:val="000000"/>
          <w:sz w:val="32"/>
          <w:szCs w:val="32"/>
          <w:lang w:val="en-US" w:eastAsia="zh-CN"/>
        </w:rPr>
        <w:t>98</w:t>
      </w:r>
      <w:r>
        <w:rPr>
          <w:rFonts w:ascii="Times New Roman" w:hAnsi="Times New Roman" w:eastAsia="仿宋_GB2312"/>
          <w:color w:val="000000"/>
          <w:sz w:val="32"/>
          <w:szCs w:val="32"/>
        </w:rPr>
        <w:t>万元，主要用于</w:t>
      </w:r>
      <w:r>
        <w:rPr>
          <w:rFonts w:hint="eastAsia" w:ascii="Times New Roman" w:hAnsi="Times New Roman" w:eastAsia="仿宋_GB2312"/>
          <w:color w:val="000000"/>
          <w:sz w:val="32"/>
          <w:szCs w:val="32"/>
        </w:rPr>
        <w:t>加强园区经营环境整治和行业规范管理，持续推进治安巡查及消防检查，实现全年食品、交通等零安全生产事故，全面建设平安园区，带动当地居民就业，提高家庭收入，为全年旅游收入提供保障，促进人与自然和谐共生和景区的可持续发展。</w:t>
      </w:r>
      <w:r>
        <w:rPr>
          <w:rFonts w:ascii="Times New Roman" w:hAnsi="Times New Roman" w:eastAsia="仿宋_GB2312"/>
          <w:color w:val="000000"/>
          <w:sz w:val="32"/>
          <w:szCs w:val="32"/>
        </w:rPr>
        <w:t>综合来看，该项目运行良好，绩效评价优，</w:t>
      </w:r>
      <w:r>
        <w:rPr>
          <w:rFonts w:ascii="Times New Roman" w:hAnsi="Times New Roman" w:eastAsia="仿宋_GB2312"/>
          <w:kern w:val="0"/>
          <w:sz w:val="32"/>
          <w:szCs w:val="32"/>
        </w:rPr>
        <w:t>建议此项目继续保留</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lang w:eastAsia="zh-CN"/>
        </w:rPr>
        <w:t>重点专项工作</w:t>
      </w:r>
      <w:r>
        <w:rPr>
          <w:rFonts w:ascii="Times New Roman" w:hAnsi="Times New Roman" w:eastAsia="仿宋_GB2312"/>
          <w:color w:val="000000"/>
          <w:sz w:val="32"/>
          <w:szCs w:val="32"/>
        </w:rPr>
        <w:t>支出为</w:t>
      </w:r>
      <w:r>
        <w:rPr>
          <w:rFonts w:hint="eastAsia" w:ascii="Times New Roman" w:hAnsi="Times New Roman" w:eastAsia="仿宋_GB2312"/>
          <w:color w:val="000000"/>
          <w:sz w:val="32"/>
          <w:szCs w:val="32"/>
          <w:lang w:val="en-US" w:eastAsia="zh-CN"/>
        </w:rPr>
        <w:t>30.6</w:t>
      </w:r>
      <w:r>
        <w:rPr>
          <w:rFonts w:ascii="Times New Roman" w:hAnsi="Times New Roman" w:eastAsia="仿宋_GB2312"/>
          <w:color w:val="000000"/>
          <w:sz w:val="32"/>
          <w:szCs w:val="32"/>
        </w:rPr>
        <w:t>万元，主要用于</w:t>
      </w:r>
      <w:r>
        <w:rPr>
          <w:rFonts w:hint="eastAsia" w:ascii="Times New Roman" w:hAnsi="Times New Roman" w:eastAsia="仿宋_GB2312"/>
          <w:color w:val="000000"/>
          <w:sz w:val="32"/>
          <w:szCs w:val="32"/>
        </w:rPr>
        <w:t>加强大围山生态旅游资源开发与建设、管理与经营</w:t>
      </w:r>
      <w:r>
        <w:rPr>
          <w:rFonts w:hint="eastAsia" w:ascii="Times New Roman" w:hAnsi="Times New Roman" w:eastAsia="仿宋_GB2312"/>
          <w:color w:val="000000"/>
          <w:sz w:val="32"/>
          <w:szCs w:val="32"/>
          <w:lang w:eastAsia="zh-CN"/>
        </w:rPr>
        <w:t>。</w:t>
      </w:r>
      <w:bookmarkStart w:id="0" w:name="_GoBack"/>
      <w:bookmarkEnd w:id="0"/>
      <w:r>
        <w:rPr>
          <w:rFonts w:hint="eastAsia" w:ascii="Times New Roman" w:hAnsi="Times New Roman" w:eastAsia="仿宋_GB2312"/>
          <w:color w:val="000000"/>
          <w:sz w:val="32"/>
          <w:szCs w:val="32"/>
          <w:lang w:eastAsia="zh-CN"/>
        </w:rPr>
        <w:t>以国家级旅游度假区标准为总抓手，进一步建设完善园区环境，促进人与自然的和谐发展，有效保护大围山生态环境，推动了园区旅游资源可持续发展以及区域内经济水平的上升</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综合来看，该项目运行良好，绩效评价优，</w:t>
      </w:r>
      <w:r>
        <w:rPr>
          <w:rFonts w:ascii="Times New Roman" w:hAnsi="Times New Roman" w:eastAsia="仿宋_GB2312"/>
          <w:kern w:val="0"/>
          <w:sz w:val="32"/>
          <w:szCs w:val="32"/>
        </w:rPr>
        <w:t>建议此项目继续保留</w:t>
      </w:r>
      <w:r>
        <w:rPr>
          <w:rFonts w:ascii="Times New Roman" w:hAnsi="Times New Roman" w:eastAsia="仿宋_GB2312"/>
          <w:color w:val="000000"/>
          <w:sz w:val="32"/>
          <w:szCs w:val="32"/>
        </w:rPr>
        <w:t>。</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六、存在的主要问题 </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（一）个别项目绩效目标以内容描述为主，还不够细化，量化程度还有待提高。</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（二）人员支出未全部纳入预算管理，资金管理、调配难度大。</w:t>
      </w:r>
    </w:p>
    <w:p>
      <w:pPr>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七、改进措施和有关建议</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（一）加强项目资金管理，</w:t>
      </w:r>
      <w:r>
        <w:rPr>
          <w:rFonts w:hint="eastAsia" w:ascii="Times New Roman" w:hAnsi="Times New Roman" w:eastAsia="仿宋_GB2312"/>
          <w:kern w:val="0"/>
          <w:sz w:val="32"/>
          <w:szCs w:val="32"/>
        </w:rPr>
        <w:t>严格实行项目的申报、实施、拨付、评价管理程序化，提高</w:t>
      </w:r>
      <w:r>
        <w:rPr>
          <w:rFonts w:ascii="Times New Roman" w:hAnsi="Times New Roman" w:eastAsia="仿宋_GB2312"/>
          <w:kern w:val="0"/>
          <w:sz w:val="32"/>
          <w:szCs w:val="32"/>
        </w:rPr>
        <w:t>项目绩效量化程度，进一步规范项目和专项资金管理，提高专项资金的使用效益。</w:t>
      </w:r>
    </w:p>
    <w:p>
      <w:pPr>
        <w:spacing w:line="56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（二）</w:t>
      </w:r>
      <w:r>
        <w:rPr>
          <w:rFonts w:hint="eastAsia" w:ascii="Times New Roman" w:hAnsi="Times New Roman" w:eastAsia="仿宋_GB2312"/>
          <w:kern w:val="0"/>
          <w:sz w:val="32"/>
          <w:szCs w:val="32"/>
        </w:rPr>
        <w:t>加强预算编制管理</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进一步提高预算编制到位率，</w:t>
      </w:r>
      <w:r>
        <w:rPr>
          <w:rFonts w:hint="eastAsia" w:ascii="Times New Roman" w:hAnsi="Times New Roman" w:eastAsia="仿宋_GB2312"/>
          <w:kern w:val="0"/>
          <w:sz w:val="32"/>
          <w:szCs w:val="32"/>
        </w:rPr>
        <w:t>做准做全基本支出预算和项目支出预算</w:t>
      </w:r>
      <w:r>
        <w:rPr>
          <w:rFonts w:ascii="Times New Roman" w:hAnsi="Times New Roman" w:eastAsia="仿宋_GB2312"/>
          <w:kern w:val="0"/>
          <w:sz w:val="32"/>
          <w:szCs w:val="32"/>
        </w:rPr>
        <w:t>，提高预算资金使用效率</w:t>
      </w:r>
      <w:r>
        <w:rPr>
          <w:rFonts w:hint="eastAsia" w:ascii="Times New Roman" w:hAnsi="Times New Roman" w:eastAsia="仿宋_GB2312"/>
          <w:kern w:val="0"/>
          <w:sz w:val="32"/>
          <w:szCs w:val="32"/>
        </w:rPr>
        <w:t>，确保预算更科学、更合理、更贴近实际</w:t>
      </w:r>
      <w:r>
        <w:rPr>
          <w:rFonts w:ascii="Times New Roman" w:hAnsi="Times New Roman" w:eastAsia="仿宋_GB2312"/>
          <w:kern w:val="0"/>
          <w:sz w:val="32"/>
          <w:szCs w:val="32"/>
        </w:rPr>
        <w:t>。</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三</w:t>
      </w:r>
      <w:r>
        <w:rPr>
          <w:rFonts w:hint="eastAsia" w:ascii="Times New Roman" w:hAnsi="Times New Roman" w:eastAsia="仿宋_GB2312"/>
          <w:kern w:val="0"/>
          <w:sz w:val="32"/>
          <w:szCs w:val="32"/>
        </w:rPr>
        <w:t>）进一步完善内部管理制度，提升管理效能。</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八、单位在资金管理、项目管理等方面的先进经验及做法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建立健全资金和项目管理制度，以制度为准绳，推进财政资金科学有序支出，不断提高资金的</w:t>
      </w:r>
      <w:r>
        <w:rPr>
          <w:rFonts w:hint="eastAsia" w:ascii="Times New Roman" w:hAnsi="Times New Roman" w:eastAsia="仿宋_GB2312"/>
          <w:kern w:val="0"/>
          <w:sz w:val="32"/>
          <w:szCs w:val="32"/>
        </w:rPr>
        <w:t>支出</w:t>
      </w:r>
      <w:r>
        <w:rPr>
          <w:rFonts w:ascii="Times New Roman" w:hAnsi="Times New Roman" w:eastAsia="仿宋_GB2312"/>
          <w:kern w:val="0"/>
          <w:sz w:val="32"/>
          <w:szCs w:val="32"/>
        </w:rPr>
        <w:t>效率和使用效益。</w:t>
      </w:r>
    </w:p>
    <w:p>
      <w:pPr>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九、部门整体支出绩效评价等级</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我单位202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年度严格执行年初部门预算项目资金使用及管理规范，制度落实到位，绩效考核目标任务圆满完成，部门整体支出绩效评价等级为优。</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2</w:t>
    </w:r>
    <w:r>
      <w:rPr>
        <w:rFonts w:eastAsia="仿宋_GB2312"/>
        <w:sz w:val="28"/>
        <w:szCs w:val="28"/>
      </w:rPr>
      <w:fldChar w:fldCharType="end"/>
    </w:r>
    <w:r>
      <w:rPr>
        <w:rStyle w:val="7"/>
        <w:rFonts w:eastAsia="仿宋_GB2312"/>
        <w:sz w:val="28"/>
        <w:szCs w:val="28"/>
      </w:rPr>
      <w:t>—</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zYjFjN2M1MjBmZjhlNzFiNjEzZDAzNzk2YjAxMTMifQ=="/>
  </w:docVars>
  <w:rsids>
    <w:rsidRoot w:val="00B24CED"/>
    <w:rsid w:val="00001888"/>
    <w:rsid w:val="00006F02"/>
    <w:rsid w:val="00010FF7"/>
    <w:rsid w:val="00011DF1"/>
    <w:rsid w:val="00025EFD"/>
    <w:rsid w:val="000310E9"/>
    <w:rsid w:val="00093B93"/>
    <w:rsid w:val="00094553"/>
    <w:rsid w:val="000B6F93"/>
    <w:rsid w:val="000C588E"/>
    <w:rsid w:val="000F6D00"/>
    <w:rsid w:val="000F7472"/>
    <w:rsid w:val="001027E1"/>
    <w:rsid w:val="00112F30"/>
    <w:rsid w:val="00117D22"/>
    <w:rsid w:val="00121ACC"/>
    <w:rsid w:val="00135A19"/>
    <w:rsid w:val="00140FD8"/>
    <w:rsid w:val="00146013"/>
    <w:rsid w:val="001727A2"/>
    <w:rsid w:val="00197DF2"/>
    <w:rsid w:val="00197E49"/>
    <w:rsid w:val="001A4E17"/>
    <w:rsid w:val="001B4E11"/>
    <w:rsid w:val="001C394F"/>
    <w:rsid w:val="00202644"/>
    <w:rsid w:val="002168D3"/>
    <w:rsid w:val="00221713"/>
    <w:rsid w:val="00234454"/>
    <w:rsid w:val="002352DD"/>
    <w:rsid w:val="0024463A"/>
    <w:rsid w:val="00247BD7"/>
    <w:rsid w:val="002550FC"/>
    <w:rsid w:val="0026089A"/>
    <w:rsid w:val="002747D6"/>
    <w:rsid w:val="00294D3A"/>
    <w:rsid w:val="002A1179"/>
    <w:rsid w:val="002A1B00"/>
    <w:rsid w:val="002B4719"/>
    <w:rsid w:val="002D36BF"/>
    <w:rsid w:val="002D54CC"/>
    <w:rsid w:val="002E466E"/>
    <w:rsid w:val="002F029C"/>
    <w:rsid w:val="002F167A"/>
    <w:rsid w:val="002F532B"/>
    <w:rsid w:val="00301174"/>
    <w:rsid w:val="003017B7"/>
    <w:rsid w:val="003077CB"/>
    <w:rsid w:val="00315213"/>
    <w:rsid w:val="00337010"/>
    <w:rsid w:val="003519C8"/>
    <w:rsid w:val="00353332"/>
    <w:rsid w:val="0035511A"/>
    <w:rsid w:val="00366A82"/>
    <w:rsid w:val="003912CF"/>
    <w:rsid w:val="003966F1"/>
    <w:rsid w:val="003A25D0"/>
    <w:rsid w:val="003A45D9"/>
    <w:rsid w:val="003B1293"/>
    <w:rsid w:val="003C29A6"/>
    <w:rsid w:val="003E03FE"/>
    <w:rsid w:val="003E4D00"/>
    <w:rsid w:val="003F02EE"/>
    <w:rsid w:val="0044023F"/>
    <w:rsid w:val="00443719"/>
    <w:rsid w:val="00453E43"/>
    <w:rsid w:val="00466269"/>
    <w:rsid w:val="0047056C"/>
    <w:rsid w:val="0048138D"/>
    <w:rsid w:val="004A178D"/>
    <w:rsid w:val="004B11AB"/>
    <w:rsid w:val="004C0E0C"/>
    <w:rsid w:val="004D7716"/>
    <w:rsid w:val="004E5DE4"/>
    <w:rsid w:val="004E7EC4"/>
    <w:rsid w:val="00504EA3"/>
    <w:rsid w:val="00533EA3"/>
    <w:rsid w:val="00542761"/>
    <w:rsid w:val="00543A26"/>
    <w:rsid w:val="00564030"/>
    <w:rsid w:val="00582FFC"/>
    <w:rsid w:val="00583362"/>
    <w:rsid w:val="00587D54"/>
    <w:rsid w:val="005B24E9"/>
    <w:rsid w:val="005B5005"/>
    <w:rsid w:val="005C7F9C"/>
    <w:rsid w:val="005E4CEB"/>
    <w:rsid w:val="00611201"/>
    <w:rsid w:val="00615FC8"/>
    <w:rsid w:val="0061654B"/>
    <w:rsid w:val="00622CCF"/>
    <w:rsid w:val="00625C9D"/>
    <w:rsid w:val="00631D5D"/>
    <w:rsid w:val="006363A6"/>
    <w:rsid w:val="00636795"/>
    <w:rsid w:val="00643753"/>
    <w:rsid w:val="00645B7B"/>
    <w:rsid w:val="0065520D"/>
    <w:rsid w:val="00656444"/>
    <w:rsid w:val="0066063D"/>
    <w:rsid w:val="00675BF1"/>
    <w:rsid w:val="0067762C"/>
    <w:rsid w:val="006776B0"/>
    <w:rsid w:val="00680B40"/>
    <w:rsid w:val="00693024"/>
    <w:rsid w:val="006A1B8F"/>
    <w:rsid w:val="006E228E"/>
    <w:rsid w:val="00733606"/>
    <w:rsid w:val="0073530B"/>
    <w:rsid w:val="00755EE9"/>
    <w:rsid w:val="007A06BD"/>
    <w:rsid w:val="007A1AB8"/>
    <w:rsid w:val="007A46BF"/>
    <w:rsid w:val="007B2F53"/>
    <w:rsid w:val="007B598B"/>
    <w:rsid w:val="007C56FE"/>
    <w:rsid w:val="007E7EEE"/>
    <w:rsid w:val="007F05E1"/>
    <w:rsid w:val="007F6769"/>
    <w:rsid w:val="00807BBD"/>
    <w:rsid w:val="00811DAF"/>
    <w:rsid w:val="008132C0"/>
    <w:rsid w:val="00816A94"/>
    <w:rsid w:val="008173E7"/>
    <w:rsid w:val="00833FD2"/>
    <w:rsid w:val="00845236"/>
    <w:rsid w:val="0084767D"/>
    <w:rsid w:val="00857E8A"/>
    <w:rsid w:val="008631E1"/>
    <w:rsid w:val="008650FF"/>
    <w:rsid w:val="008675E5"/>
    <w:rsid w:val="00874A0B"/>
    <w:rsid w:val="008B1134"/>
    <w:rsid w:val="008E1413"/>
    <w:rsid w:val="008E514D"/>
    <w:rsid w:val="008F12FE"/>
    <w:rsid w:val="00902D8D"/>
    <w:rsid w:val="00915394"/>
    <w:rsid w:val="00925C71"/>
    <w:rsid w:val="009272D4"/>
    <w:rsid w:val="00932A38"/>
    <w:rsid w:val="00932CF9"/>
    <w:rsid w:val="00951BA4"/>
    <w:rsid w:val="00955B86"/>
    <w:rsid w:val="00977D5D"/>
    <w:rsid w:val="009A1639"/>
    <w:rsid w:val="009A1A35"/>
    <w:rsid w:val="009B1FCF"/>
    <w:rsid w:val="009C00E2"/>
    <w:rsid w:val="009E209F"/>
    <w:rsid w:val="009F517F"/>
    <w:rsid w:val="00A00F11"/>
    <w:rsid w:val="00A06521"/>
    <w:rsid w:val="00A073A7"/>
    <w:rsid w:val="00A13516"/>
    <w:rsid w:val="00A418BD"/>
    <w:rsid w:val="00A47DD7"/>
    <w:rsid w:val="00A5746D"/>
    <w:rsid w:val="00A6565C"/>
    <w:rsid w:val="00A76E0A"/>
    <w:rsid w:val="00AA0DB3"/>
    <w:rsid w:val="00AA5C59"/>
    <w:rsid w:val="00AC02FC"/>
    <w:rsid w:val="00AD1158"/>
    <w:rsid w:val="00AD3A46"/>
    <w:rsid w:val="00AE202E"/>
    <w:rsid w:val="00B13993"/>
    <w:rsid w:val="00B15180"/>
    <w:rsid w:val="00B24CED"/>
    <w:rsid w:val="00B257BA"/>
    <w:rsid w:val="00B32A80"/>
    <w:rsid w:val="00B32BCB"/>
    <w:rsid w:val="00B43A30"/>
    <w:rsid w:val="00B4407A"/>
    <w:rsid w:val="00B56408"/>
    <w:rsid w:val="00B5692E"/>
    <w:rsid w:val="00B56CCD"/>
    <w:rsid w:val="00B6167F"/>
    <w:rsid w:val="00B70D56"/>
    <w:rsid w:val="00B72F00"/>
    <w:rsid w:val="00B81876"/>
    <w:rsid w:val="00B95F08"/>
    <w:rsid w:val="00B96D42"/>
    <w:rsid w:val="00BA30C6"/>
    <w:rsid w:val="00BC1F57"/>
    <w:rsid w:val="00BF613B"/>
    <w:rsid w:val="00C173AE"/>
    <w:rsid w:val="00C17E75"/>
    <w:rsid w:val="00C3596D"/>
    <w:rsid w:val="00C422E1"/>
    <w:rsid w:val="00C56453"/>
    <w:rsid w:val="00C97348"/>
    <w:rsid w:val="00CC1E30"/>
    <w:rsid w:val="00CC237E"/>
    <w:rsid w:val="00CE0283"/>
    <w:rsid w:val="00CE2322"/>
    <w:rsid w:val="00CF203E"/>
    <w:rsid w:val="00D4413B"/>
    <w:rsid w:val="00D46433"/>
    <w:rsid w:val="00D56C1C"/>
    <w:rsid w:val="00D6293A"/>
    <w:rsid w:val="00DA4219"/>
    <w:rsid w:val="00DA7910"/>
    <w:rsid w:val="00DC21E4"/>
    <w:rsid w:val="00DC28B9"/>
    <w:rsid w:val="00DD4CCD"/>
    <w:rsid w:val="00DD7CC3"/>
    <w:rsid w:val="00E14973"/>
    <w:rsid w:val="00E24074"/>
    <w:rsid w:val="00E24959"/>
    <w:rsid w:val="00E41BF4"/>
    <w:rsid w:val="00E429E5"/>
    <w:rsid w:val="00E45A11"/>
    <w:rsid w:val="00E46690"/>
    <w:rsid w:val="00E475E2"/>
    <w:rsid w:val="00E54E52"/>
    <w:rsid w:val="00EB2134"/>
    <w:rsid w:val="00EC44EB"/>
    <w:rsid w:val="00EF66BD"/>
    <w:rsid w:val="00F05AA0"/>
    <w:rsid w:val="00F14253"/>
    <w:rsid w:val="00F15EB4"/>
    <w:rsid w:val="00F2411B"/>
    <w:rsid w:val="00F241E4"/>
    <w:rsid w:val="00F250AA"/>
    <w:rsid w:val="00F274F6"/>
    <w:rsid w:val="00F34638"/>
    <w:rsid w:val="00F36CB5"/>
    <w:rsid w:val="00F41816"/>
    <w:rsid w:val="00F44EAF"/>
    <w:rsid w:val="00F56880"/>
    <w:rsid w:val="00F624AF"/>
    <w:rsid w:val="00F8264D"/>
    <w:rsid w:val="00F93FE1"/>
    <w:rsid w:val="00F94896"/>
    <w:rsid w:val="00FB6F4A"/>
    <w:rsid w:val="00FC11E3"/>
    <w:rsid w:val="00FD1DFF"/>
    <w:rsid w:val="00FD669D"/>
    <w:rsid w:val="00FF4060"/>
    <w:rsid w:val="0C6B191A"/>
    <w:rsid w:val="2B644B49"/>
    <w:rsid w:val="34532156"/>
    <w:rsid w:val="437943AD"/>
    <w:rsid w:val="4F9A1BA9"/>
    <w:rsid w:val="5A075570"/>
    <w:rsid w:val="67A51BC0"/>
    <w:rsid w:val="695638A7"/>
    <w:rsid w:val="6F0D57BE"/>
    <w:rsid w:val="6F7A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spacing w:after="120"/>
    </w:pPr>
    <w:rPr>
      <w:rFonts w:ascii="Times New Roman" w:hAnsi="Times New Roman"/>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ascii="Calibri" w:hAnsi="Calibri" w:eastAsia="宋体" w:cs="Times New Roman"/>
      <w:sz w:val="18"/>
      <w:szCs w:val="18"/>
    </w:rPr>
  </w:style>
  <w:style w:type="character" w:customStyle="1" w:styleId="9">
    <w:name w:val="页脚 Char"/>
    <w:basedOn w:val="6"/>
    <w:link w:val="3"/>
    <w:qFormat/>
    <w:uiPriority w:val="0"/>
    <w:rPr>
      <w:rFonts w:ascii="Calibri" w:hAnsi="Calibri" w:eastAsia="宋体" w:cs="Times New Roman"/>
      <w:sz w:val="18"/>
      <w:szCs w:val="18"/>
    </w:rPr>
  </w:style>
  <w:style w:type="paragraph" w:styleId="10">
    <w:name w:val="List Paragraph"/>
    <w:basedOn w:val="1"/>
    <w:qFormat/>
    <w:uiPriority w:val="99"/>
    <w:pPr>
      <w:ind w:firstLine="420" w:firstLineChars="200"/>
    </w:pPr>
    <w:rPr>
      <w:szCs w:val="22"/>
    </w:rPr>
  </w:style>
  <w:style w:type="character" w:customStyle="1" w:styleId="11">
    <w:name w:val="正文文本 Char"/>
    <w:basedOn w:val="6"/>
    <w:link w:val="2"/>
    <w:qFormat/>
    <w:uiPriority w:val="99"/>
    <w:rPr>
      <w:rFonts w:ascii="Times New Roman" w:hAnsi="Times New Roman" w:eastAsia="宋体" w:cs="Times New Roman"/>
      <w:szCs w:val="21"/>
    </w:rPr>
  </w:style>
  <w:style w:type="paragraph" w:customStyle="1" w:styleId="12">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4441</Words>
  <Characters>4694</Characters>
  <Lines>32</Lines>
  <Paragraphs>9</Paragraphs>
  <TotalTime>20</TotalTime>
  <ScaleCrop>false</ScaleCrop>
  <LinksUpToDate>false</LinksUpToDate>
  <CharactersWithSpaces>4722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2022-04-13T13:17:00Z</dcterms:created>
  <dc:creator>Windows 用户</dc:creator>
  <cp:lastModifiedBy>木木</cp:lastModifiedBy>
  <cp:lastPrinted>2022-04-14T09:29:00Z</cp:lastPrinted>
  <dcterms:modified xsi:type="dcterms:W3CDTF">2023-09-26T07:01:54Z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7FF8885B93DC4FABABCEE578666F6EDB</vt:lpwstr>
  </property>
</Properties>
</file>