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rPr>
          <w:rFonts w:ascii="Times New Roman" w:hAnsi="Times New Roman" w:eastAsia="黑体"/>
          <w:color w:val="000000"/>
          <w:sz w:val="32"/>
          <w:szCs w:val="32"/>
        </w:rPr>
      </w:pPr>
      <w:bookmarkStart w:id="0" w:name="_GoBack"/>
    </w:p>
    <w:bookmarkEnd w:id="0"/>
    <w:p>
      <w:pPr>
        <w:jc w:val="center"/>
        <w:rPr>
          <w:rFonts w:hint="eastAsia"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r>
        <w:rPr>
          <w:rFonts w:hint="eastAsia" w:ascii="Times New Roman" w:hAnsi="Times New Roman" w:eastAsia="方正小标宋_GBK"/>
          <w:color w:val="000000"/>
          <w:sz w:val="48"/>
          <w:szCs w:val="48"/>
        </w:rPr>
        <w:t>2019</w:t>
      </w:r>
      <w:r>
        <w:rPr>
          <w:rFonts w:ascii="Times New Roman" w:hAnsi="Times New Roman" w:eastAsia="方正小标宋_GBK"/>
          <w:color w:val="000000"/>
          <w:sz w:val="48"/>
          <w:szCs w:val="48"/>
        </w:rPr>
        <w:t>年部门整体支出绩效自评报告</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both"/>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44"/>
          <w:szCs w:val="44"/>
          <w:lang w:eastAsia="zh-CN"/>
        </w:rPr>
      </w:pPr>
      <w:r>
        <w:rPr>
          <w:rFonts w:ascii="Times New Roman" w:hAnsi="Times New Roman" w:eastAsia="黑体"/>
          <w:color w:val="000000"/>
          <w:sz w:val="44"/>
          <w:szCs w:val="44"/>
        </w:rPr>
        <w:t>单位名称（盖章）</w:t>
      </w:r>
      <w:r>
        <w:rPr>
          <w:rFonts w:hint="eastAsia" w:ascii="Times New Roman" w:hAnsi="Times New Roman" w:eastAsia="黑体"/>
          <w:color w:val="000000"/>
          <w:sz w:val="44"/>
          <w:szCs w:val="44"/>
        </w:rPr>
        <w:t>：</w:t>
      </w:r>
      <w:r>
        <w:rPr>
          <w:rFonts w:hint="eastAsia" w:ascii="Times New Roman" w:hAnsi="Times New Roman" w:eastAsia="黑体"/>
          <w:color w:val="000000"/>
          <w:sz w:val="44"/>
          <w:szCs w:val="44"/>
          <w:lang w:eastAsia="zh-CN"/>
        </w:rPr>
        <w:t>共青团浏阳市委</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二O二O年</w:t>
      </w:r>
      <w:r>
        <w:rPr>
          <w:rFonts w:hint="eastAsia" w:ascii="Times New Roman" w:hAnsi="Times New Roman" w:eastAsia="仿宋_GB2312"/>
          <w:color w:val="000000"/>
          <w:sz w:val="32"/>
          <w:szCs w:val="32"/>
          <w:lang w:eastAsia="zh-CN"/>
        </w:rPr>
        <w:t>九</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eastAsia="zh-CN"/>
        </w:rPr>
        <w:t>十一</w:t>
      </w:r>
      <w:r>
        <w:rPr>
          <w:rFonts w:hint="eastAsia" w:ascii="Times New Roman" w:hAnsi="Times New Roman" w:eastAsia="仿宋_GB2312"/>
          <w:color w:val="000000"/>
          <w:sz w:val="32"/>
          <w:szCs w:val="32"/>
        </w:rPr>
        <w:t>日</w:t>
      </w:r>
    </w:p>
    <w:p>
      <w:pPr>
        <w:pStyle w:val="4"/>
        <w:widowControl/>
        <w:spacing w:line="600" w:lineRule="exact"/>
        <w:ind w:left="0" w:leftChars="0"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一、部门概况</w:t>
      </w:r>
    </w:p>
    <w:p>
      <w:pPr>
        <w:spacing w:line="596" w:lineRule="exact"/>
        <w:ind w:firstLine="640" w:firstLineChars="200"/>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（一）部门职能概述</w:t>
      </w:r>
    </w:p>
    <w:p>
      <w:pPr>
        <w:spacing w:line="600" w:lineRule="exact"/>
        <w:ind w:firstLine="640" w:firstLineChars="200"/>
        <w:rPr>
          <w:rFonts w:eastAsia="仿宋_GB2312"/>
          <w:color w:val="000000"/>
          <w:kern w:val="0"/>
          <w:sz w:val="32"/>
          <w:szCs w:val="32"/>
        </w:rPr>
      </w:pPr>
      <w:r>
        <w:rPr>
          <w:rFonts w:hint="eastAsia" w:eastAsia="仿宋_GB2312"/>
          <w:color w:val="000000"/>
          <w:kern w:val="0"/>
          <w:sz w:val="32"/>
          <w:szCs w:val="32"/>
        </w:rPr>
        <w:t>发挥好党的助手和后备军作用，为党的事业教育、团结和带领好青年。引导青年坚定信念，刻苦学习，奋发成才，使广大青年在全面建</w:t>
      </w:r>
      <w:r>
        <w:rPr>
          <w:rFonts w:hint="eastAsia" w:eastAsia="仿宋_GB2312"/>
          <w:color w:val="000000"/>
          <w:kern w:val="0"/>
          <w:sz w:val="32"/>
          <w:szCs w:val="32"/>
          <w:lang w:eastAsia="zh-CN"/>
        </w:rPr>
        <w:t>成</w:t>
      </w:r>
      <w:r>
        <w:rPr>
          <w:rFonts w:hint="eastAsia" w:eastAsia="仿宋_GB2312"/>
          <w:color w:val="000000"/>
          <w:kern w:val="0"/>
          <w:sz w:val="32"/>
          <w:szCs w:val="32"/>
        </w:rPr>
        <w:t>小康社会的伟大实践中锻炼成长为有理想、有道德、有文化、有纪律的一代新人。发挥好国家政权的重要社会支柱作用，积极协助政府管理好青年事务。参与社会协商对话、民主管理和民主监督，承担政府委托的有关青年工作事务，指导和帮助青联、学联、少先队等青少年组织开展工作。发挥党和政府联系青年群众的桥梁和纽带作用，依法代表和维护青年的具体利益，反映青年的意愿和呼声。在维护全国人民总体利益的前提下，代表和维护青年的具体利益，全心全意为青年服务，发挥青年利益的社会代表作用。承办市委、市人民政府交办的其他事项。</w:t>
      </w:r>
    </w:p>
    <w:p>
      <w:pPr>
        <w:spacing w:line="596" w:lineRule="exact"/>
        <w:ind w:firstLine="640" w:firstLineChars="200"/>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（二）部门组织机构及人员情况</w:t>
      </w:r>
    </w:p>
    <w:p>
      <w:pPr>
        <w:spacing w:line="600" w:lineRule="exact"/>
        <w:ind w:firstLine="640" w:firstLineChars="200"/>
        <w:rPr>
          <w:rFonts w:eastAsia="仿宋_GB2312"/>
          <w:color w:val="000000"/>
          <w:kern w:val="0"/>
          <w:sz w:val="32"/>
          <w:szCs w:val="32"/>
        </w:rPr>
      </w:pPr>
      <w:r>
        <w:rPr>
          <w:rFonts w:hint="eastAsia" w:eastAsia="仿宋_GB2312"/>
          <w:color w:val="000000"/>
          <w:kern w:val="0"/>
          <w:sz w:val="32"/>
          <w:szCs w:val="32"/>
        </w:rPr>
        <w:t>内设科室团市委办公室、青年发展部、网络和宣传部。</w:t>
      </w:r>
    </w:p>
    <w:p>
      <w:pPr>
        <w:spacing w:line="600" w:lineRule="exact"/>
        <w:ind w:firstLine="640" w:firstLineChars="200"/>
        <w:rPr>
          <w:rFonts w:eastAsia="仿宋_GB2312"/>
          <w:color w:val="000000"/>
          <w:kern w:val="0"/>
          <w:sz w:val="32"/>
          <w:szCs w:val="32"/>
        </w:rPr>
      </w:pPr>
      <w:r>
        <w:rPr>
          <w:rFonts w:hint="eastAsia" w:eastAsia="仿宋_GB2312"/>
          <w:color w:val="000000"/>
          <w:kern w:val="0"/>
          <w:sz w:val="32"/>
          <w:szCs w:val="32"/>
        </w:rPr>
        <w:t>单位在编干部7人，行政编制4人，事业编制3人，临聘人员1人。</w:t>
      </w:r>
    </w:p>
    <w:p>
      <w:pPr>
        <w:spacing w:line="596" w:lineRule="exact"/>
        <w:ind w:firstLine="640" w:firstLineChars="200"/>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（三）年度重点工作计划</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文明创建、创全国卫生城市志愿服务活动、燕归巢暑期大学生实践活动、五四运动100周年活动、团代会、花炮节志愿服务活动、团干培训活动、服务中心大局相关活动。</w:t>
      </w:r>
    </w:p>
    <w:p>
      <w:pPr>
        <w:spacing w:line="596" w:lineRule="exact"/>
        <w:ind w:firstLine="640" w:firstLineChars="200"/>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（四）部门整体支出规模、使用方向、主要内容和涉及范围</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文明创建、创全国卫生城市志愿服务活动、燕归巢暑期大学生实践活动、五四运动100周年活动、团代会、花炮节志愿服务活动、团干培训活动、服务中心大局相关活动。</w:t>
      </w:r>
    </w:p>
    <w:p>
      <w:pPr>
        <w:spacing w:line="596"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二、部门整体支出</w:t>
      </w:r>
      <w:r>
        <w:rPr>
          <w:rFonts w:hint="eastAsia" w:ascii="Times New Roman" w:hAnsi="Times New Roman" w:eastAsia="黑体"/>
          <w:color w:val="000000"/>
          <w:kern w:val="0"/>
          <w:sz w:val="32"/>
          <w:szCs w:val="32"/>
        </w:rPr>
        <w:t>资金</w:t>
      </w:r>
      <w:r>
        <w:rPr>
          <w:rFonts w:ascii="Times New Roman" w:hAnsi="Times New Roman" w:eastAsia="黑体"/>
          <w:color w:val="000000"/>
          <w:kern w:val="0"/>
          <w:sz w:val="32"/>
          <w:szCs w:val="32"/>
        </w:rPr>
        <w:t>管理及使用情况</w:t>
      </w:r>
    </w:p>
    <w:p>
      <w:pPr>
        <w:spacing w:line="596"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（一）基本支出</w:t>
      </w:r>
    </w:p>
    <w:p>
      <w:pPr>
        <w:widowControl/>
        <w:spacing w:line="600" w:lineRule="exact"/>
        <w:ind w:firstLine="640" w:firstLineChars="200"/>
        <w:rPr>
          <w:rFonts w:eastAsia="仿宋_GB2312"/>
          <w:color w:val="000000"/>
          <w:kern w:val="0"/>
          <w:sz w:val="32"/>
          <w:szCs w:val="32"/>
        </w:rPr>
      </w:pPr>
      <w:r>
        <w:rPr>
          <w:rFonts w:hint="eastAsia" w:ascii="Times New Roman" w:hAnsi="Times New Roman" w:eastAsia="仿宋_GB2312"/>
          <w:color w:val="000000"/>
          <w:kern w:val="0"/>
          <w:sz w:val="32"/>
          <w:szCs w:val="32"/>
        </w:rPr>
        <w:t>1．</w:t>
      </w:r>
      <w:r>
        <w:rPr>
          <w:rFonts w:ascii="Times New Roman" w:hAnsi="Times New Roman" w:eastAsia="仿宋_GB2312"/>
          <w:color w:val="000000"/>
          <w:kern w:val="0"/>
          <w:sz w:val="32"/>
          <w:szCs w:val="32"/>
        </w:rPr>
        <w:t>实际整体收支情况。</w:t>
      </w:r>
      <w:r>
        <w:rPr>
          <w:rFonts w:hint="eastAsia" w:eastAsia="仿宋_GB2312"/>
          <w:color w:val="000000"/>
          <w:kern w:val="0"/>
          <w:sz w:val="32"/>
          <w:szCs w:val="32"/>
        </w:rPr>
        <w:t>团市委2019年收入183.46万元，其中财政拨款收入183.46万元，团市委2019年支出183.46万元，其中：基本支出71.49万元，占38.9%；项目支出111.97万元，占61.1%。</w:t>
      </w:r>
    </w:p>
    <w:p>
      <w:pPr>
        <w:spacing w:line="596"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w:t>
      </w:r>
      <w:r>
        <w:rPr>
          <w:rFonts w:ascii="Times New Roman" w:hAnsi="Times New Roman" w:eastAsia="仿宋_GB2312"/>
          <w:color w:val="000000"/>
          <w:kern w:val="0"/>
          <w:sz w:val="32"/>
          <w:szCs w:val="32"/>
        </w:rPr>
        <w:t>“三公” 经费总支出情况。</w:t>
      </w:r>
    </w:p>
    <w:p>
      <w:pPr>
        <w:widowControl/>
        <w:spacing w:line="600" w:lineRule="exact"/>
        <w:ind w:firstLine="640" w:firstLineChars="200"/>
        <w:rPr>
          <w:rFonts w:ascii="仿宋_GB2312" w:eastAsia="仿宋_GB2312"/>
          <w:kern w:val="0"/>
          <w:sz w:val="32"/>
          <w:szCs w:val="32"/>
        </w:rPr>
      </w:pPr>
      <w:r>
        <w:rPr>
          <w:rFonts w:hint="eastAsia" w:ascii="仿宋_GB2312" w:eastAsia="仿宋_GB2312"/>
          <w:kern w:val="0"/>
          <w:sz w:val="32"/>
          <w:szCs w:val="32"/>
        </w:rPr>
        <w:t>团市委2019年度“三公”经费财政拨款支出预算3万元，支出决算0.3万元，相比2018年增加0.2346万元，因2019年度开展了五四运动100周年相关活动和团代会，故三公经费有增加。</w:t>
      </w:r>
    </w:p>
    <w:p>
      <w:pPr>
        <w:spacing w:line="596"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3．</w:t>
      </w:r>
      <w:r>
        <w:rPr>
          <w:rFonts w:ascii="Times New Roman" w:hAnsi="Times New Roman" w:eastAsia="仿宋_GB2312"/>
          <w:color w:val="000000"/>
          <w:kern w:val="0"/>
          <w:sz w:val="32"/>
          <w:szCs w:val="32"/>
        </w:rPr>
        <w:t>因公出国（境）费用支出和公务用车</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购置</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情况。</w:t>
      </w:r>
    </w:p>
    <w:p>
      <w:pPr>
        <w:spacing w:line="596"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0万元。</w:t>
      </w:r>
    </w:p>
    <w:p>
      <w:pPr>
        <w:spacing w:line="596"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 xml:space="preserve">（二）项目支出 </w:t>
      </w:r>
    </w:p>
    <w:p>
      <w:pPr>
        <w:spacing w:line="596"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sz w:val="32"/>
          <w:szCs w:val="32"/>
        </w:rPr>
        <w:t>2019年度本单位项目支出总资金</w:t>
      </w:r>
      <w:r>
        <w:rPr>
          <w:rFonts w:hint="eastAsia" w:ascii="Times New Roman" w:hAnsi="Times New Roman" w:eastAsia="仿宋_GB2312"/>
          <w:color w:val="000000"/>
          <w:kern w:val="0"/>
          <w:sz w:val="32"/>
          <w:szCs w:val="32"/>
        </w:rPr>
        <w:t>（以决算数列示分析）。</w:t>
      </w:r>
    </w:p>
    <w:p>
      <w:pPr>
        <w:widowControl/>
        <w:spacing w:line="600" w:lineRule="exact"/>
        <w:ind w:firstLine="640" w:firstLineChars="200"/>
        <w:rPr>
          <w:rFonts w:ascii="楷体" w:hAnsi="楷体" w:eastAsia="楷体" w:cs="楷体"/>
          <w:color w:val="000000"/>
          <w:kern w:val="0"/>
          <w:sz w:val="32"/>
          <w:szCs w:val="32"/>
        </w:rPr>
      </w:pPr>
      <w:r>
        <w:rPr>
          <w:rFonts w:hint="eastAsia" w:eastAsia="仿宋_GB2312"/>
          <w:color w:val="000000"/>
          <w:kern w:val="0"/>
          <w:sz w:val="32"/>
          <w:szCs w:val="32"/>
        </w:rPr>
        <w:t>项目支出111.97万元，占61.1%。</w:t>
      </w:r>
    </w:p>
    <w:p>
      <w:pPr>
        <w:spacing w:line="596"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三、部门项目组织实施情况 </w:t>
      </w:r>
    </w:p>
    <w:p>
      <w:pPr>
        <w:spacing w:line="596" w:lineRule="exact"/>
        <w:ind w:firstLine="640" w:firstLineChars="200"/>
        <w:rPr>
          <w:rFonts w:eastAsia="仿宋_GB2312"/>
          <w:color w:val="000000"/>
          <w:kern w:val="0"/>
          <w:sz w:val="32"/>
          <w:szCs w:val="32"/>
        </w:rPr>
      </w:pPr>
      <w:r>
        <w:rPr>
          <w:rFonts w:eastAsia="仿宋_GB2312"/>
          <w:color w:val="000000"/>
          <w:kern w:val="0"/>
          <w:sz w:val="32"/>
          <w:szCs w:val="32"/>
        </w:rPr>
        <w:t>我</w:t>
      </w:r>
      <w:r>
        <w:rPr>
          <w:rFonts w:hint="eastAsia" w:eastAsia="仿宋_GB2312"/>
          <w:color w:val="000000"/>
          <w:kern w:val="0"/>
          <w:sz w:val="32"/>
          <w:szCs w:val="32"/>
        </w:rPr>
        <w:t>委</w:t>
      </w:r>
      <w:r>
        <w:rPr>
          <w:rFonts w:eastAsia="仿宋_GB2312"/>
          <w:color w:val="000000"/>
          <w:kern w:val="0"/>
          <w:sz w:val="32"/>
          <w:szCs w:val="32"/>
        </w:rPr>
        <w:t>根据国家有关财经法律法规和实际</w:t>
      </w:r>
      <w:r>
        <w:rPr>
          <w:rFonts w:hint="eastAsia" w:eastAsia="仿宋_GB2312"/>
          <w:color w:val="000000"/>
          <w:kern w:val="0"/>
          <w:sz w:val="32"/>
          <w:szCs w:val="32"/>
        </w:rPr>
        <w:t>，</w:t>
      </w:r>
      <w:r>
        <w:rPr>
          <w:rFonts w:eastAsia="仿宋_GB2312"/>
          <w:color w:val="000000"/>
          <w:kern w:val="0"/>
          <w:sz w:val="32"/>
          <w:szCs w:val="32"/>
        </w:rPr>
        <w:t>制定了一系列的财务管理制度</w:t>
      </w:r>
      <w:r>
        <w:rPr>
          <w:rFonts w:hint="eastAsia" w:eastAsia="仿宋_GB2312"/>
          <w:color w:val="000000"/>
          <w:kern w:val="0"/>
          <w:sz w:val="32"/>
          <w:szCs w:val="32"/>
        </w:rPr>
        <w:t>，</w:t>
      </w:r>
      <w:r>
        <w:rPr>
          <w:rFonts w:eastAsia="仿宋_GB2312"/>
          <w:color w:val="000000"/>
          <w:kern w:val="0"/>
          <w:sz w:val="32"/>
          <w:szCs w:val="32"/>
        </w:rPr>
        <w:t>全部资金由财务室统一管理。</w:t>
      </w:r>
    </w:p>
    <w:p>
      <w:pPr>
        <w:spacing w:line="596"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四、资产管理情况 </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在资金使用上一直按照国家财经法规和单位财务管理制度规定以及有关专项资金管理办法的规定收支</w:t>
      </w:r>
      <w:r>
        <w:rPr>
          <w:rFonts w:hint="eastAsia" w:eastAsia="仿宋_GB2312"/>
          <w:color w:val="000000"/>
          <w:kern w:val="0"/>
          <w:sz w:val="32"/>
          <w:szCs w:val="32"/>
        </w:rPr>
        <w:t>，</w:t>
      </w:r>
      <w:r>
        <w:rPr>
          <w:rFonts w:eastAsia="仿宋_GB2312"/>
          <w:color w:val="000000"/>
          <w:kern w:val="0"/>
          <w:sz w:val="32"/>
          <w:szCs w:val="32"/>
        </w:rPr>
        <w:t>资金拨付有完整的审批程序和手续，按照财经制度的有关要求</w:t>
      </w:r>
      <w:r>
        <w:rPr>
          <w:rFonts w:hint="eastAsia" w:eastAsia="仿宋_GB2312"/>
          <w:color w:val="000000"/>
          <w:kern w:val="0"/>
          <w:sz w:val="32"/>
          <w:szCs w:val="32"/>
        </w:rPr>
        <w:t>，</w:t>
      </w:r>
      <w:r>
        <w:rPr>
          <w:rFonts w:eastAsia="仿宋_GB2312"/>
          <w:color w:val="000000"/>
          <w:kern w:val="0"/>
          <w:sz w:val="32"/>
          <w:szCs w:val="32"/>
        </w:rPr>
        <w:t>做到专款专用，专人保管</w:t>
      </w:r>
      <w:r>
        <w:rPr>
          <w:rFonts w:hint="eastAsia" w:eastAsia="仿宋_GB2312"/>
          <w:color w:val="000000"/>
          <w:kern w:val="0"/>
          <w:sz w:val="32"/>
          <w:szCs w:val="32"/>
        </w:rPr>
        <w:t>，</w:t>
      </w:r>
      <w:r>
        <w:rPr>
          <w:rFonts w:eastAsia="仿宋_GB2312"/>
          <w:color w:val="000000"/>
          <w:kern w:val="0"/>
          <w:sz w:val="32"/>
          <w:szCs w:val="32"/>
        </w:rPr>
        <w:t>单位</w:t>
      </w:r>
      <w:r>
        <w:rPr>
          <w:rFonts w:hint="eastAsia" w:eastAsia="仿宋_GB2312"/>
          <w:color w:val="000000"/>
          <w:kern w:val="0"/>
          <w:sz w:val="32"/>
          <w:szCs w:val="32"/>
        </w:rPr>
        <w:t>负责人</w:t>
      </w:r>
      <w:r>
        <w:rPr>
          <w:rFonts w:eastAsia="仿宋_GB2312"/>
          <w:color w:val="000000"/>
          <w:kern w:val="0"/>
          <w:sz w:val="32"/>
          <w:szCs w:val="32"/>
        </w:rPr>
        <w:t>对全部资金和专项资金的使用进行全程监督，保证资金使用的合规性</w:t>
      </w:r>
      <w:r>
        <w:rPr>
          <w:rFonts w:hint="eastAsia" w:eastAsia="仿宋_GB2312"/>
          <w:color w:val="000000"/>
          <w:kern w:val="0"/>
          <w:sz w:val="32"/>
          <w:szCs w:val="32"/>
        </w:rPr>
        <w:t>。</w:t>
      </w:r>
      <w:r>
        <w:rPr>
          <w:rFonts w:eastAsia="仿宋_GB2312"/>
          <w:color w:val="000000"/>
          <w:kern w:val="0"/>
          <w:sz w:val="32"/>
          <w:szCs w:val="32"/>
        </w:rPr>
        <w:t>资金使用无截留、挤占、挪用、虚列支出等情况。相关发票由财务室审核后</w:t>
      </w:r>
      <w:r>
        <w:rPr>
          <w:rFonts w:hint="eastAsia" w:eastAsia="仿宋_GB2312"/>
          <w:color w:val="000000"/>
          <w:kern w:val="0"/>
          <w:sz w:val="32"/>
          <w:szCs w:val="32"/>
        </w:rPr>
        <w:t>，</w:t>
      </w:r>
      <w:r>
        <w:rPr>
          <w:rFonts w:eastAsia="仿宋_GB2312"/>
          <w:color w:val="000000"/>
          <w:kern w:val="0"/>
          <w:sz w:val="32"/>
          <w:szCs w:val="32"/>
        </w:rPr>
        <w:t>报分管财务领导签字同意报</w:t>
      </w:r>
      <w:r>
        <w:rPr>
          <w:rFonts w:hint="eastAsia" w:eastAsia="仿宋_GB2312"/>
          <w:color w:val="000000"/>
          <w:kern w:val="0"/>
          <w:sz w:val="32"/>
          <w:szCs w:val="32"/>
          <w:lang w:eastAsia="zh-CN"/>
        </w:rPr>
        <w:t>账</w:t>
      </w:r>
      <w:r>
        <w:rPr>
          <w:rFonts w:eastAsia="仿宋_GB2312"/>
          <w:color w:val="000000"/>
          <w:kern w:val="0"/>
          <w:sz w:val="32"/>
          <w:szCs w:val="32"/>
        </w:rPr>
        <w:t>后到财务室结算。</w:t>
      </w:r>
    </w:p>
    <w:p>
      <w:pPr>
        <w:spacing w:line="596"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五、部门整体支出绩效情况 </w:t>
      </w:r>
    </w:p>
    <w:p>
      <w:pPr>
        <w:widowControl/>
        <w:spacing w:line="600" w:lineRule="exact"/>
        <w:ind w:firstLine="640" w:firstLineChars="200"/>
        <w:rPr>
          <w:rFonts w:eastAsia="仿宋_GB2312"/>
          <w:color w:val="000000"/>
          <w:kern w:val="0"/>
          <w:sz w:val="32"/>
          <w:szCs w:val="32"/>
        </w:rPr>
      </w:pPr>
      <w:r>
        <w:rPr>
          <w:rFonts w:hint="eastAsia" w:ascii="仿宋_GB2312" w:hAnsi="仿宋" w:eastAsia="仿宋_GB2312" w:cs="仿宋"/>
          <w:color w:val="000000"/>
          <w:sz w:val="32"/>
          <w:szCs w:val="32"/>
        </w:rPr>
        <w:t>（一）单位总支出情况的绩效分析，</w:t>
      </w:r>
      <w:r>
        <w:rPr>
          <w:rFonts w:hint="eastAsia" w:eastAsia="仿宋_GB2312"/>
          <w:color w:val="000000"/>
          <w:kern w:val="0"/>
          <w:sz w:val="32"/>
          <w:szCs w:val="32"/>
        </w:rPr>
        <w:t xml:space="preserve"> 2019年度支出183.46万元，其中</w:t>
      </w:r>
      <w:r>
        <w:rPr>
          <w:rFonts w:hint="eastAsia" w:ascii="仿宋_GB2312" w:hAnsi="仿宋" w:eastAsia="仿宋_GB2312" w:cs="仿宋"/>
          <w:color w:val="000000"/>
          <w:sz w:val="32"/>
          <w:szCs w:val="32"/>
        </w:rPr>
        <w:t>财政资金183.46万元</w:t>
      </w:r>
      <w:r>
        <w:rPr>
          <w:rFonts w:hint="eastAsia" w:eastAsia="仿宋_GB2312"/>
          <w:color w:val="000000"/>
          <w:kern w:val="0"/>
          <w:sz w:val="32"/>
          <w:szCs w:val="32"/>
        </w:rPr>
        <w:t>，基本支出71.49万元。</w:t>
      </w:r>
    </w:p>
    <w:p>
      <w:pPr>
        <w:spacing w:line="560" w:lineRule="exact"/>
        <w:ind w:firstLine="640" w:firstLineChars="200"/>
        <w:rPr>
          <w:rFonts w:hint="eastAsia" w:ascii="楷体" w:hAnsi="楷体" w:eastAsia="楷体" w:cs="楷体"/>
          <w:color w:val="000000"/>
          <w:kern w:val="0"/>
          <w:sz w:val="32"/>
          <w:szCs w:val="32"/>
        </w:rPr>
      </w:pPr>
      <w:r>
        <w:rPr>
          <w:rFonts w:hint="eastAsia" w:ascii="仿宋_GB2312" w:hAnsi="仿宋" w:eastAsia="仿宋_GB2312" w:cs="仿宋"/>
          <w:color w:val="000000"/>
          <w:sz w:val="32"/>
          <w:szCs w:val="32"/>
        </w:rPr>
        <w:t>（二）单位项目资金绩效分析，</w:t>
      </w:r>
      <w:r>
        <w:rPr>
          <w:rFonts w:hint="eastAsia" w:eastAsia="仿宋_GB2312"/>
          <w:color w:val="000000"/>
          <w:kern w:val="0"/>
          <w:sz w:val="32"/>
          <w:szCs w:val="32"/>
        </w:rPr>
        <w:t>项目支出111.97万元。</w:t>
      </w:r>
      <w:r>
        <w:rPr>
          <w:rFonts w:hint="eastAsia" w:ascii="仿宋_GB2312" w:hAnsi="仿宋" w:eastAsia="仿宋_GB2312" w:cs="仿宋"/>
          <w:color w:val="000000"/>
          <w:sz w:val="32"/>
          <w:szCs w:val="32"/>
        </w:rPr>
        <w:t>其中主要包括哪些项目，</w:t>
      </w:r>
      <w:r>
        <w:rPr>
          <w:rFonts w:hint="eastAsia" w:ascii="仿宋_GB2312" w:eastAsia="仿宋_GB2312"/>
          <w:sz w:val="32"/>
          <w:szCs w:val="32"/>
        </w:rPr>
        <w:t>包括五四系列活动专项，主要用于开展五四系列活动；预防青少年犯罪专项，主要用于预防青少年犯罪相关工作与活动开展；志愿者工作专项，主要用于志愿者培训、志愿服务活动开展等；青少年发展专项，主要用于青少年发展工作等专项经费支出。</w:t>
      </w:r>
    </w:p>
    <w:p>
      <w:pPr>
        <w:spacing w:line="596"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六、存在的主要问题 </w:t>
      </w:r>
    </w:p>
    <w:p>
      <w:pPr>
        <w:spacing w:line="59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资金安排需更有规划、财务制度需更加健全。 </w:t>
      </w:r>
    </w:p>
    <w:p>
      <w:pPr>
        <w:spacing w:line="596"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 xml:space="preserve">七、改进措施和有关建议 </w:t>
      </w:r>
    </w:p>
    <w:p>
      <w:pPr>
        <w:spacing w:line="59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一是进一步规划规范资金安排；二是建立健全财务制度。</w:t>
      </w:r>
    </w:p>
    <w:p>
      <w:pPr>
        <w:spacing w:line="596"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八、单位在资金管理、项目管理等方面的先进经验及做法</w:t>
      </w:r>
    </w:p>
    <w:p>
      <w:pPr>
        <w:spacing w:line="59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无</w:t>
      </w:r>
    </w:p>
    <w:p>
      <w:pPr>
        <w:spacing w:line="596" w:lineRule="exact"/>
        <w:ind w:firstLine="640" w:firstLineChars="200"/>
        <w:rPr>
          <w:rFonts w:hint="eastAsia" w:ascii="黑体" w:hAnsi="黑体" w:eastAsia="黑体" w:cs="黑体"/>
          <w:bCs/>
          <w:color w:val="000000"/>
          <w:sz w:val="32"/>
          <w:szCs w:val="32"/>
        </w:rPr>
      </w:pPr>
      <w:r>
        <w:rPr>
          <w:rFonts w:hint="eastAsia" w:ascii="黑体" w:hAnsi="黑体" w:eastAsia="黑体" w:cs="黑体"/>
          <w:bCs/>
          <w:color w:val="000000"/>
          <w:sz w:val="32"/>
          <w:szCs w:val="32"/>
        </w:rPr>
        <w:t>九、部门整体支出绩效评价等级</w:t>
      </w:r>
    </w:p>
    <w:p>
      <w:pPr>
        <w:spacing w:line="596"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附相关评分表。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C274E"/>
    <w:rsid w:val="24CC274E"/>
    <w:rsid w:val="417A52A9"/>
    <w:rsid w:val="56A60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2020-09-11T05:23:00Z</dcterms:created>
  <dc:creator>Lxl</dc:creator>
  <cp:lastModifiedBy>飛</cp:lastModifiedBy>
  <dcterms:modified xsi:type="dcterms:W3CDTF">2022-09-23T07:58:01Z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