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安监局2018年部门整体支出绩效自评报告</w:t>
      </w:r>
    </w:p>
    <w:p>
      <w:pPr>
        <w:keepNext w:val="0"/>
        <w:keepLines w:val="0"/>
        <w:pageBreakBefore w:val="0"/>
        <w:widowControl w:val="0"/>
        <w:kinsoku/>
        <w:wordWrap/>
        <w:overflowPunct/>
        <w:topLinePunct w:val="0"/>
        <w:autoSpaceDE/>
        <w:autoSpaceDN/>
        <w:bidi w:val="0"/>
        <w:adjustRightInd/>
        <w:snapToGrid/>
        <w:spacing w:line="560" w:lineRule="exact"/>
        <w:rPr>
          <w:rFonts w:hint="eastAsia"/>
          <w:color w:val="000000" w:themeColor="text1"/>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　　一、部门概况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　　（一）部门职能概述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1．贯彻执行国家、省、市有关安全生产工作的方针、政策和安全生产法律、法规及规章，组织起草安全生产综合管理规定、文件，拟订全市安全生产政策和发展、科技规划，指导协调全市安全生产工作，分析和预测全市安全生产形势，发布全市安全生产信息，协调解决安全生产工作中的重大问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2．依法行使全市安全生产综合监督管理职权，指导协调、监督检查市政府有关部门和各乡镇人民政府、街道办事处的安全生产工作，拟订安全生产目标管理考核标准和控制指标分解方案，监督考核并通报安全生产控制指标执行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3．依法履行烟花爆竹、危险化学品生产经营单位和非煤矿矿山企业有关安全生产行政许可和安全生产监督管理职责。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4．负责监督管理冶金、建材、机械、轻工、纺织、烟草、商贸等生产经营单位安全生产工作，按照分级、属地原则，依法监督检查上述七行业贯彻执行安全生产法律法规、规章、标准和规程的落实情况及其安全生产条件和有关设备(特种设备除外)、材料、劳动防护用品的安全生产管理工作，对上述七行业重大危险源、重大事故隐患进行监测、处置，依法查处生产经营单位安全生产违法行为，牵头组织上述七行业伤亡事故调查处理和应急救援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5．负责工矿商贸生产经营单位作业场所职业卫生监督检查工作，依法监督生产经营单位贯彻执行国家有关职业病防治法律法规和标准情况，组织查处职业危害事故和违法违规行为；负责新建、改建、扩建工程项目和技术改造、技术引进项目的职业卫生</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三同时</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审查及监督检查，负责监督管理生产经营单位职业危害项目申报工作；依法履行职业卫生安全许可相关工作，负责职业卫生检测、评价技术服务机构的监督管理工作，组织指导并监督检查有关职业卫生培训工作；负责监督检查和督促生产经营单位依法建立职业危害因素检测、评价、劳动者职业健康监护、相关职业卫生检查等管理制度，监督检查和督促生产经营单位提供劳动者健康损害与职业史、职业危害接触关系等相关证明材料； 负责汇总、分析职业危害因素检测、评价、劳动者职业健康监护等信息，向相关部门和机构提供职业卫生监督检查情况。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6．根据市人民政府授权，依法组织职责范围内的一般事故的调查处理和办理结案工作，监督事故查处和责任追究落实情况。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7．负责组织指挥和协调安全生产应急救援工作，综合管理全市生产安全伤亡事故、安全生产行政执法和作业场所职业危害统计分析工作。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8．负责监督检查职责范围内新建、改建、扩建工程项目的安全设施与主体工程同时设计、同时施工、同时投产使用情况。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9．组织、指导全市安全生产宣传教育工作，组织指导并监督特种作业人员和工矿商贸生产经营单位主要负责人、安全生产管理人员的安全培训监督管理工作，监督检查工矿商贸生产经营单位安全生产和职业安全培训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10．指导协调全市安全生产检测检验工作，监督管理安全生产社会中介机构和安全评价工作。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11．承担市安全生产委员会的日常工作，指导协调全市性安全生产大检查和专项督查，承办市委、市政府和上级安全生产监督管理部门交办的其他事项。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t>　　（二）部门组织机构及人员情况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2018年，我局内设办公室、人事财务科、宣教科、法规科、综合科、信息建设科、非煤矿山安全监督管理科、危险化学品安全监督管理科、政务服务办公室9个科室以及烟花爆竹安全监管监察大队（副科级）、职业健康安全监察大队、煤炭安全生产管理办公室、矿山救护队（自收自支）4个二级事业单位。目前职工共93人，其中机关19人（行政16人，工勤人员3人）；烟花爆竹监察大队（事业）15人；职业卫生监察大队（事业）20人；煤管办（事业）3人；煤矿救护队（自收自支，未列入机关预算）2人；离退休人员 16人，劳务派遣人员20人。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t>　　（三）2018年安全生产工作总体要求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认真贯彻落实国务院和省、市各级安全生产工作会议精神，紧紧围绕市委市政府加快建设省会副中心和湘赣边区域性中心城市的决策部署，紧扣</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一杜绝、两控制</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（坚决杜绝较大以上安全生产事故，有效控制一般事故和死亡人数）工作目标，严格落实</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严查严管、严处严罚</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要求，突出</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预防从严、重心前移</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，实现</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三个转变</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，做到</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三个坚持</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，围绕</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五个重点</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，致力推动安全生产水平全面提升，努力争创全省安全生产示范县（市）。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黑体" w:hAnsi="黑体" w:eastAsia="黑体" w:cs="黑体"/>
          <w:i w:val="0"/>
          <w:iCs w:val="0"/>
          <w:caps w:val="0"/>
          <w:color w:val="000000" w:themeColor="text1"/>
          <w:spacing w:val="0"/>
          <w:sz w:val="32"/>
          <w:szCs w:val="32"/>
          <w14:textFill>
            <w14:solidFill>
              <w14:schemeClr w14:val="tx1"/>
            </w14:solidFill>
          </w14:textFill>
        </w:rPr>
      </w:pPr>
      <w:r>
        <w:rPr>
          <w:rFonts w:hint="default" w:ascii="黑体" w:hAnsi="黑体" w:eastAsia="黑体" w:cs="黑体"/>
          <w:i w:val="0"/>
          <w:iCs w:val="0"/>
          <w:caps w:val="0"/>
          <w:color w:val="000000" w:themeColor="text1"/>
          <w:spacing w:val="0"/>
          <w:sz w:val="32"/>
          <w:szCs w:val="32"/>
          <w14:textFill>
            <w14:solidFill>
              <w14:schemeClr w14:val="tx1"/>
            </w14:solidFill>
          </w14:textFill>
        </w:rPr>
        <w:t>　　二、部门整体支出管理及使用情况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t>　　（一）基本支出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基本支出用于保障机关各科室正常运转、完成日常工作任务而发生的支出，包括人员经费和公用经费。年初基本支出预算884.95万元（含对个人和家庭的补助支出16.24万元，商品和服务支出159万元，工资福利支出709.71万元）。由于本年度增加人员编制7人，提前发放上年度绩效，年终决算基本支出912.57万元，其中对个人和家庭的补助支出20.94万元，商品和服务支出98.76万元，工资福利支出764.2万元，资本性支出0.88万元，对下属二级单位得补助27.79万元。2018年公用经费预算159万元，年终决算127.43万元，包含办公费、印刷费、邮电费、差旅费、维护费、会议费、培训费、专用材料费、工会经费、其他交通费用等。全年政府采购金额207.03万元，其中涉及货物采购51.44万元，服务采购155.59万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t>　　（二）项目支出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w:t>
      </w:r>
      <w:r>
        <w:rPr>
          <w:rFonts w:hint="default" w:ascii="Times New Roman" w:hAnsi="Times New Roman" w:eastAsia="仿宋_GB2312" w:cs="Times New Roman"/>
          <w:i w:val="0"/>
          <w:iCs w:val="0"/>
          <w:caps w:val="0"/>
          <w:color w:val="000000" w:themeColor="text1"/>
          <w:spacing w:val="-6"/>
          <w:sz w:val="32"/>
          <w:szCs w:val="32"/>
          <w14:textFill>
            <w14:solidFill>
              <w14:schemeClr w14:val="tx1"/>
            </w14:solidFill>
          </w14:textFill>
        </w:rPr>
        <w:t>项目支出是指在基本支出之外为完成特定的行政工作任务而发生的支出，主要用于业务工作专项、运行维护专项等。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2018年我局年终决算项目支出为1160.49万元。其中989.96万元为本级财政拨款，用于日常工作经费168.49万元；本年度花炮视频监控系统投入392.57万元；安全生产巡查9.54万元；落后烟花爆竹生产企业退出工作领导小组工作经费105万元；对企业和下属二级自收自支单位煤矿救护队拨款152.21万元；项目支出中用于聘用人员劳务费66.87万元；本年度在浏阳日报、浏阳安监微信公众号等媒体安全生产宣传53.58万元；用于各项应急演练和安全隐患排查费用41.7万元。此外上级财政拨款170.53万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t>　　（三）</w:t>
      </w: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w:t>
      </w:r>
      <w: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t>三公</w:t>
      </w:r>
      <w:r>
        <w:rPr>
          <w:rFonts w:hint="eastAsia" w:ascii="楷体_GB2312" w:hAnsi="楷体_GB2312" w:eastAsia="楷体_GB2312" w:cs="楷体_GB2312"/>
          <w:b/>
          <w:bCs/>
          <w:i w:val="0"/>
          <w:iCs w:val="0"/>
          <w:caps w:val="0"/>
          <w:color w:val="000000" w:themeColor="text1"/>
          <w:spacing w:val="0"/>
          <w:sz w:val="32"/>
          <w:szCs w:val="32"/>
          <w14:textFill>
            <w14:solidFill>
              <w14:schemeClr w14:val="tx1"/>
            </w14:solidFill>
          </w14:textFill>
        </w:rPr>
        <w:t>”</w:t>
      </w:r>
      <w:r>
        <w:rPr>
          <w:rFonts w:hint="default" w:ascii="楷体_GB2312" w:hAnsi="楷体_GB2312" w:eastAsia="楷体_GB2312" w:cs="楷体_GB2312"/>
          <w:b/>
          <w:bCs/>
          <w:i w:val="0"/>
          <w:iCs w:val="0"/>
          <w:caps w:val="0"/>
          <w:color w:val="000000" w:themeColor="text1"/>
          <w:spacing w:val="0"/>
          <w:sz w:val="32"/>
          <w:szCs w:val="32"/>
          <w14:textFill>
            <w14:solidFill>
              <w14:schemeClr w14:val="tx1"/>
            </w14:solidFill>
          </w14:textFill>
        </w:rPr>
        <w:t>经费总支出情况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2018年，我局</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三公</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经费预算43万元，其中公务接待28万元，公务用车运行费15万元。我局在本年度加强制度管理，落实中央厉行节约和八项规定政策，年终决算31.1万元，其中公务接待21.15万元，公务用车运行费9.95万元，无公务用车购置费用，无因公出国（境）费用支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黑体" w:hAnsi="黑体" w:eastAsia="黑体" w:cs="黑体"/>
          <w:i w:val="0"/>
          <w:iCs w:val="0"/>
          <w:caps w:val="0"/>
          <w:color w:val="000000" w:themeColor="text1"/>
          <w:spacing w:val="0"/>
          <w:sz w:val="32"/>
          <w:szCs w:val="32"/>
          <w14:textFill>
            <w14:solidFill>
              <w14:schemeClr w14:val="tx1"/>
            </w14:solidFill>
          </w14:textFill>
        </w:rPr>
      </w:pPr>
      <w:r>
        <w:rPr>
          <w:rFonts w:hint="default" w:ascii="黑体" w:hAnsi="黑体" w:eastAsia="黑体" w:cs="黑体"/>
          <w:i w:val="0"/>
          <w:iCs w:val="0"/>
          <w:caps w:val="0"/>
          <w:color w:val="000000" w:themeColor="text1"/>
          <w:spacing w:val="0"/>
          <w:sz w:val="32"/>
          <w:szCs w:val="32"/>
          <w14:textFill>
            <w14:solidFill>
              <w14:schemeClr w14:val="tx1"/>
            </w14:solidFill>
          </w14:textFill>
        </w:rPr>
        <w:t>　　一、财务管理状况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我局财务严格根据《会计法》、《预算法》、《行政单位财务规则》的规定，制定了《机关财务管理规定》、《会议管理办法》、《接待工作管理规定》、《公务用车管理规定》等文件，明确了费用审批权限及程序，对</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三公</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经费使用情况和专项资金情况及时公开公示，落实了厉行节约的各项规定。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黑体" w:hAnsi="黑体" w:eastAsia="黑体" w:cs="黑体"/>
          <w:i w:val="0"/>
          <w:iCs w:val="0"/>
          <w:caps w:val="0"/>
          <w:color w:val="000000" w:themeColor="text1"/>
          <w:spacing w:val="0"/>
          <w:sz w:val="32"/>
          <w:szCs w:val="32"/>
          <w14:textFill>
            <w14:solidFill>
              <w14:schemeClr w14:val="tx1"/>
            </w14:solidFill>
          </w14:textFill>
        </w:rPr>
      </w:pPr>
      <w:r>
        <w:rPr>
          <w:rFonts w:hint="default" w:ascii="黑体" w:hAnsi="黑体" w:eastAsia="黑体" w:cs="黑体"/>
          <w:i w:val="0"/>
          <w:iCs w:val="0"/>
          <w:caps w:val="0"/>
          <w:color w:val="000000" w:themeColor="text1"/>
          <w:spacing w:val="0"/>
          <w:sz w:val="32"/>
          <w:szCs w:val="32"/>
          <w14:textFill>
            <w14:solidFill>
              <w14:schemeClr w14:val="tx1"/>
            </w14:solidFill>
          </w14:textFill>
        </w:rPr>
        <w:t>　　二、存在的问题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1</w:t>
      </w:r>
      <w:r>
        <w:rPr>
          <w:rStyle w:val="8"/>
          <w:rFonts w:hint="eastAsia" w:ascii="Times New Roman" w:hAnsi="Times New Roman" w:eastAsia="仿宋_GB2312"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预算编制不科学，预算收支与实际收支相差较大。主要原因一方面是临时性工作较多，不能及时编入预算；另一方面是人员异动较大，导致工资福利与预算出入较大。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2</w:t>
      </w:r>
      <w:r>
        <w:rPr>
          <w:rStyle w:val="8"/>
          <w:rFonts w:hint="eastAsia" w:ascii="Times New Roman" w:hAnsi="Times New Roman" w:eastAsia="仿宋_GB2312"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政府采购方面管理不足。在处理政府采购项目的过程中出现不规范、不严谨的程序问题。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3</w:t>
      </w:r>
      <w:r>
        <w:rPr>
          <w:rStyle w:val="8"/>
          <w:rFonts w:hint="eastAsia" w:ascii="Times New Roman" w:hAnsi="Times New Roman" w:eastAsia="仿宋_GB2312"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在预算执行的实际过程中，由于临时性工作多，费用多，存在未严格按照预算科目列支，跨科目支出情况。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　　三、改进措施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1</w:t>
      </w:r>
      <w:r>
        <w:rPr>
          <w:rStyle w:val="8"/>
          <w:rFonts w:hint="eastAsia" w:ascii="Times New Roman" w:hAnsi="Times New Roman" w:eastAsia="仿宋_GB2312"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结合单位依法履职实际情况，加强与财政的沟通协调，进一步科学合理编制部分预算。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　　2</w:t>
      </w:r>
      <w:r>
        <w:rPr>
          <w:rStyle w:val="8"/>
          <w:rFonts w:hint="eastAsia" w:ascii="Times New Roman" w:hAnsi="Times New Roman" w:eastAsia="仿宋_GB2312"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严格项目采购预算管理，充分发挥采购设备的利用率。加大项目前期调研，明确自身实际需求，注重已采购设备的利用和开发工作，开发大数据的分析功能。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cente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3</w:t>
      </w:r>
      <w:r>
        <w:rPr>
          <w:rStyle w:val="8"/>
          <w:rFonts w:hint="eastAsia" w:ascii="Times New Roman" w:hAnsi="Times New Roman" w:eastAsia="仿宋_GB2312" w:cs="Times New Roman"/>
          <w:i w:val="0"/>
          <w:iCs w:val="0"/>
          <w:caps w:val="0"/>
          <w:color w:val="000000" w:themeColor="text1"/>
          <w:spacing w:val="0"/>
          <w:sz w:val="32"/>
          <w:szCs w:val="32"/>
          <w:u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依规合理使用资金，按照规定使用资金，不挪作他用。在经费列支的过程中，按照预算科目列支，避免支出混淆不清，不能准确反映资金去向。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cente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fldChar w:fldCharType="begin"/>
      </w:r>
      <w:r>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instrText xml:space="preserve"> HYPERLINK "http://www.liuyang.gov.cn/lyszf/xxgkml/szfgzbm/saqscjdglj/czxx/czyjs/yszx1421/201912/W020200312602879364429.doc" </w:instrText>
      </w:r>
      <w:r>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fldChar w:fldCharType="separate"/>
      </w:r>
      <w:r>
        <w:rPr>
          <w:rStyle w:val="8"/>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t>附件：</w:t>
      </w:r>
      <w:r>
        <w:rPr>
          <w:rStyle w:val="8"/>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t>1</w:t>
      </w:r>
      <w:r>
        <w:rPr>
          <w:rStyle w:val="8"/>
          <w:rFonts w:hint="eastAsia" w:ascii="Times New Roman" w:hAnsi="Times New Roman" w:eastAsia="仿宋_GB2312" w:cs="Times New Roman"/>
          <w:i w:val="0"/>
          <w:iCs w:val="0"/>
          <w:caps w:val="0"/>
          <w:color w:val="000000" w:themeColor="text1"/>
          <w:spacing w:val="0"/>
          <w:sz w:val="32"/>
          <w:szCs w:val="32"/>
          <w:u w:val="none"/>
          <w:lang w:eastAsia="zh-CN"/>
          <w14:textFill>
            <w14:solidFill>
              <w14:schemeClr w14:val="tx1"/>
            </w14:solidFill>
          </w14:textFill>
        </w:rPr>
        <w:t>．</w:t>
      </w:r>
      <w:r>
        <w:rPr>
          <w:rStyle w:val="8"/>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t>部门整体支出绩效评价参考指标</w:t>
      </w:r>
      <w:r>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960" w:firstLineChars="30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fldChar w:fldCharType="begin"/>
      </w:r>
      <w:r>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instrText xml:space="preserve"> HYPERLINK "http://www.liuyang.gov.cn/lyszf/xxgkml/szfgzbm/saqscjdglj/czxx/czyjs/yszx1421/201912/W020200312602879804080.doc" </w:instrText>
      </w:r>
      <w:r>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fldChar w:fldCharType="separate"/>
      </w:r>
      <w:r>
        <w:rPr>
          <w:rStyle w:val="8"/>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t>2</w:t>
      </w:r>
      <w:r>
        <w:rPr>
          <w:rStyle w:val="8"/>
          <w:rFonts w:hint="eastAsia" w:ascii="Times New Roman" w:hAnsi="Times New Roman" w:eastAsia="仿宋_GB2312" w:cs="Times New Roman"/>
          <w:i w:val="0"/>
          <w:iCs w:val="0"/>
          <w:caps w:val="0"/>
          <w:color w:val="000000" w:themeColor="text1"/>
          <w:spacing w:val="0"/>
          <w:sz w:val="32"/>
          <w:szCs w:val="32"/>
          <w:u w:val="none"/>
          <w:lang w:eastAsia="zh-CN"/>
          <w14:textFill>
            <w14:solidFill>
              <w14:schemeClr w14:val="tx1"/>
            </w14:solidFill>
          </w14:textFill>
        </w:rPr>
        <w:t>．</w:t>
      </w:r>
      <w:r>
        <w:rPr>
          <w:rStyle w:val="8"/>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t>部门整体支出绩效评价基础数据表</w:t>
      </w:r>
      <w:r>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right"/>
        <w:textAlignment w:val="cente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2019年4月10日</w:t>
      </w:r>
      <w:r>
        <w:rPr>
          <w:rFonts w:hint="eastAsia" w:ascii="Times New Roman" w:hAnsi="Times New Roman" w:eastAsia="仿宋_GB2312" w:cs="Times New Roman"/>
          <w:i w:val="0"/>
          <w:iCs w:val="0"/>
          <w:caps w:val="0"/>
          <w:color w:val="000000" w:themeColor="text1"/>
          <w:spacing w:val="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rPr>
          <w:rFonts w:hint="eastAsia" w:ascii="Times New Roman" w:hAnsi="Times New Roman" w:eastAsia="方正小标宋简体"/>
          <w:color w:val="000000" w:themeColor="text1"/>
          <w:kern w:val="0"/>
          <w:sz w:val="44"/>
          <w:szCs w:val="44"/>
          <w:highlight w:val="none"/>
          <w:lang w:eastAsia="zh-CN"/>
          <w14:textFill>
            <w14:solidFill>
              <w14:schemeClr w14:val="tx1"/>
            </w14:solidFill>
          </w14:textFill>
        </w:rPr>
      </w:pPr>
      <w:r>
        <w:rPr>
          <w:rFonts w:hint="eastAsia" w:ascii="Times New Roman" w:hAnsi="Times New Roman" w:eastAsia="方正小标宋简体"/>
          <w:color w:val="000000" w:themeColor="text1"/>
          <w:kern w:val="0"/>
          <w:sz w:val="44"/>
          <w:szCs w:val="44"/>
          <w:highlight w:val="none"/>
          <w:lang w:eastAsia="zh-CN"/>
          <w14:textFill>
            <w14:solidFill>
              <w14:schemeClr w14:val="tx1"/>
            </w14:solidFill>
          </w14:textFill>
        </w:rPr>
        <w:br w:type="page"/>
      </w:r>
    </w:p>
    <w:p>
      <w:pPr>
        <w:spacing w:line="576" w:lineRule="exact"/>
        <w:jc w:val="both"/>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eastAsia="zh-CN"/>
          <w14:textFill>
            <w14:solidFill>
              <w14:schemeClr w14:val="tx1"/>
            </w14:solidFill>
          </w14:textFill>
        </w:rPr>
        <w:t>附件</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ascii="Times New Roman" w:hAnsi="Times New Roman" w:eastAsia="方正小标宋简体"/>
          <w:color w:val="000000" w:themeColor="text1"/>
          <w:kern w:val="0"/>
          <w:sz w:val="44"/>
          <w:szCs w:val="44"/>
          <w:highlight w:val="none"/>
          <w14:textFill>
            <w14:solidFill>
              <w14:schemeClr w14:val="tx1"/>
            </w14:solidFill>
          </w14:textFill>
        </w:rPr>
      </w:pPr>
      <w:r>
        <w:rPr>
          <w:rFonts w:hint="eastAsia" w:ascii="Times New Roman" w:hAnsi="Times New Roman" w:eastAsia="方正小标宋简体"/>
          <w:color w:val="000000" w:themeColor="text1"/>
          <w:kern w:val="0"/>
          <w:sz w:val="44"/>
          <w:szCs w:val="44"/>
          <w:highlight w:val="none"/>
          <w:lang w:eastAsia="zh-CN"/>
          <w14:textFill>
            <w14:solidFill>
              <w14:schemeClr w14:val="tx1"/>
            </w14:solidFill>
          </w14:textFill>
        </w:rPr>
        <w:t>安监局</w:t>
      </w:r>
      <w:r>
        <w:rPr>
          <w:rFonts w:ascii="Times New Roman" w:hAnsi="Times New Roman" w:eastAsia="方正小标宋简体"/>
          <w:color w:val="000000" w:themeColor="text1"/>
          <w:kern w:val="0"/>
          <w:sz w:val="44"/>
          <w:szCs w:val="44"/>
          <w:highlight w:val="none"/>
          <w14:textFill>
            <w14:solidFill>
              <w14:schemeClr w14:val="tx1"/>
            </w14:solidFill>
          </w14:textFill>
        </w:rPr>
        <w:t>部门整体支出绩效评价参考指标</w:t>
      </w:r>
    </w:p>
    <w:p>
      <w:pPr>
        <w:spacing w:line="360" w:lineRule="exact"/>
        <w:rPr>
          <w:rFonts w:ascii="Times New Roman" w:hAnsi="Times New Roman" w:eastAsia="方正小标宋简体"/>
          <w:color w:val="000000" w:themeColor="text1"/>
          <w:kern w:val="0"/>
          <w:sz w:val="44"/>
          <w:szCs w:val="44"/>
          <w:highlight w:val="none"/>
          <w14:textFill>
            <w14:solidFill>
              <w14:schemeClr w14:val="tx1"/>
            </w14:solidFill>
          </w14:textFill>
        </w:rPr>
      </w:pPr>
    </w:p>
    <w:tbl>
      <w:tblPr>
        <w:tblStyle w:val="6"/>
        <w:tblW w:w="0" w:type="auto"/>
        <w:jc w:val="center"/>
        <w:tblLayout w:type="fixed"/>
        <w:tblCellMar>
          <w:top w:w="0" w:type="dxa"/>
          <w:left w:w="108" w:type="dxa"/>
          <w:bottom w:w="0" w:type="dxa"/>
          <w:right w:w="108" w:type="dxa"/>
        </w:tblCellMar>
      </w:tblPr>
      <w:tblGrid>
        <w:gridCol w:w="641"/>
        <w:gridCol w:w="416"/>
        <w:gridCol w:w="665"/>
        <w:gridCol w:w="416"/>
        <w:gridCol w:w="1054"/>
        <w:gridCol w:w="505"/>
        <w:gridCol w:w="2267"/>
        <w:gridCol w:w="2946"/>
        <w:gridCol w:w="630"/>
      </w:tblGrid>
      <w:tr>
        <w:tblPrEx>
          <w:tblCellMar>
            <w:top w:w="0" w:type="dxa"/>
            <w:left w:w="108" w:type="dxa"/>
            <w:bottom w:w="0" w:type="dxa"/>
            <w:right w:w="108" w:type="dxa"/>
          </w:tblCellMar>
        </w:tblPrEx>
        <w:trPr>
          <w:tblHeade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一级指标</w:t>
            </w:r>
          </w:p>
        </w:tc>
        <w:tc>
          <w:tcPr>
            <w:tcW w:w="41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分值</w:t>
            </w:r>
          </w:p>
        </w:tc>
        <w:tc>
          <w:tcPr>
            <w:tcW w:w="6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二级指标</w:t>
            </w:r>
          </w:p>
        </w:tc>
        <w:tc>
          <w:tcPr>
            <w:tcW w:w="41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分值</w:t>
            </w:r>
          </w:p>
        </w:tc>
        <w:tc>
          <w:tcPr>
            <w:tcW w:w="105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三级</w:t>
            </w:r>
          </w:p>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指标</w:t>
            </w:r>
          </w:p>
        </w:tc>
        <w:tc>
          <w:tcPr>
            <w:tcW w:w="50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分值</w:t>
            </w:r>
          </w:p>
        </w:tc>
        <w:tc>
          <w:tcPr>
            <w:tcW w:w="226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评价标准</w:t>
            </w:r>
          </w:p>
        </w:tc>
        <w:tc>
          <w:tcPr>
            <w:tcW w:w="294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指标说明</w:t>
            </w:r>
          </w:p>
        </w:tc>
        <w:tc>
          <w:tcPr>
            <w:tcW w:w="63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b/>
                <w:color w:val="000000" w:themeColor="text1"/>
                <w:kern w:val="0"/>
                <w:sz w:val="19"/>
                <w:highlight w:val="none"/>
                <w14:textFill>
                  <w14:solidFill>
                    <w14:schemeClr w14:val="tx1"/>
                  </w14:solidFill>
                </w14:textFill>
              </w:rPr>
            </w:pPr>
            <w:r>
              <w:rPr>
                <w:rFonts w:ascii="Times New Roman" w:hAnsi="Times New Roman" w:eastAsia="仿宋_GB2312"/>
                <w:b/>
                <w:color w:val="000000" w:themeColor="text1"/>
                <w:kern w:val="0"/>
                <w:sz w:val="19"/>
                <w:highlight w:val="none"/>
                <w14:textFill>
                  <w14:solidFill>
                    <w14:schemeClr w14:val="tx1"/>
                  </w14:solidFill>
                </w14:textFill>
              </w:rPr>
              <w:t>得分</w:t>
            </w:r>
          </w:p>
        </w:tc>
      </w:tr>
      <w:tr>
        <w:tblPrEx>
          <w:tblCellMar>
            <w:top w:w="0" w:type="dxa"/>
            <w:left w:w="108" w:type="dxa"/>
            <w:bottom w:w="0" w:type="dxa"/>
            <w:right w:w="108" w:type="dxa"/>
          </w:tblCellMar>
        </w:tblPrEx>
        <w:trPr>
          <w:jc w:val="center"/>
        </w:trPr>
        <w:tc>
          <w:tcPr>
            <w:tcW w:w="641" w:type="dxa"/>
            <w:vMerge w:val="restart"/>
            <w:tcBorders>
              <w:top w:val="nil"/>
              <w:left w:val="single" w:color="auto" w:sz="4" w:space="0"/>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投入</w:t>
            </w:r>
          </w:p>
        </w:tc>
        <w:tc>
          <w:tcPr>
            <w:tcW w:w="416" w:type="dxa"/>
            <w:vMerge w:val="restart"/>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13</w:t>
            </w:r>
          </w:p>
        </w:tc>
        <w:tc>
          <w:tcPr>
            <w:tcW w:w="665" w:type="dxa"/>
            <w:vMerge w:val="restart"/>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预算配置</w:t>
            </w:r>
          </w:p>
        </w:tc>
        <w:tc>
          <w:tcPr>
            <w:tcW w:w="416" w:type="dxa"/>
            <w:vMerge w:val="restart"/>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13</w:t>
            </w:r>
          </w:p>
        </w:tc>
        <w:tc>
          <w:tcPr>
            <w:tcW w:w="1054"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在职人员控制率</w:t>
            </w:r>
          </w:p>
        </w:tc>
        <w:tc>
          <w:tcPr>
            <w:tcW w:w="505"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5</w:t>
            </w:r>
          </w:p>
        </w:tc>
        <w:tc>
          <w:tcPr>
            <w:tcW w:w="2267" w:type="dxa"/>
            <w:tcBorders>
              <w:top w:val="nil"/>
              <w:left w:val="nil"/>
              <w:bottom w:val="nil"/>
              <w:right w:val="nil"/>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以100%为标准。在职人员控制率</w:t>
            </w:r>
            <w:r>
              <w:rPr>
                <w:rFonts w:ascii="Times New Roman" w:hAnsi="Times New Roman"/>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100%，计5分；每超过一个百分点扣0.5分，扣完为止。</w:t>
            </w:r>
          </w:p>
        </w:tc>
        <w:tc>
          <w:tcPr>
            <w:tcW w:w="2946" w:type="dxa"/>
            <w:tcBorders>
              <w:top w:val="nil"/>
              <w:left w:val="single" w:color="auto" w:sz="4" w:space="0"/>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在职人员控制率=（在职人员数/编制数）×100%。</w:t>
            </w:r>
          </w:p>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在职人员数：部门（单位）实际在职人数。</w:t>
            </w:r>
          </w:p>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编制数：机构编制部门核定批复的部门（单位）的人员编制数。</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5</w:t>
            </w: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变动率</w:t>
            </w:r>
          </w:p>
        </w:tc>
        <w:tc>
          <w:tcPr>
            <w:tcW w:w="505"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8</w:t>
            </w:r>
          </w:p>
        </w:tc>
        <w:tc>
          <w:tcPr>
            <w:tcW w:w="2267" w:type="dxa"/>
            <w:tcBorders>
              <w:top w:val="single" w:color="auto" w:sz="4" w:space="0"/>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变动率</w:t>
            </w:r>
            <w:r>
              <w:rPr>
                <w:rFonts w:ascii="Times New Roman" w:hAnsi="宋体"/>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0，计8分，每超过一个百分点扣0.8分，扣完为止。</w:t>
            </w:r>
          </w:p>
        </w:tc>
        <w:tc>
          <w:tcPr>
            <w:tcW w:w="2946"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变动率=[（本年度</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预算数-上年度</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预算数）/上年度</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预算数]×100%。</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8</w:t>
            </w:r>
          </w:p>
        </w:tc>
      </w:tr>
      <w:tr>
        <w:tblPrEx>
          <w:tblCellMar>
            <w:top w:w="0" w:type="dxa"/>
            <w:left w:w="108" w:type="dxa"/>
            <w:bottom w:w="0" w:type="dxa"/>
            <w:right w:w="108" w:type="dxa"/>
          </w:tblCellMar>
        </w:tblPrEx>
        <w:trPr>
          <w:jc w:val="center"/>
        </w:trPr>
        <w:tc>
          <w:tcPr>
            <w:tcW w:w="641" w:type="dxa"/>
            <w:vMerge w:val="restart"/>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过程</w:t>
            </w:r>
          </w:p>
        </w:tc>
        <w:tc>
          <w:tcPr>
            <w:tcW w:w="416" w:type="dxa"/>
            <w:vMerge w:val="restart"/>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61</w:t>
            </w:r>
          </w:p>
        </w:tc>
        <w:tc>
          <w:tcPr>
            <w:tcW w:w="665" w:type="dxa"/>
            <w:vMerge w:val="restart"/>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预算执行</w:t>
            </w:r>
          </w:p>
        </w:tc>
        <w:tc>
          <w:tcPr>
            <w:tcW w:w="416" w:type="dxa"/>
            <w:vMerge w:val="restart"/>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20</w:t>
            </w:r>
          </w:p>
        </w:tc>
        <w:tc>
          <w:tcPr>
            <w:tcW w:w="1054"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预算完</w:t>
            </w:r>
          </w:p>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成率</w:t>
            </w:r>
          </w:p>
        </w:tc>
        <w:tc>
          <w:tcPr>
            <w:tcW w:w="505"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5</w:t>
            </w:r>
          </w:p>
        </w:tc>
        <w:tc>
          <w:tcPr>
            <w:tcW w:w="2267"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100%计满分，每低于5%扣2分，扣完为止。</w:t>
            </w:r>
          </w:p>
        </w:tc>
        <w:tc>
          <w:tcPr>
            <w:tcW w:w="2946"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预算完成率=[（上年结转+年初预算+本年追加预算-年末结余）/（上年结转+年初预算+本年追加预算）]×100%。</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5</w:t>
            </w:r>
          </w:p>
        </w:tc>
      </w:tr>
      <w:tr>
        <w:tblPrEx>
          <w:tblCellMar>
            <w:top w:w="0" w:type="dxa"/>
            <w:left w:w="108" w:type="dxa"/>
            <w:bottom w:w="0" w:type="dxa"/>
            <w:right w:w="108" w:type="dxa"/>
          </w:tblCellMar>
        </w:tblPrEx>
        <w:trPr>
          <w:trHeight w:val="973" w:hRule="atLeast"/>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预算控</w:t>
            </w:r>
          </w:p>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制率</w:t>
            </w:r>
          </w:p>
        </w:tc>
        <w:tc>
          <w:tcPr>
            <w:tcW w:w="505"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5</w:t>
            </w:r>
          </w:p>
        </w:tc>
        <w:tc>
          <w:tcPr>
            <w:tcW w:w="2267"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预算控制率=0，计5分；0-10%（含），计4分；10-20%（含），计3分；20-30%（含），计2分；大于30%不得分。</w:t>
            </w:r>
          </w:p>
        </w:tc>
        <w:tc>
          <w:tcPr>
            <w:tcW w:w="2946"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预算控制率=（本年追加预算/年初预算）×100%。</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0</w:t>
            </w:r>
          </w:p>
        </w:tc>
      </w:tr>
      <w:tr>
        <w:tblPrEx>
          <w:tblCellMar>
            <w:top w:w="0" w:type="dxa"/>
            <w:left w:w="108" w:type="dxa"/>
            <w:bottom w:w="0" w:type="dxa"/>
            <w:right w:w="108" w:type="dxa"/>
          </w:tblCellMar>
        </w:tblPrEx>
        <w:trPr>
          <w:trHeight w:val="1160" w:hRule="atLeast"/>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新建楼堂馆所面积控制率</w:t>
            </w:r>
          </w:p>
        </w:tc>
        <w:tc>
          <w:tcPr>
            <w:tcW w:w="505"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5</w:t>
            </w:r>
          </w:p>
        </w:tc>
        <w:tc>
          <w:tcPr>
            <w:tcW w:w="2267"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100%以下（含）计满分，每超出5%扣2分，扣完为止。没有楼堂馆所项目的部门按满分计算。</w:t>
            </w:r>
          </w:p>
        </w:tc>
        <w:tc>
          <w:tcPr>
            <w:tcW w:w="2946"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楼堂馆所面积控制率=（实际建设面积/批准建设面积）×100% 。</w:t>
            </w:r>
          </w:p>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该指标以2016年完工的新建楼堂馆所为评价内容。</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5</w:t>
            </w:r>
          </w:p>
        </w:tc>
      </w:tr>
      <w:tr>
        <w:tblPrEx>
          <w:tblCellMar>
            <w:top w:w="0" w:type="dxa"/>
            <w:left w:w="108" w:type="dxa"/>
            <w:bottom w:w="0" w:type="dxa"/>
            <w:right w:w="108" w:type="dxa"/>
          </w:tblCellMar>
        </w:tblPrEx>
        <w:trPr>
          <w:trHeight w:val="1115" w:hRule="atLeast"/>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新建楼堂馆所投资概算控</w:t>
            </w:r>
          </w:p>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制率</w:t>
            </w:r>
          </w:p>
        </w:tc>
        <w:tc>
          <w:tcPr>
            <w:tcW w:w="505"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5</w:t>
            </w:r>
          </w:p>
        </w:tc>
        <w:tc>
          <w:tcPr>
            <w:tcW w:w="2267"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100%以下（含）计满分，每超出5%扣2分，扣完为止。</w:t>
            </w:r>
          </w:p>
        </w:tc>
        <w:tc>
          <w:tcPr>
            <w:tcW w:w="2946"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楼堂馆所投资预算控制率=（实际投资金额/批准投资金额）×100% 。</w:t>
            </w:r>
          </w:p>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该指标以2016年完工的新建楼堂馆所为评价内容。</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5</w:t>
            </w:r>
          </w:p>
        </w:tc>
      </w:tr>
      <w:tr>
        <w:tblPrEx>
          <w:tblCellMar>
            <w:top w:w="0" w:type="dxa"/>
            <w:left w:w="108" w:type="dxa"/>
            <w:bottom w:w="0" w:type="dxa"/>
            <w:right w:w="108" w:type="dxa"/>
          </w:tblCellMar>
        </w:tblPrEx>
        <w:trPr>
          <w:trHeight w:val="1448" w:hRule="atLeast"/>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restart"/>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预算管理</w:t>
            </w:r>
          </w:p>
        </w:tc>
        <w:tc>
          <w:tcPr>
            <w:tcW w:w="416" w:type="dxa"/>
            <w:vMerge w:val="restart"/>
            <w:tcBorders>
              <w:top w:val="nil"/>
              <w:left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41</w:t>
            </w:r>
          </w:p>
        </w:tc>
        <w:tc>
          <w:tcPr>
            <w:tcW w:w="1054"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公用经费控制率</w:t>
            </w:r>
          </w:p>
        </w:tc>
        <w:tc>
          <w:tcPr>
            <w:tcW w:w="505"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8</w:t>
            </w:r>
          </w:p>
        </w:tc>
        <w:tc>
          <w:tcPr>
            <w:tcW w:w="2267"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100%以下（含）计满分，每超出1%扣1分，扣完为止。</w:t>
            </w:r>
          </w:p>
        </w:tc>
        <w:tc>
          <w:tcPr>
            <w:tcW w:w="2946"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公用经费控制率=（实际支出公用经费总额/预算安排公用经费总额）×100%。</w:t>
            </w:r>
          </w:p>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公用经费支出是指部门基本支出中的一般商品和服务支出。</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8</w:t>
            </w:r>
          </w:p>
        </w:tc>
      </w:tr>
      <w:tr>
        <w:tblPrEx>
          <w:tblCellMar>
            <w:top w:w="0" w:type="dxa"/>
            <w:left w:w="108" w:type="dxa"/>
            <w:bottom w:w="0" w:type="dxa"/>
            <w:right w:w="108" w:type="dxa"/>
          </w:tblCellMar>
        </w:tblPrEx>
        <w:trPr>
          <w:trHeight w:val="740" w:hRule="atLeast"/>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left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控制率</w:t>
            </w:r>
          </w:p>
        </w:tc>
        <w:tc>
          <w:tcPr>
            <w:tcW w:w="505"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8</w:t>
            </w:r>
          </w:p>
        </w:tc>
        <w:tc>
          <w:tcPr>
            <w:tcW w:w="2267"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100%以下（含）计满分，每超出1%扣1分，扣完为止。</w:t>
            </w:r>
          </w:p>
        </w:tc>
        <w:tc>
          <w:tcPr>
            <w:tcW w:w="2946"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控制率=（</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实际支出数/</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三公经费</w:t>
            </w:r>
            <w:r>
              <w:rPr>
                <w:rFonts w:hint="eastAsia" w:ascii="仿宋_GB2312" w:hAnsi="仿宋_GB2312" w:eastAsia="仿宋_GB2312" w:cs="仿宋_GB2312"/>
                <w:color w:val="000000" w:themeColor="text1"/>
                <w:kern w:val="0"/>
                <w:sz w:val="19"/>
                <w:highlight w:val="none"/>
                <w14:textFill>
                  <w14:solidFill>
                    <w14:schemeClr w14:val="tx1"/>
                  </w14:solidFill>
                </w14:textFill>
              </w:rPr>
              <w:t>”</w:t>
            </w:r>
            <w:r>
              <w:rPr>
                <w:rFonts w:ascii="Times New Roman" w:hAnsi="Times New Roman" w:eastAsia="仿宋_GB2312"/>
                <w:color w:val="000000" w:themeColor="text1"/>
                <w:kern w:val="0"/>
                <w:sz w:val="19"/>
                <w:highlight w:val="none"/>
                <w14:textFill>
                  <w14:solidFill>
                    <w14:schemeClr w14:val="tx1"/>
                  </w14:solidFill>
                </w14:textFill>
              </w:rPr>
              <w:t>预算安排数）×100%。</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8</w:t>
            </w:r>
          </w:p>
        </w:tc>
      </w:tr>
      <w:tr>
        <w:tblPrEx>
          <w:tblCellMar>
            <w:top w:w="0" w:type="dxa"/>
            <w:left w:w="108" w:type="dxa"/>
            <w:bottom w:w="0" w:type="dxa"/>
            <w:right w:w="108" w:type="dxa"/>
          </w:tblCellMar>
        </w:tblPrEx>
        <w:trPr>
          <w:trHeight w:val="777"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single" w:color="auto" w:sz="4" w:space="0"/>
              <w:bottom w:val="single" w:color="000000"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left w:val="single" w:color="auto" w:sz="4" w:space="0"/>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政府采购执行率</w:t>
            </w:r>
          </w:p>
        </w:tc>
        <w:tc>
          <w:tcPr>
            <w:tcW w:w="505" w:type="dxa"/>
            <w:tcBorders>
              <w:top w:val="nil"/>
              <w:left w:val="nil"/>
              <w:bottom w:val="single" w:color="auto" w:sz="4" w:space="0"/>
              <w:right w:val="single" w:color="auto" w:sz="4" w:space="0"/>
            </w:tcBorders>
            <w:noWrap w:val="0"/>
            <w:vAlign w:val="center"/>
          </w:tcPr>
          <w:p>
            <w:pPr>
              <w:spacing w:line="29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6</w:t>
            </w:r>
          </w:p>
        </w:tc>
        <w:tc>
          <w:tcPr>
            <w:tcW w:w="2267"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100%计满分，每超过（降低）5%扣2分，扣完为止。</w:t>
            </w:r>
          </w:p>
        </w:tc>
        <w:tc>
          <w:tcPr>
            <w:tcW w:w="2946" w:type="dxa"/>
            <w:tcBorders>
              <w:top w:val="nil"/>
              <w:left w:val="nil"/>
              <w:bottom w:val="single" w:color="auto" w:sz="4" w:space="0"/>
              <w:right w:val="single" w:color="auto" w:sz="4" w:space="0"/>
            </w:tcBorders>
            <w:noWrap w:val="0"/>
            <w:vAlign w:val="center"/>
          </w:tcPr>
          <w:p>
            <w:pPr>
              <w:spacing w:line="29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 xml:space="preserve">政府采购执行率=（实际政府采购金额/政府采购预算数）×100%。                </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2</w:t>
            </w:r>
          </w:p>
        </w:tc>
      </w:tr>
      <w:tr>
        <w:tblPrEx>
          <w:tblCellMar>
            <w:top w:w="0" w:type="dxa"/>
            <w:left w:w="108" w:type="dxa"/>
            <w:bottom w:w="0" w:type="dxa"/>
            <w:right w:w="108" w:type="dxa"/>
          </w:tblCellMar>
        </w:tblPrEx>
        <w:trPr>
          <w:jc w:val="center"/>
        </w:trPr>
        <w:tc>
          <w:tcPr>
            <w:tcW w:w="641"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过程</w:t>
            </w:r>
          </w:p>
        </w:tc>
        <w:tc>
          <w:tcPr>
            <w:tcW w:w="416"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61</w:t>
            </w:r>
          </w:p>
        </w:tc>
        <w:tc>
          <w:tcPr>
            <w:tcW w:w="665" w:type="dxa"/>
            <w:vMerge w:val="restart"/>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预算管理</w:t>
            </w:r>
          </w:p>
        </w:tc>
        <w:tc>
          <w:tcPr>
            <w:tcW w:w="41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41</w:t>
            </w:r>
          </w:p>
        </w:tc>
        <w:tc>
          <w:tcPr>
            <w:tcW w:w="1054"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管理制度健全性</w:t>
            </w:r>
          </w:p>
        </w:tc>
        <w:tc>
          <w:tcPr>
            <w:tcW w:w="505"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8</w:t>
            </w:r>
          </w:p>
        </w:tc>
        <w:tc>
          <w:tcPr>
            <w:tcW w:w="2267" w:type="dxa"/>
            <w:tcBorders>
              <w:top w:val="nil"/>
              <w:left w:val="nil"/>
              <w:bottom w:val="single" w:color="auto" w:sz="4" w:space="0"/>
              <w:right w:val="single" w:color="auto" w:sz="4" w:space="0"/>
            </w:tcBorders>
            <w:noWrap w:val="0"/>
            <w:vAlign w:val="center"/>
          </w:tcPr>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color w:val="000000" w:themeColor="text1"/>
                <w:kern w:val="0"/>
                <w:sz w:val="19"/>
                <w:highlight w:val="none"/>
                <w14:textFill>
                  <w14:solidFill>
                    <w14:schemeClr w14:val="tx1"/>
                  </w14:solidFill>
                </w14:textFill>
              </w:rPr>
              <w:t>①</w:t>
            </w:r>
            <w:r>
              <w:rPr>
                <w:rFonts w:ascii="Times New Roman" w:hAnsi="Times New Roman" w:eastAsia="仿宋_GB2312"/>
                <w:color w:val="000000" w:themeColor="text1"/>
                <w:kern w:val="0"/>
                <w:sz w:val="19"/>
                <w:highlight w:val="none"/>
                <w14:textFill>
                  <w14:solidFill>
                    <w14:schemeClr w14:val="tx1"/>
                  </w14:solidFill>
                </w14:textFill>
              </w:rPr>
              <w:t>有内部财务管理制度、会计核算制度等管理制度，2分；</w:t>
            </w:r>
            <w:r>
              <w:rPr>
                <w:rFonts w:ascii="Times New Roman" w:hAnsi="Times New Roman"/>
                <w:color w:val="000000" w:themeColor="text1"/>
                <w:kern w:val="0"/>
                <w:sz w:val="19"/>
                <w:highlight w:val="none"/>
                <w14:textFill>
                  <w14:solidFill>
                    <w14:schemeClr w14:val="tx1"/>
                  </w14:solidFill>
                </w14:textFill>
              </w:rPr>
              <w:t>②</w:t>
            </w:r>
            <w:r>
              <w:rPr>
                <w:rFonts w:ascii="Times New Roman" w:hAnsi="Times New Roman" w:eastAsia="仿宋_GB2312"/>
                <w:color w:val="000000" w:themeColor="text1"/>
                <w:kern w:val="0"/>
                <w:sz w:val="19"/>
                <w:highlight w:val="none"/>
                <w14:textFill>
                  <w14:solidFill>
                    <w14:schemeClr w14:val="tx1"/>
                  </w14:solidFill>
                </w14:textFill>
              </w:rPr>
              <w:t>有本部门厉行节约制度，2分；</w:t>
            </w:r>
            <w:r>
              <w:rPr>
                <w:rFonts w:ascii="Times New Roman" w:hAnsi="Times New Roman"/>
                <w:color w:val="000000" w:themeColor="text1"/>
                <w:kern w:val="0"/>
                <w:sz w:val="19"/>
                <w:highlight w:val="none"/>
                <w14:textFill>
                  <w14:solidFill>
                    <w14:schemeClr w14:val="tx1"/>
                  </w14:solidFill>
                </w14:textFill>
              </w:rPr>
              <w:t>③</w:t>
            </w:r>
            <w:r>
              <w:rPr>
                <w:rFonts w:ascii="Times New Roman" w:hAnsi="Times New Roman" w:eastAsia="仿宋_GB2312"/>
                <w:color w:val="000000" w:themeColor="text1"/>
                <w:kern w:val="0"/>
                <w:sz w:val="19"/>
                <w:highlight w:val="none"/>
                <w14:textFill>
                  <w14:solidFill>
                    <w14:schemeClr w14:val="tx1"/>
                  </w14:solidFill>
                </w14:textFill>
              </w:rPr>
              <w:t>相关管理制度合法、合规、完整，2分；</w:t>
            </w:r>
            <w:r>
              <w:rPr>
                <w:rFonts w:ascii="Times New Roman" w:hAnsi="Times New Roman"/>
                <w:color w:val="000000" w:themeColor="text1"/>
                <w:kern w:val="0"/>
                <w:sz w:val="19"/>
                <w:highlight w:val="none"/>
                <w14:textFill>
                  <w14:solidFill>
                    <w14:schemeClr w14:val="tx1"/>
                  </w14:solidFill>
                </w14:textFill>
              </w:rPr>
              <w:t>④</w:t>
            </w:r>
            <w:r>
              <w:rPr>
                <w:rFonts w:ascii="Times New Roman" w:hAnsi="Times New Roman" w:eastAsia="仿宋_GB2312"/>
                <w:color w:val="000000" w:themeColor="text1"/>
                <w:kern w:val="0"/>
                <w:sz w:val="19"/>
                <w:highlight w:val="none"/>
                <w14:textFill>
                  <w14:solidFill>
                    <w14:schemeClr w14:val="tx1"/>
                  </w14:solidFill>
                </w14:textFill>
              </w:rPr>
              <w:t>相关管理制度得到有效执行，2分。</w:t>
            </w:r>
          </w:p>
        </w:tc>
        <w:tc>
          <w:tcPr>
            <w:tcW w:w="2946" w:type="dxa"/>
            <w:tcBorders>
              <w:top w:val="nil"/>
              <w:left w:val="nil"/>
              <w:bottom w:val="single" w:color="auto" w:sz="4" w:space="0"/>
              <w:right w:val="single" w:color="auto" w:sz="4" w:space="0"/>
            </w:tcBorders>
            <w:noWrap w:val="0"/>
            <w:vAlign w:val="center"/>
          </w:tcPr>
          <w:p>
            <w:pPr>
              <w:spacing w:line="25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　</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7</w:t>
            </w: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nil"/>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资金使用合规性</w:t>
            </w:r>
          </w:p>
        </w:tc>
        <w:tc>
          <w:tcPr>
            <w:tcW w:w="505"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6</w:t>
            </w:r>
          </w:p>
        </w:tc>
        <w:tc>
          <w:tcPr>
            <w:tcW w:w="2267" w:type="dxa"/>
            <w:tcBorders>
              <w:top w:val="nil"/>
              <w:left w:val="nil"/>
              <w:bottom w:val="single" w:color="auto" w:sz="4" w:space="0"/>
              <w:right w:val="single" w:color="auto" w:sz="4" w:space="0"/>
            </w:tcBorders>
            <w:noWrap w:val="0"/>
            <w:vAlign w:val="center"/>
          </w:tcPr>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color w:val="000000" w:themeColor="text1"/>
                <w:kern w:val="0"/>
                <w:sz w:val="19"/>
                <w:highlight w:val="none"/>
                <w14:textFill>
                  <w14:solidFill>
                    <w14:schemeClr w14:val="tx1"/>
                  </w14:solidFill>
                </w14:textFill>
              </w:rPr>
              <w:t>①</w:t>
            </w:r>
            <w:r>
              <w:rPr>
                <w:rFonts w:ascii="Times New Roman" w:hAnsi="Times New Roman" w:eastAsia="仿宋_GB2312"/>
                <w:color w:val="000000" w:themeColor="text1"/>
                <w:kern w:val="0"/>
                <w:sz w:val="19"/>
                <w:highlight w:val="none"/>
                <w14:textFill>
                  <w14:solidFill>
                    <w14:schemeClr w14:val="tx1"/>
                  </w14:solidFill>
                </w14:textFill>
              </w:rPr>
              <w:t>支出符合国家财经法规和财务管理制度规定以及有关专项资金管理办法的规定；</w:t>
            </w:r>
            <w:r>
              <w:rPr>
                <w:rFonts w:ascii="Times New Roman" w:hAnsi="Times New Roman"/>
                <w:color w:val="000000" w:themeColor="text1"/>
                <w:kern w:val="0"/>
                <w:sz w:val="19"/>
                <w:highlight w:val="none"/>
                <w14:textFill>
                  <w14:solidFill>
                    <w14:schemeClr w14:val="tx1"/>
                  </w14:solidFill>
                </w14:textFill>
              </w:rPr>
              <w:t>②</w:t>
            </w:r>
            <w:r>
              <w:rPr>
                <w:rFonts w:ascii="Times New Roman" w:hAnsi="Times New Roman" w:eastAsia="仿宋_GB2312"/>
                <w:color w:val="000000" w:themeColor="text1"/>
                <w:kern w:val="0"/>
                <w:sz w:val="19"/>
                <w:highlight w:val="none"/>
                <w14:textFill>
                  <w14:solidFill>
                    <w14:schemeClr w14:val="tx1"/>
                  </w14:solidFill>
                </w14:textFill>
              </w:rPr>
              <w:t>资金拨付有完整的审批程序和手续；</w:t>
            </w:r>
            <w:r>
              <w:rPr>
                <w:rFonts w:ascii="Times New Roman" w:hAnsi="Times New Roman"/>
                <w:color w:val="000000" w:themeColor="text1"/>
                <w:kern w:val="0"/>
                <w:sz w:val="19"/>
                <w:highlight w:val="none"/>
                <w14:textFill>
                  <w14:solidFill>
                    <w14:schemeClr w14:val="tx1"/>
                  </w14:solidFill>
                </w14:textFill>
              </w:rPr>
              <w:t>③</w:t>
            </w:r>
            <w:r>
              <w:rPr>
                <w:rFonts w:ascii="Times New Roman" w:hAnsi="Times New Roman" w:eastAsia="仿宋_GB2312"/>
                <w:color w:val="000000" w:themeColor="text1"/>
                <w:kern w:val="0"/>
                <w:sz w:val="19"/>
                <w:highlight w:val="none"/>
                <w14:textFill>
                  <w14:solidFill>
                    <w14:schemeClr w14:val="tx1"/>
                  </w14:solidFill>
                </w14:textFill>
              </w:rPr>
              <w:t>项目支出按规定经过评估论证；</w:t>
            </w:r>
            <w:r>
              <w:rPr>
                <w:rFonts w:ascii="Times New Roman" w:hAnsi="Times New Roman"/>
                <w:color w:val="000000" w:themeColor="text1"/>
                <w:kern w:val="0"/>
                <w:sz w:val="19"/>
                <w:highlight w:val="none"/>
                <w14:textFill>
                  <w14:solidFill>
                    <w14:schemeClr w14:val="tx1"/>
                  </w14:solidFill>
                </w14:textFill>
              </w:rPr>
              <w:t>④</w:t>
            </w:r>
            <w:r>
              <w:rPr>
                <w:rFonts w:ascii="Times New Roman" w:hAnsi="Times New Roman" w:eastAsia="仿宋_GB2312"/>
                <w:color w:val="000000" w:themeColor="text1"/>
                <w:kern w:val="0"/>
                <w:sz w:val="19"/>
                <w:highlight w:val="none"/>
                <w14:textFill>
                  <w14:solidFill>
                    <w14:schemeClr w14:val="tx1"/>
                  </w14:solidFill>
                </w14:textFill>
              </w:rPr>
              <w:t>支出符合部门预算批复的用途；</w:t>
            </w:r>
            <w:r>
              <w:rPr>
                <w:rFonts w:ascii="Times New Roman" w:hAnsi="Times New Roman"/>
                <w:color w:val="000000" w:themeColor="text1"/>
                <w:kern w:val="0"/>
                <w:sz w:val="19"/>
                <w:highlight w:val="none"/>
                <w14:textFill>
                  <w14:solidFill>
                    <w14:schemeClr w14:val="tx1"/>
                  </w14:solidFill>
                </w14:textFill>
              </w:rPr>
              <w:t>⑤</w:t>
            </w:r>
            <w:r>
              <w:rPr>
                <w:rFonts w:ascii="Times New Roman" w:hAnsi="Times New Roman" w:eastAsia="仿宋_GB2312"/>
                <w:color w:val="000000" w:themeColor="text1"/>
                <w:kern w:val="0"/>
                <w:sz w:val="19"/>
                <w:highlight w:val="none"/>
                <w14:textFill>
                  <w14:solidFill>
                    <w14:schemeClr w14:val="tx1"/>
                  </w14:solidFill>
                </w14:textFill>
              </w:rPr>
              <w:t>资金使用无截留、挤占、挪用、虚列支出等情况。</w:t>
            </w:r>
          </w:p>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以上情况每出现一例不符合要求的扣1分，扣完为止。</w:t>
            </w:r>
          </w:p>
        </w:tc>
        <w:tc>
          <w:tcPr>
            <w:tcW w:w="2946" w:type="dxa"/>
            <w:tcBorders>
              <w:top w:val="nil"/>
              <w:left w:val="nil"/>
              <w:bottom w:val="single" w:color="auto" w:sz="4" w:space="0"/>
              <w:right w:val="single" w:color="auto" w:sz="4" w:space="0"/>
            </w:tcBorders>
            <w:noWrap w:val="0"/>
            <w:vAlign w:val="center"/>
          </w:tcPr>
          <w:p>
            <w:pPr>
              <w:spacing w:line="25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　</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6</w:t>
            </w: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nil"/>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预决算信息公开</w:t>
            </w:r>
          </w:p>
        </w:tc>
        <w:tc>
          <w:tcPr>
            <w:tcW w:w="505"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5</w:t>
            </w:r>
          </w:p>
        </w:tc>
        <w:tc>
          <w:tcPr>
            <w:tcW w:w="2267" w:type="dxa"/>
            <w:tcBorders>
              <w:top w:val="nil"/>
              <w:left w:val="nil"/>
              <w:bottom w:val="single" w:color="auto" w:sz="4" w:space="0"/>
              <w:right w:val="single" w:color="auto" w:sz="4" w:space="0"/>
            </w:tcBorders>
            <w:noWrap w:val="0"/>
            <w:vAlign w:val="center"/>
          </w:tcPr>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color w:val="000000" w:themeColor="text1"/>
                <w:kern w:val="0"/>
                <w:sz w:val="19"/>
                <w:highlight w:val="none"/>
                <w14:textFill>
                  <w14:solidFill>
                    <w14:schemeClr w14:val="tx1"/>
                  </w14:solidFill>
                </w14:textFill>
              </w:rPr>
              <w:t>①</w:t>
            </w:r>
            <w:r>
              <w:rPr>
                <w:rFonts w:ascii="Times New Roman" w:hAnsi="Times New Roman" w:eastAsia="仿宋_GB2312"/>
                <w:color w:val="000000" w:themeColor="text1"/>
                <w:kern w:val="0"/>
                <w:sz w:val="19"/>
                <w:highlight w:val="none"/>
                <w14:textFill>
                  <w14:solidFill>
                    <w14:schemeClr w14:val="tx1"/>
                  </w14:solidFill>
                </w14:textFill>
              </w:rPr>
              <w:t>按规定内容公开预决算信息，1分；</w:t>
            </w:r>
            <w:r>
              <w:rPr>
                <w:rFonts w:ascii="Times New Roman" w:hAnsi="Times New Roman"/>
                <w:color w:val="000000" w:themeColor="text1"/>
                <w:kern w:val="0"/>
                <w:sz w:val="19"/>
                <w:highlight w:val="none"/>
                <w14:textFill>
                  <w14:solidFill>
                    <w14:schemeClr w14:val="tx1"/>
                  </w14:solidFill>
                </w14:textFill>
              </w:rPr>
              <w:t>②</w:t>
            </w:r>
            <w:r>
              <w:rPr>
                <w:rFonts w:ascii="Times New Roman" w:hAnsi="Times New Roman" w:eastAsia="仿宋_GB2312"/>
                <w:color w:val="000000" w:themeColor="text1"/>
                <w:kern w:val="0"/>
                <w:sz w:val="19"/>
                <w:highlight w:val="none"/>
                <w14:textFill>
                  <w14:solidFill>
                    <w14:schemeClr w14:val="tx1"/>
                  </w14:solidFill>
                </w14:textFill>
              </w:rPr>
              <w:t>按规定时限公开预决算信息，1分；</w:t>
            </w:r>
            <w:r>
              <w:rPr>
                <w:rFonts w:ascii="Times New Roman" w:hAnsi="Times New Roman"/>
                <w:color w:val="000000" w:themeColor="text1"/>
                <w:kern w:val="0"/>
                <w:sz w:val="19"/>
                <w:highlight w:val="none"/>
                <w14:textFill>
                  <w14:solidFill>
                    <w14:schemeClr w14:val="tx1"/>
                  </w14:solidFill>
                </w14:textFill>
              </w:rPr>
              <w:t>③</w:t>
            </w:r>
            <w:r>
              <w:rPr>
                <w:rFonts w:ascii="Times New Roman" w:hAnsi="Times New Roman" w:eastAsia="仿宋_GB2312"/>
                <w:color w:val="000000" w:themeColor="text1"/>
                <w:kern w:val="0"/>
                <w:sz w:val="19"/>
                <w:highlight w:val="none"/>
                <w14:textFill>
                  <w14:solidFill>
                    <w14:schemeClr w14:val="tx1"/>
                  </w14:solidFill>
                </w14:textFill>
              </w:rPr>
              <w:t>基础数据信息和会计信息资料真实，1分；</w:t>
            </w:r>
            <w:r>
              <w:rPr>
                <w:rFonts w:ascii="Times New Roman" w:hAnsi="Times New Roman"/>
                <w:color w:val="000000" w:themeColor="text1"/>
                <w:kern w:val="0"/>
                <w:sz w:val="19"/>
                <w:highlight w:val="none"/>
                <w14:textFill>
                  <w14:solidFill>
                    <w14:schemeClr w14:val="tx1"/>
                  </w14:solidFill>
                </w14:textFill>
              </w:rPr>
              <w:t>④</w:t>
            </w:r>
            <w:r>
              <w:rPr>
                <w:rFonts w:ascii="Times New Roman" w:hAnsi="Times New Roman" w:eastAsia="仿宋_GB2312"/>
                <w:color w:val="000000" w:themeColor="text1"/>
                <w:kern w:val="0"/>
                <w:sz w:val="19"/>
                <w:highlight w:val="none"/>
                <w14:textFill>
                  <w14:solidFill>
                    <w14:schemeClr w14:val="tx1"/>
                  </w14:solidFill>
                </w14:textFill>
              </w:rPr>
              <w:t>基础数据信息和会计信息资料完整，1分；</w:t>
            </w:r>
            <w:r>
              <w:rPr>
                <w:rFonts w:ascii="Times New Roman" w:hAnsi="Times New Roman"/>
                <w:color w:val="000000" w:themeColor="text1"/>
                <w:kern w:val="0"/>
                <w:sz w:val="19"/>
                <w:highlight w:val="none"/>
                <w14:textFill>
                  <w14:solidFill>
                    <w14:schemeClr w14:val="tx1"/>
                  </w14:solidFill>
                </w14:textFill>
              </w:rPr>
              <w:t>⑤</w:t>
            </w:r>
            <w:r>
              <w:rPr>
                <w:rFonts w:ascii="Times New Roman" w:hAnsi="Times New Roman" w:eastAsia="仿宋_GB2312"/>
                <w:color w:val="000000" w:themeColor="text1"/>
                <w:kern w:val="0"/>
                <w:sz w:val="19"/>
                <w:highlight w:val="none"/>
                <w14:textFill>
                  <w14:solidFill>
                    <w14:schemeClr w14:val="tx1"/>
                  </w14:solidFill>
                </w14:textFill>
              </w:rPr>
              <w:t xml:space="preserve">基础数据信息和汇总信息资料准确，1分。  </w:t>
            </w:r>
          </w:p>
        </w:tc>
        <w:tc>
          <w:tcPr>
            <w:tcW w:w="2946" w:type="dxa"/>
            <w:tcBorders>
              <w:top w:val="nil"/>
              <w:left w:val="nil"/>
              <w:bottom w:val="single" w:color="auto" w:sz="4" w:space="0"/>
              <w:right w:val="single" w:color="auto" w:sz="4" w:space="0"/>
            </w:tcBorders>
            <w:noWrap w:val="0"/>
            <w:vAlign w:val="center"/>
          </w:tcPr>
          <w:p>
            <w:pPr>
              <w:spacing w:line="25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5</w:t>
            </w:r>
          </w:p>
        </w:tc>
      </w:tr>
      <w:tr>
        <w:tblPrEx>
          <w:tblCellMar>
            <w:top w:w="0" w:type="dxa"/>
            <w:left w:w="108" w:type="dxa"/>
            <w:bottom w:w="0" w:type="dxa"/>
            <w:right w:w="108" w:type="dxa"/>
          </w:tblCellMar>
        </w:tblPrEx>
        <w:trPr>
          <w:jc w:val="center"/>
        </w:trPr>
        <w:tc>
          <w:tcPr>
            <w:tcW w:w="641" w:type="dxa"/>
            <w:vMerge w:val="restart"/>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产出及效率</w:t>
            </w:r>
          </w:p>
        </w:tc>
        <w:tc>
          <w:tcPr>
            <w:tcW w:w="416" w:type="dxa"/>
            <w:vMerge w:val="restart"/>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26</w:t>
            </w:r>
          </w:p>
        </w:tc>
        <w:tc>
          <w:tcPr>
            <w:tcW w:w="665" w:type="dxa"/>
            <w:tcBorders>
              <w:top w:val="nil"/>
              <w:left w:val="nil"/>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职责履行</w:t>
            </w:r>
          </w:p>
        </w:tc>
        <w:tc>
          <w:tcPr>
            <w:tcW w:w="416" w:type="dxa"/>
            <w:tcBorders>
              <w:top w:val="single" w:color="auto" w:sz="4" w:space="0"/>
              <w:left w:val="nil"/>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8</w:t>
            </w:r>
          </w:p>
        </w:tc>
        <w:tc>
          <w:tcPr>
            <w:tcW w:w="1054" w:type="dxa"/>
            <w:tcBorders>
              <w:top w:val="nil"/>
              <w:left w:val="nil"/>
              <w:bottom w:val="nil"/>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重点工作办结率</w:t>
            </w:r>
          </w:p>
        </w:tc>
        <w:tc>
          <w:tcPr>
            <w:tcW w:w="505"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8</w:t>
            </w:r>
          </w:p>
        </w:tc>
        <w:tc>
          <w:tcPr>
            <w:tcW w:w="2267" w:type="dxa"/>
            <w:tcBorders>
              <w:top w:val="nil"/>
              <w:left w:val="nil"/>
              <w:bottom w:val="single" w:color="auto" w:sz="4" w:space="0"/>
              <w:right w:val="single" w:color="auto" w:sz="4" w:space="0"/>
            </w:tcBorders>
            <w:noWrap w:val="0"/>
            <w:vAlign w:val="center"/>
          </w:tcPr>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部门（单位）年度重点工作实际完成数与交办或下达数的比率，用以反映部门（单位）对重点工作的办理落实程度。</w:t>
            </w:r>
          </w:p>
        </w:tc>
        <w:tc>
          <w:tcPr>
            <w:tcW w:w="2946" w:type="dxa"/>
            <w:tcBorders>
              <w:top w:val="nil"/>
              <w:left w:val="nil"/>
              <w:bottom w:val="single" w:color="auto" w:sz="4" w:space="0"/>
              <w:right w:val="single" w:color="auto" w:sz="4" w:space="0"/>
            </w:tcBorders>
            <w:noWrap w:val="0"/>
            <w:vAlign w:val="center"/>
          </w:tcPr>
          <w:p>
            <w:pPr>
              <w:spacing w:line="25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重点工作办结率＝（重点工作实际完成数/交办或下达数）×100%。</w:t>
            </w:r>
          </w:p>
          <w:p>
            <w:pPr>
              <w:spacing w:line="25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重点工作是指党委、政府、人大、相关部门交办或下达的工作任务。</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8</w:t>
            </w:r>
          </w:p>
        </w:tc>
      </w:tr>
      <w:tr>
        <w:tblPrEx>
          <w:tblCellMar>
            <w:top w:w="0" w:type="dxa"/>
            <w:left w:w="108" w:type="dxa"/>
            <w:bottom w:w="0" w:type="dxa"/>
            <w:right w:w="108" w:type="dxa"/>
          </w:tblCellMar>
        </w:tblPrEx>
        <w:trPr>
          <w:trHeight w:val="819" w:hRule="atLeast"/>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restart"/>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履职 效益</w:t>
            </w:r>
          </w:p>
        </w:tc>
        <w:tc>
          <w:tcPr>
            <w:tcW w:w="416" w:type="dxa"/>
            <w:vMerge w:val="restart"/>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6</w:t>
            </w:r>
          </w:p>
        </w:tc>
        <w:tc>
          <w:tcPr>
            <w:tcW w:w="105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经济效益</w:t>
            </w:r>
          </w:p>
        </w:tc>
        <w:tc>
          <w:tcPr>
            <w:tcW w:w="505" w:type="dxa"/>
            <w:vMerge w:val="restart"/>
            <w:tcBorders>
              <w:top w:val="nil"/>
              <w:left w:val="single" w:color="auto" w:sz="4" w:space="0"/>
              <w:bottom w:val="nil"/>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6</w:t>
            </w:r>
          </w:p>
        </w:tc>
        <w:tc>
          <w:tcPr>
            <w:tcW w:w="2267" w:type="dxa"/>
            <w:vMerge w:val="restart"/>
            <w:tcBorders>
              <w:top w:val="single" w:color="auto" w:sz="4" w:space="0"/>
              <w:left w:val="single" w:color="auto" w:sz="4" w:space="0"/>
              <w:bottom w:val="nil"/>
              <w:right w:val="single" w:color="auto" w:sz="4" w:space="0"/>
            </w:tcBorders>
            <w:noWrap w:val="0"/>
            <w:vAlign w:val="center"/>
          </w:tcPr>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此两项指标为设置部门整体支出绩效评价指标时必须考虑的共性要素，可根</w:t>
            </w:r>
            <w:r>
              <w:rPr>
                <w:rFonts w:hint="eastAsia" w:ascii="仿宋" w:hAnsi="仿宋" w:eastAsia="仿宋" w:cs="仿宋"/>
                <w:color w:val="000000" w:themeColor="text1"/>
                <w:kern w:val="0"/>
                <w:sz w:val="19"/>
                <w:highlight w:val="none"/>
                <w14:textFill>
                  <w14:solidFill>
                    <w14:schemeClr w14:val="tx1"/>
                  </w14:solidFill>
                </w14:textFill>
              </w:rPr>
              <w:t>据部门实</w:t>
            </w:r>
            <w:r>
              <w:rPr>
                <w:rFonts w:ascii="Times New Roman" w:hAnsi="Times New Roman" w:eastAsia="仿宋_GB2312"/>
                <w:color w:val="000000" w:themeColor="text1"/>
                <w:kern w:val="0"/>
                <w:sz w:val="19"/>
                <w:highlight w:val="none"/>
                <w14:textFill>
                  <w14:solidFill>
                    <w14:schemeClr w14:val="tx1"/>
                  </w14:solidFill>
                </w14:textFill>
              </w:rPr>
              <w:t>际情况有选择的进行设置，并将其细化为相应的个性化指标。</w:t>
            </w:r>
          </w:p>
        </w:tc>
        <w:tc>
          <w:tcPr>
            <w:tcW w:w="2946" w:type="dxa"/>
            <w:vMerge w:val="restart"/>
            <w:tcBorders>
              <w:top w:val="single" w:color="auto" w:sz="4" w:space="0"/>
              <w:left w:val="single" w:color="auto" w:sz="4" w:space="0"/>
              <w:bottom w:val="nil"/>
              <w:right w:val="single" w:color="000000" w:sz="4" w:space="0"/>
            </w:tcBorders>
            <w:noWrap w:val="0"/>
            <w:vAlign w:val="center"/>
          </w:tcPr>
          <w:p>
            <w:pPr>
              <w:spacing w:line="25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630" w:type="dxa"/>
            <w:vMerge w:val="restart"/>
            <w:tcBorders>
              <w:top w:val="nil"/>
              <w:left w:val="nil"/>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6</w:t>
            </w: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社会效益</w:t>
            </w:r>
          </w:p>
        </w:tc>
        <w:tc>
          <w:tcPr>
            <w:tcW w:w="505" w:type="dxa"/>
            <w:vMerge w:val="continue"/>
            <w:tcBorders>
              <w:top w:val="nil"/>
              <w:left w:val="single" w:color="auto" w:sz="4" w:space="0"/>
              <w:bottom w:val="nil"/>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2267" w:type="dxa"/>
            <w:vMerge w:val="continue"/>
            <w:tcBorders>
              <w:top w:val="single" w:color="auto" w:sz="4" w:space="0"/>
              <w:left w:val="single" w:color="auto" w:sz="4" w:space="0"/>
              <w:bottom w:val="nil"/>
              <w:right w:val="single" w:color="auto" w:sz="4" w:space="0"/>
            </w:tcBorders>
            <w:noWrap w:val="0"/>
            <w:vAlign w:val="center"/>
          </w:tcPr>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2946" w:type="dxa"/>
            <w:vMerge w:val="continue"/>
            <w:tcBorders>
              <w:top w:val="single" w:color="auto" w:sz="4" w:space="0"/>
              <w:left w:val="single" w:color="auto" w:sz="4" w:space="0"/>
              <w:bottom w:val="nil"/>
              <w:right w:val="single" w:color="000000" w:sz="4" w:space="0"/>
            </w:tcBorders>
            <w:noWrap w:val="0"/>
            <w:vAlign w:val="center"/>
          </w:tcPr>
          <w:p>
            <w:pPr>
              <w:spacing w:line="25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630" w:type="dxa"/>
            <w:vMerge w:val="continue"/>
            <w:tcBorders>
              <w:left w:val="nil"/>
              <w:bottom w:val="nil"/>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restart"/>
            <w:tcBorders>
              <w:top w:val="nil"/>
              <w:left w:val="single" w:color="auto" w:sz="4" w:space="0"/>
              <w:bottom w:val="single" w:color="000000"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12</w:t>
            </w:r>
          </w:p>
        </w:tc>
        <w:tc>
          <w:tcPr>
            <w:tcW w:w="1054"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行政效能</w:t>
            </w:r>
          </w:p>
        </w:tc>
        <w:tc>
          <w:tcPr>
            <w:tcW w:w="50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6</w:t>
            </w:r>
          </w:p>
        </w:tc>
        <w:tc>
          <w:tcPr>
            <w:tcW w:w="2267" w:type="dxa"/>
            <w:tcBorders>
              <w:top w:val="single" w:color="auto" w:sz="4" w:space="0"/>
              <w:left w:val="nil"/>
              <w:bottom w:val="single" w:color="auto" w:sz="4" w:space="0"/>
              <w:right w:val="single" w:color="auto" w:sz="4" w:space="0"/>
            </w:tcBorders>
            <w:noWrap w:val="0"/>
            <w:vAlign w:val="center"/>
          </w:tcPr>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促进部门改进文风会风，加强经费及资产管理，推动网上办事，提高行政效率，降低行政成本效果较好的计6分；一般3分；无效果或者效果不明显0分。</w:t>
            </w:r>
          </w:p>
        </w:tc>
        <w:tc>
          <w:tcPr>
            <w:tcW w:w="2946" w:type="dxa"/>
            <w:tcBorders>
              <w:top w:val="single" w:color="auto" w:sz="4" w:space="0"/>
              <w:left w:val="nil"/>
              <w:bottom w:val="single" w:color="auto" w:sz="4" w:space="0"/>
              <w:right w:val="single" w:color="auto" w:sz="4" w:space="0"/>
            </w:tcBorders>
            <w:noWrap w:val="0"/>
            <w:vAlign w:val="center"/>
          </w:tcPr>
          <w:p>
            <w:pPr>
              <w:spacing w:line="25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根据部门自评材料评定。</w:t>
            </w:r>
          </w:p>
        </w:tc>
        <w:tc>
          <w:tcPr>
            <w:tcW w:w="63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6</w:t>
            </w: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665"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416"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olor w:val="000000" w:themeColor="text1"/>
                <w:kern w:val="0"/>
                <w:sz w:val="19"/>
                <w:highlight w:val="none"/>
                <w14:textFill>
                  <w14:solidFill>
                    <w14:schemeClr w14:val="tx1"/>
                  </w14:solidFill>
                </w14:textFill>
              </w:rPr>
            </w:pPr>
          </w:p>
        </w:tc>
        <w:tc>
          <w:tcPr>
            <w:tcW w:w="1054"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社会公众或服务对象满意度</w:t>
            </w:r>
          </w:p>
        </w:tc>
        <w:tc>
          <w:tcPr>
            <w:tcW w:w="505" w:type="dxa"/>
            <w:tcBorders>
              <w:top w:val="nil"/>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6</w:t>
            </w:r>
          </w:p>
        </w:tc>
        <w:tc>
          <w:tcPr>
            <w:tcW w:w="2267" w:type="dxa"/>
            <w:tcBorders>
              <w:top w:val="nil"/>
              <w:left w:val="nil"/>
              <w:bottom w:val="single" w:color="auto" w:sz="4" w:space="0"/>
              <w:right w:val="single" w:color="auto" w:sz="4" w:space="0"/>
            </w:tcBorders>
            <w:noWrap w:val="0"/>
            <w:vAlign w:val="center"/>
          </w:tcPr>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90%（含）以上计6分；</w:t>
            </w:r>
          </w:p>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80%（含）-90%，计4分；</w:t>
            </w:r>
          </w:p>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70%（含）-80%，计2分；</w:t>
            </w:r>
          </w:p>
          <w:p>
            <w:pPr>
              <w:spacing w:line="24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低于70%计0分。</w:t>
            </w:r>
          </w:p>
        </w:tc>
        <w:tc>
          <w:tcPr>
            <w:tcW w:w="2946" w:type="dxa"/>
            <w:tcBorders>
              <w:top w:val="nil"/>
              <w:left w:val="nil"/>
              <w:bottom w:val="single" w:color="auto" w:sz="4" w:space="0"/>
              <w:right w:val="single" w:color="auto" w:sz="4" w:space="0"/>
            </w:tcBorders>
            <w:noWrap w:val="0"/>
            <w:vAlign w:val="center"/>
          </w:tcPr>
          <w:p>
            <w:pPr>
              <w:spacing w:line="250" w:lineRule="exact"/>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社会公众或服务对象是指部门（单位）履行职责而影响到的部门、群体或个人，一般采取社会调查的方式。</w:t>
            </w:r>
          </w:p>
        </w:tc>
        <w:tc>
          <w:tcPr>
            <w:tcW w:w="630" w:type="dxa"/>
            <w:tcBorders>
              <w:top w:val="nil"/>
              <w:left w:val="nil"/>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6</w:t>
            </w:r>
          </w:p>
        </w:tc>
      </w:tr>
      <w:tr>
        <w:tblPrEx>
          <w:tblCellMar>
            <w:top w:w="0" w:type="dxa"/>
            <w:left w:w="108" w:type="dxa"/>
            <w:bottom w:w="0" w:type="dxa"/>
            <w:right w:w="108" w:type="dxa"/>
          </w:tblCellMar>
        </w:tblPrEx>
        <w:trPr>
          <w:trHeight w:val="465" w:hRule="atLeast"/>
          <w:jc w:val="center"/>
        </w:trPr>
        <w:tc>
          <w:tcPr>
            <w:tcW w:w="3192" w:type="dxa"/>
            <w:gridSpan w:val="5"/>
            <w:tcBorders>
              <w:top w:val="single" w:color="auto" w:sz="4" w:space="0"/>
              <w:left w:val="single" w:color="auto" w:sz="4" w:space="0"/>
              <w:bottom w:val="single" w:color="000000"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合计</w:t>
            </w:r>
          </w:p>
        </w:tc>
        <w:tc>
          <w:tcPr>
            <w:tcW w:w="50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r>
              <w:rPr>
                <w:rFonts w:ascii="Times New Roman" w:hAnsi="Times New Roman" w:eastAsia="仿宋_GB2312"/>
                <w:color w:val="000000" w:themeColor="text1"/>
                <w:kern w:val="0"/>
                <w:sz w:val="19"/>
                <w:highlight w:val="none"/>
                <w14:textFill>
                  <w14:solidFill>
                    <w14:schemeClr w14:val="tx1"/>
                  </w14:solidFill>
                </w14:textFill>
              </w:rPr>
              <w:t>100</w:t>
            </w:r>
          </w:p>
        </w:tc>
        <w:tc>
          <w:tcPr>
            <w:tcW w:w="2267"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294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themeColor="text1"/>
                <w:kern w:val="0"/>
                <w:sz w:val="19"/>
                <w:highlight w:val="none"/>
                <w14:textFill>
                  <w14:solidFill>
                    <w14:schemeClr w14:val="tx1"/>
                  </w14:solidFill>
                </w14:textFill>
              </w:rPr>
            </w:pPr>
          </w:p>
        </w:tc>
        <w:tc>
          <w:tcPr>
            <w:tcW w:w="63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olor w:val="000000" w:themeColor="text1"/>
                <w:kern w:val="0"/>
                <w:sz w:val="19"/>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19"/>
                <w:highlight w:val="none"/>
                <w:lang w:val="en-US" w:eastAsia="zh-CN"/>
                <w14:textFill>
                  <w14:solidFill>
                    <w14:schemeClr w14:val="tx1"/>
                  </w14:solidFill>
                </w14:textFill>
              </w:rPr>
              <w:t>90</w:t>
            </w:r>
          </w:p>
        </w:tc>
      </w:tr>
    </w:tbl>
    <w:p>
      <w:pPr>
        <w:spacing w:line="576" w:lineRule="exact"/>
        <w:jc w:val="both"/>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eastAsia="zh-CN"/>
          <w14:textFill>
            <w14:solidFill>
              <w14:schemeClr w14:val="tx1"/>
            </w14:solidFill>
          </w14:textFill>
        </w:rPr>
        <w:t>附件</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line="576" w:lineRule="exact"/>
        <w:jc w:val="center"/>
        <w:textAlignment w:val="auto"/>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lang w:eastAsia="zh-CN"/>
          <w14:textFill>
            <w14:solidFill>
              <w14:schemeClr w14:val="tx1"/>
            </w14:solidFill>
          </w14:textFill>
        </w:rPr>
        <w:t>安监局</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部门整体支出绩效评价基础数据表</w:t>
      </w:r>
    </w:p>
    <w:p>
      <w:pPr>
        <w:tabs>
          <w:tab w:val="left" w:pos="3611"/>
          <w:tab w:val="left" w:pos="4791"/>
          <w:tab w:val="left" w:pos="5951"/>
          <w:tab w:val="left" w:pos="7071"/>
          <w:tab w:val="left" w:pos="8191"/>
          <w:tab w:val="left" w:pos="9311"/>
        </w:tabs>
        <w:spacing w:line="360" w:lineRule="exact"/>
        <w:rPr>
          <w:rFonts w:ascii="Times New Roman" w:hAnsi="Times New Roman" w:eastAsia="仿宋_GB2312"/>
          <w:color w:val="000000" w:themeColor="text1"/>
          <w:kern w:val="0"/>
          <w:sz w:val="24"/>
          <w:highlight w:val="none"/>
          <w14:textFill>
            <w14:solidFill>
              <w14:schemeClr w14:val="tx1"/>
            </w14:solidFill>
          </w14:textFill>
        </w:rPr>
      </w:pPr>
    </w:p>
    <w:p>
      <w:pPr>
        <w:tabs>
          <w:tab w:val="left" w:pos="3611"/>
          <w:tab w:val="left" w:pos="4791"/>
          <w:tab w:val="left" w:pos="5951"/>
          <w:tab w:val="left" w:pos="7071"/>
          <w:tab w:val="left" w:pos="8191"/>
          <w:tab w:val="left" w:pos="9311"/>
        </w:tabs>
        <w:spacing w:line="576" w:lineRule="exact"/>
        <w:rPr>
          <w:rFonts w:ascii="Times New Roman" w:hAnsi="Times New Roman" w:eastAsia="仿宋_GB2312"/>
          <w:b/>
          <w:bCs/>
          <w:color w:val="000000" w:themeColor="text1"/>
          <w:kern w:val="0"/>
          <w:sz w:val="28"/>
          <w:szCs w:val="28"/>
          <w:highlight w:val="none"/>
          <w14:textFill>
            <w14:solidFill>
              <w14:schemeClr w14:val="tx1"/>
            </w14:solidFill>
          </w14:textFill>
        </w:rPr>
      </w:pPr>
      <w:r>
        <w:rPr>
          <w:rFonts w:ascii="Times New Roman" w:hAnsi="Times New Roman" w:eastAsia="仿宋_GB2312"/>
          <w:b/>
          <w:bCs/>
          <w:color w:val="000000" w:themeColor="text1"/>
          <w:kern w:val="0"/>
          <w:sz w:val="28"/>
          <w:szCs w:val="28"/>
          <w:highlight w:val="none"/>
          <w14:textFill>
            <w14:solidFill>
              <w14:schemeClr w14:val="tx1"/>
            </w14:solidFill>
          </w14:textFill>
        </w:rPr>
        <w:t>填报单位：</w:t>
      </w:r>
      <w:r>
        <w:rPr>
          <w:rFonts w:hint="eastAsia" w:ascii="Times New Roman" w:hAnsi="Times New Roman" w:eastAsia="仿宋_GB2312"/>
          <w:b/>
          <w:bCs/>
          <w:color w:val="000000" w:themeColor="text1"/>
          <w:kern w:val="0"/>
          <w:sz w:val="28"/>
          <w:szCs w:val="28"/>
          <w:highlight w:val="none"/>
          <w:lang w:eastAsia="zh-CN"/>
          <w14:textFill>
            <w14:solidFill>
              <w14:schemeClr w14:val="tx1"/>
            </w14:solidFill>
          </w14:textFill>
        </w:rPr>
        <w:t>浏阳市安全生产监督管理局</w:t>
      </w:r>
      <w:r>
        <w:rPr>
          <w:rFonts w:ascii="Times New Roman" w:hAnsi="Times New Roman" w:eastAsia="仿宋_GB2312"/>
          <w:b/>
          <w:bCs/>
          <w:color w:val="000000" w:themeColor="text1"/>
          <w:kern w:val="0"/>
          <w:sz w:val="28"/>
          <w:szCs w:val="28"/>
          <w:highlight w:val="none"/>
          <w14:textFill>
            <w14:solidFill>
              <w14:schemeClr w14:val="tx1"/>
            </w14:solidFill>
          </w14:textFill>
        </w:rPr>
        <w:tab/>
      </w:r>
      <w:r>
        <w:rPr>
          <w:rFonts w:ascii="Times New Roman" w:hAnsi="Times New Roman" w:eastAsia="仿宋_GB2312"/>
          <w:b/>
          <w:bCs/>
          <w:color w:val="000000" w:themeColor="text1"/>
          <w:kern w:val="0"/>
          <w:sz w:val="28"/>
          <w:szCs w:val="28"/>
          <w:highlight w:val="none"/>
          <w14:textFill>
            <w14:solidFill>
              <w14:schemeClr w14:val="tx1"/>
            </w14:solidFill>
          </w14:textFill>
        </w:rPr>
        <w:tab/>
      </w:r>
      <w:r>
        <w:rPr>
          <w:rFonts w:ascii="Times New Roman" w:hAnsi="Times New Roman" w:eastAsia="仿宋_GB2312"/>
          <w:b/>
          <w:bCs/>
          <w:color w:val="000000" w:themeColor="text1"/>
          <w:kern w:val="0"/>
          <w:sz w:val="28"/>
          <w:szCs w:val="28"/>
          <w:highlight w:val="none"/>
          <w14:textFill>
            <w14:solidFill>
              <w14:schemeClr w14:val="tx1"/>
            </w14:solidFill>
          </w14:textFill>
        </w:rPr>
        <w:tab/>
      </w:r>
      <w:r>
        <w:rPr>
          <w:rFonts w:ascii="Times New Roman" w:hAnsi="Times New Roman" w:eastAsia="仿宋_GB2312"/>
          <w:b/>
          <w:bCs/>
          <w:color w:val="000000" w:themeColor="text1"/>
          <w:kern w:val="0"/>
          <w:sz w:val="28"/>
          <w:szCs w:val="28"/>
          <w:highlight w:val="none"/>
          <w14:textFill>
            <w14:solidFill>
              <w14:schemeClr w14:val="tx1"/>
            </w14:solidFill>
          </w14:textFill>
        </w:rPr>
        <w:tab/>
      </w:r>
      <w:r>
        <w:rPr>
          <w:rFonts w:ascii="Times New Roman" w:hAnsi="Times New Roman" w:eastAsia="仿宋_GB2312"/>
          <w:b/>
          <w:bCs/>
          <w:color w:val="000000" w:themeColor="text1"/>
          <w:kern w:val="0"/>
          <w:sz w:val="28"/>
          <w:szCs w:val="28"/>
          <w:highlight w:val="none"/>
          <w14:textFill>
            <w14:solidFill>
              <w14:schemeClr w14:val="tx1"/>
            </w14:solidFill>
          </w14:textFill>
        </w:rPr>
        <w:tab/>
      </w:r>
      <w:r>
        <w:rPr>
          <w:rFonts w:ascii="Times New Roman" w:hAnsi="Times New Roman" w:eastAsia="仿宋_GB2312"/>
          <w:b/>
          <w:bCs/>
          <w:color w:val="000000" w:themeColor="text1"/>
          <w:kern w:val="0"/>
          <w:sz w:val="28"/>
          <w:szCs w:val="28"/>
          <w:highlight w:val="none"/>
          <w14:textFill>
            <w14:solidFill>
              <w14:schemeClr w14:val="tx1"/>
            </w14:solidFill>
          </w14:textFill>
        </w:rPr>
        <w:tab/>
      </w:r>
    </w:p>
    <w:tbl>
      <w:tblPr>
        <w:tblStyle w:val="6"/>
        <w:tblW w:w="0" w:type="auto"/>
        <w:jc w:val="center"/>
        <w:tblLayout w:type="fixed"/>
        <w:tblCellMar>
          <w:top w:w="0" w:type="dxa"/>
          <w:left w:w="108" w:type="dxa"/>
          <w:bottom w:w="0" w:type="dxa"/>
          <w:right w:w="108" w:type="dxa"/>
        </w:tblCellMar>
      </w:tblPr>
      <w:tblGrid>
        <w:gridCol w:w="3504"/>
        <w:gridCol w:w="1720"/>
        <w:gridCol w:w="2061"/>
        <w:gridCol w:w="1748"/>
      </w:tblGrid>
      <w:tr>
        <w:tblPrEx>
          <w:tblCellMar>
            <w:top w:w="0" w:type="dxa"/>
            <w:left w:w="108" w:type="dxa"/>
            <w:bottom w:w="0" w:type="dxa"/>
            <w:right w:w="108" w:type="dxa"/>
          </w:tblCellMar>
        </w:tblPrEx>
        <w:trPr>
          <w:trHeight w:val="388" w:hRule="atLeast"/>
          <w:jc w:val="center"/>
        </w:trPr>
        <w:tc>
          <w:tcPr>
            <w:tcW w:w="350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财政供养人员情况</w:t>
            </w:r>
          </w:p>
        </w:tc>
        <w:tc>
          <w:tcPr>
            <w:tcW w:w="172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themeColor="text1"/>
                <w:kern w:val="0"/>
                <w:sz w:val="24"/>
                <w:highlight w:val="none"/>
                <w14:textFill>
                  <w14:solidFill>
                    <w14:schemeClr w14:val="tx1"/>
                  </w14:solidFill>
                </w14:textFill>
              </w:rPr>
            </w:pPr>
            <w:r>
              <w:rPr>
                <w:rFonts w:ascii="Times New Roman" w:hAnsi="Times New Roman" w:eastAsia="仿宋_GB2312"/>
                <w:bCs/>
                <w:color w:val="000000" w:themeColor="text1"/>
                <w:kern w:val="0"/>
                <w:sz w:val="24"/>
                <w:highlight w:val="none"/>
                <w14:textFill>
                  <w14:solidFill>
                    <w14:schemeClr w14:val="tx1"/>
                  </w14:solidFill>
                </w14:textFill>
              </w:rPr>
              <w:t>编制数</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themeColor="text1"/>
                <w:kern w:val="0"/>
                <w:sz w:val="24"/>
                <w:highlight w:val="none"/>
                <w14:textFill>
                  <w14:solidFill>
                    <w14:schemeClr w14:val="tx1"/>
                  </w14:solidFill>
                </w14:textFill>
              </w:rPr>
            </w:pPr>
            <w:r>
              <w:rPr>
                <w:rFonts w:ascii="Times New Roman" w:hAnsi="Times New Roman" w:eastAsia="仿宋_GB2312"/>
                <w:bCs/>
                <w:color w:val="000000" w:themeColor="text1"/>
                <w:kern w:val="0"/>
                <w:sz w:val="24"/>
                <w:highlight w:val="none"/>
                <w14:textFill>
                  <w14:solidFill>
                    <w14:schemeClr w14:val="tx1"/>
                  </w14:solidFill>
                </w14:textFill>
              </w:rPr>
              <w:t>201</w:t>
            </w:r>
            <w:r>
              <w:rPr>
                <w:rFonts w:hint="eastAsia" w:ascii="Times New Roman" w:hAnsi="Times New Roman" w:eastAsia="仿宋_GB2312"/>
                <w:bCs/>
                <w:color w:val="000000" w:themeColor="text1"/>
                <w:kern w:val="0"/>
                <w:sz w:val="24"/>
                <w:highlight w:val="none"/>
                <w14:textFill>
                  <w14:solidFill>
                    <w14:schemeClr w14:val="tx1"/>
                  </w14:solidFill>
                </w14:textFill>
              </w:rPr>
              <w:t>8</w:t>
            </w:r>
            <w:r>
              <w:rPr>
                <w:rFonts w:ascii="Times New Roman" w:hAnsi="Times New Roman" w:eastAsia="仿宋_GB2312"/>
                <w:bCs/>
                <w:color w:val="000000" w:themeColor="text1"/>
                <w:kern w:val="0"/>
                <w:sz w:val="24"/>
                <w:highlight w:val="none"/>
                <w14:textFill>
                  <w14:solidFill>
                    <w14:schemeClr w14:val="tx1"/>
                  </w14:solidFill>
                </w14:textFill>
              </w:rPr>
              <w:t>年实际</w:t>
            </w:r>
          </w:p>
          <w:p>
            <w:pPr>
              <w:spacing w:line="320" w:lineRule="exact"/>
              <w:jc w:val="center"/>
              <w:rPr>
                <w:rFonts w:ascii="Times New Roman" w:hAnsi="Times New Roman" w:eastAsia="仿宋_GB2312"/>
                <w:bCs/>
                <w:color w:val="000000" w:themeColor="text1"/>
                <w:kern w:val="0"/>
                <w:sz w:val="24"/>
                <w:highlight w:val="none"/>
                <w14:textFill>
                  <w14:solidFill>
                    <w14:schemeClr w14:val="tx1"/>
                  </w14:solidFill>
                </w14:textFill>
              </w:rPr>
            </w:pPr>
            <w:r>
              <w:rPr>
                <w:rFonts w:ascii="Times New Roman" w:hAnsi="Times New Roman" w:eastAsia="仿宋_GB2312"/>
                <w:bCs/>
                <w:color w:val="000000" w:themeColor="text1"/>
                <w:kern w:val="0"/>
                <w:sz w:val="24"/>
                <w:highlight w:val="none"/>
                <w14:textFill>
                  <w14:solidFill>
                    <w14:schemeClr w14:val="tx1"/>
                  </w14:solidFill>
                </w14:textFill>
              </w:rPr>
              <w:t>在职人数</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themeColor="text1"/>
                <w:kern w:val="0"/>
                <w:sz w:val="24"/>
                <w:highlight w:val="none"/>
                <w14:textFill>
                  <w14:solidFill>
                    <w14:schemeClr w14:val="tx1"/>
                  </w14:solidFill>
                </w14:textFill>
              </w:rPr>
            </w:pPr>
            <w:r>
              <w:rPr>
                <w:rFonts w:ascii="Times New Roman" w:hAnsi="Times New Roman" w:eastAsia="仿宋_GB2312"/>
                <w:bCs/>
                <w:color w:val="000000" w:themeColor="text1"/>
                <w:kern w:val="0"/>
                <w:sz w:val="24"/>
                <w:highlight w:val="none"/>
                <w14:textFill>
                  <w14:solidFill>
                    <w14:schemeClr w14:val="tx1"/>
                  </w14:solidFill>
                </w14:textFill>
              </w:rPr>
              <w:t>控制率</w:t>
            </w:r>
          </w:p>
        </w:tc>
      </w:tr>
      <w:tr>
        <w:tblPrEx>
          <w:tblCellMar>
            <w:top w:w="0" w:type="dxa"/>
            <w:left w:w="108" w:type="dxa"/>
            <w:bottom w:w="0" w:type="dxa"/>
            <w:right w:w="108" w:type="dxa"/>
          </w:tblCellMar>
        </w:tblPrEx>
        <w:trPr>
          <w:trHeight w:val="455" w:hRule="atLeast"/>
          <w:jc w:val="center"/>
        </w:trPr>
        <w:tc>
          <w:tcPr>
            <w:tcW w:w="350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172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57</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57</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100%</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经费控制情况</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themeColor="text1"/>
                <w:kern w:val="0"/>
                <w:sz w:val="24"/>
                <w:highlight w:val="none"/>
                <w14:textFill>
                  <w14:solidFill>
                    <w14:schemeClr w14:val="tx1"/>
                  </w14:solidFill>
                </w14:textFill>
              </w:rPr>
            </w:pPr>
            <w:r>
              <w:rPr>
                <w:rFonts w:ascii="Times New Roman" w:hAnsi="Times New Roman" w:eastAsia="仿宋_GB2312"/>
                <w:bCs/>
                <w:color w:val="000000" w:themeColor="text1"/>
                <w:kern w:val="0"/>
                <w:sz w:val="24"/>
                <w:highlight w:val="none"/>
                <w14:textFill>
                  <w14:solidFill>
                    <w14:schemeClr w14:val="tx1"/>
                  </w14:solidFill>
                </w14:textFill>
              </w:rPr>
              <w:t>201</w:t>
            </w:r>
            <w:r>
              <w:rPr>
                <w:rFonts w:hint="eastAsia" w:ascii="Times New Roman" w:hAnsi="Times New Roman" w:eastAsia="仿宋_GB2312"/>
                <w:bCs/>
                <w:color w:val="000000" w:themeColor="text1"/>
                <w:kern w:val="0"/>
                <w:sz w:val="24"/>
                <w:highlight w:val="none"/>
                <w14:textFill>
                  <w14:solidFill>
                    <w14:schemeClr w14:val="tx1"/>
                  </w14:solidFill>
                </w14:textFill>
              </w:rPr>
              <w:t>7</w:t>
            </w:r>
            <w:r>
              <w:rPr>
                <w:rFonts w:ascii="Times New Roman" w:hAnsi="Times New Roman" w:eastAsia="仿宋_GB2312"/>
                <w:bCs/>
                <w:color w:val="000000" w:themeColor="text1"/>
                <w:kern w:val="0"/>
                <w:sz w:val="24"/>
                <w:highlight w:val="none"/>
                <w14:textFill>
                  <w14:solidFill>
                    <w14:schemeClr w14:val="tx1"/>
                  </w14:solidFill>
                </w14:textFill>
              </w:rPr>
              <w:t>年决算数</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themeColor="text1"/>
                <w:kern w:val="0"/>
                <w:sz w:val="24"/>
                <w:highlight w:val="none"/>
                <w14:textFill>
                  <w14:solidFill>
                    <w14:schemeClr w14:val="tx1"/>
                  </w14:solidFill>
                </w14:textFill>
              </w:rPr>
            </w:pPr>
            <w:r>
              <w:rPr>
                <w:rFonts w:ascii="Times New Roman" w:hAnsi="Times New Roman" w:eastAsia="仿宋_GB2312"/>
                <w:bCs/>
                <w:color w:val="000000" w:themeColor="text1"/>
                <w:kern w:val="0"/>
                <w:sz w:val="24"/>
                <w:highlight w:val="none"/>
                <w14:textFill>
                  <w14:solidFill>
                    <w14:schemeClr w14:val="tx1"/>
                  </w14:solidFill>
                </w14:textFill>
              </w:rPr>
              <w:t>201</w:t>
            </w:r>
            <w:r>
              <w:rPr>
                <w:rFonts w:hint="eastAsia" w:ascii="Times New Roman" w:hAnsi="Times New Roman" w:eastAsia="仿宋_GB2312"/>
                <w:bCs/>
                <w:color w:val="000000" w:themeColor="text1"/>
                <w:kern w:val="0"/>
                <w:sz w:val="24"/>
                <w:highlight w:val="none"/>
                <w14:textFill>
                  <w14:solidFill>
                    <w14:schemeClr w14:val="tx1"/>
                  </w14:solidFill>
                </w14:textFill>
              </w:rPr>
              <w:t>8</w:t>
            </w:r>
            <w:r>
              <w:rPr>
                <w:rFonts w:ascii="Times New Roman" w:hAnsi="Times New Roman" w:eastAsia="仿宋_GB2312"/>
                <w:bCs/>
                <w:color w:val="000000" w:themeColor="text1"/>
                <w:kern w:val="0"/>
                <w:sz w:val="24"/>
                <w:highlight w:val="none"/>
                <w14:textFill>
                  <w14:solidFill>
                    <w14:schemeClr w14:val="tx1"/>
                  </w14:solidFill>
                </w14:textFill>
              </w:rPr>
              <w:t>年预算数</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themeColor="text1"/>
                <w:kern w:val="0"/>
                <w:sz w:val="24"/>
                <w:highlight w:val="none"/>
                <w14:textFill>
                  <w14:solidFill>
                    <w14:schemeClr w14:val="tx1"/>
                  </w14:solidFill>
                </w14:textFill>
              </w:rPr>
            </w:pPr>
            <w:r>
              <w:rPr>
                <w:rFonts w:ascii="Times New Roman" w:hAnsi="Times New Roman" w:eastAsia="仿宋_GB2312"/>
                <w:bCs/>
                <w:color w:val="000000" w:themeColor="text1"/>
                <w:kern w:val="0"/>
                <w:sz w:val="24"/>
                <w:highlight w:val="none"/>
                <w14:textFill>
                  <w14:solidFill>
                    <w14:schemeClr w14:val="tx1"/>
                  </w14:solidFill>
                </w14:textFill>
              </w:rPr>
              <w:t>201</w:t>
            </w:r>
            <w:r>
              <w:rPr>
                <w:rFonts w:hint="eastAsia" w:ascii="Times New Roman" w:hAnsi="Times New Roman" w:eastAsia="仿宋_GB2312"/>
                <w:bCs/>
                <w:color w:val="000000" w:themeColor="text1"/>
                <w:kern w:val="0"/>
                <w:sz w:val="24"/>
                <w:highlight w:val="none"/>
                <w14:textFill>
                  <w14:solidFill>
                    <w14:schemeClr w14:val="tx1"/>
                  </w14:solidFill>
                </w14:textFill>
              </w:rPr>
              <w:t>8</w:t>
            </w:r>
            <w:r>
              <w:rPr>
                <w:rFonts w:ascii="Times New Roman" w:hAnsi="Times New Roman" w:eastAsia="仿宋_GB2312"/>
                <w:bCs/>
                <w:color w:val="000000" w:themeColor="text1"/>
                <w:kern w:val="0"/>
                <w:sz w:val="24"/>
                <w:highlight w:val="none"/>
                <w14:textFill>
                  <w14:solidFill>
                    <w14:schemeClr w14:val="tx1"/>
                  </w14:solidFill>
                </w14:textFill>
              </w:rPr>
              <w:t>年决算数</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三公经费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39.56</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43</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31.1</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   1、公务用车购置和维护经费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16.8</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15</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9.95</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       其中：公车购置</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             公车运行维护</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16.8</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15</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9.95</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   2、出国经费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   3、公务接待</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22.76</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28</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21.15</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项目支出：</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1406.78</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159.78</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1160.49</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1、业务工作专项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1287.64</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1000.71</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2、运行维护专项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113.64</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159.78</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159.78</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olor w:val="000000" w:themeColor="text1"/>
                <w:kern w:val="0"/>
                <w:sz w:val="24"/>
                <w:highlight w:val="none"/>
                <w:lang w:eastAsia="zh-CN"/>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   </w:t>
            </w: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3、其他项目支出</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5.5</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公用经费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111.93</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159</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127.43</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    其中：办公经费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104.82</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143.87</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98.76</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          水费、电费、差旅费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0.33</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          会议费、培训费</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1.85</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政府采购金额</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themeColor="text1"/>
                <w:kern w:val="0"/>
                <w:sz w:val="24"/>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255.96</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r>
              <w:rPr>
                <w:rFonts w:hint="eastAsia" w:ascii="Times New Roman" w:hAnsi="Times New Roman" w:eastAsia="仿宋_GB2312"/>
                <w:color w:val="000000" w:themeColor="text1"/>
                <w:kern w:val="0"/>
                <w:sz w:val="24"/>
                <w:highlight w:val="none"/>
                <w:lang w:val="en-US" w:eastAsia="zh-CN"/>
                <w14:textFill>
                  <w14:solidFill>
                    <w14:schemeClr w14:val="tx1"/>
                  </w14:solidFill>
                </w14:textFill>
              </w:rPr>
              <w:t>207.03</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xml:space="preserve">部门整体支出预算调整 </w:t>
            </w:r>
          </w:p>
        </w:tc>
        <w:tc>
          <w:tcPr>
            <w:tcW w:w="1720"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1374" w:hRule="atLeast"/>
          <w:jc w:val="center"/>
        </w:trPr>
        <w:tc>
          <w:tcPr>
            <w:tcW w:w="3504"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厉行节约保障措施</w:t>
            </w:r>
          </w:p>
        </w:tc>
        <w:tc>
          <w:tcPr>
            <w:tcW w:w="5529" w:type="dxa"/>
            <w:gridSpan w:val="3"/>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themeColor="text1"/>
                <w:kern w:val="0"/>
                <w:sz w:val="24"/>
                <w:highlight w:val="none"/>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　</w:t>
            </w:r>
            <w:r>
              <w:rPr>
                <w:rFonts w:hint="eastAsia" w:eastAsia="仿宋_GB2312"/>
                <w:color w:val="000000" w:themeColor="text1"/>
                <w:kern w:val="0"/>
                <w:sz w:val="24"/>
                <w:highlight w:val="none"/>
                <w14:textFill>
                  <w14:solidFill>
                    <w14:schemeClr w14:val="tx1"/>
                  </w14:solidFill>
                </w14:textFill>
              </w:rPr>
              <w:t>严格按照中央厉行节约</w:t>
            </w:r>
            <w:r>
              <w:rPr>
                <w:rFonts w:hint="eastAsia" w:eastAsia="仿宋_GB2312"/>
                <w:color w:val="000000" w:themeColor="text1"/>
                <w:kern w:val="0"/>
                <w:sz w:val="24"/>
                <w:highlight w:val="none"/>
                <w:lang w:eastAsia="zh-CN"/>
                <w14:textFill>
                  <w14:solidFill>
                    <w14:schemeClr w14:val="tx1"/>
                  </w14:solidFill>
                </w14:textFill>
              </w:rPr>
              <w:t>等</w:t>
            </w:r>
            <w:r>
              <w:rPr>
                <w:rFonts w:hint="eastAsia" w:eastAsia="仿宋_GB2312"/>
                <w:color w:val="000000" w:themeColor="text1"/>
                <w:kern w:val="0"/>
                <w:sz w:val="24"/>
                <w:highlight w:val="none"/>
                <w14:textFill>
                  <w14:solidFill>
                    <w14:schemeClr w14:val="tx1"/>
                  </w14:solidFill>
                </w14:textFill>
              </w:rPr>
              <w:t>政策支出费用，制订了厉行节约相关制度。</w:t>
            </w:r>
          </w:p>
        </w:tc>
      </w:tr>
    </w:tbl>
    <w:p>
      <w:pPr>
        <w:spacing w:line="360" w:lineRule="exact"/>
        <w:ind w:left="720" w:hanging="720" w:hangingChars="300"/>
        <w:rPr>
          <w:color w:val="000000" w:themeColor="text1"/>
          <w14:textFill>
            <w14:solidFill>
              <w14:schemeClr w14:val="tx1"/>
            </w14:solidFill>
          </w14:textFill>
        </w:rPr>
      </w:pPr>
      <w:r>
        <w:rPr>
          <w:rFonts w:ascii="Times New Roman" w:hAnsi="Times New Roman" w:eastAsia="仿宋_GB2312"/>
          <w:color w:val="000000" w:themeColor="text1"/>
          <w:kern w:val="0"/>
          <w:sz w:val="24"/>
          <w:highlight w:val="none"/>
          <w14:textFill>
            <w14:solidFill>
              <w14:schemeClr w14:val="tx1"/>
            </w14:solidFill>
          </w14:textFill>
        </w:rPr>
        <w:t>说明：</w:t>
      </w:r>
      <w:r>
        <w:rPr>
          <w:rFonts w:hint="eastAsia" w:ascii="仿宋_GB2312" w:hAnsi="仿宋_GB2312" w:eastAsia="仿宋_GB2312" w:cs="仿宋_GB2312"/>
          <w:color w:val="000000" w:themeColor="text1"/>
          <w:spacing w:val="0"/>
          <w:kern w:val="0"/>
          <w:sz w:val="24"/>
          <w:highlight w:val="none"/>
          <w14:textFill>
            <w14:solidFill>
              <w14:schemeClr w14:val="tx1"/>
            </w14:solidFill>
          </w14:textFill>
        </w:rPr>
        <w:t>“</w:t>
      </w:r>
      <w:r>
        <w:rPr>
          <w:rFonts w:ascii="Times New Roman" w:hAnsi="Times New Roman" w:eastAsia="仿宋_GB2312"/>
          <w:color w:val="000000" w:themeColor="text1"/>
          <w:spacing w:val="0"/>
          <w:kern w:val="0"/>
          <w:sz w:val="24"/>
          <w:highlight w:val="none"/>
          <w14:textFill>
            <w14:solidFill>
              <w14:schemeClr w14:val="tx1"/>
            </w14:solidFill>
          </w14:textFill>
        </w:rPr>
        <w:t>项目支出</w:t>
      </w:r>
      <w:r>
        <w:rPr>
          <w:rFonts w:hint="eastAsia" w:ascii="仿宋_GB2312" w:hAnsi="仿宋_GB2312" w:eastAsia="仿宋_GB2312" w:cs="仿宋_GB2312"/>
          <w:color w:val="000000" w:themeColor="text1"/>
          <w:spacing w:val="0"/>
          <w:kern w:val="0"/>
          <w:sz w:val="24"/>
          <w:highlight w:val="none"/>
          <w14:textFill>
            <w14:solidFill>
              <w14:schemeClr w14:val="tx1"/>
            </w14:solidFill>
          </w14:textFill>
        </w:rPr>
        <w:t>”</w:t>
      </w:r>
      <w:r>
        <w:rPr>
          <w:rFonts w:ascii="Times New Roman" w:hAnsi="Times New Roman" w:eastAsia="仿宋_GB2312"/>
          <w:color w:val="000000" w:themeColor="text1"/>
          <w:spacing w:val="0"/>
          <w:kern w:val="0"/>
          <w:sz w:val="24"/>
          <w:highlight w:val="none"/>
          <w14:textFill>
            <w14:solidFill>
              <w14:schemeClr w14:val="tx1"/>
            </w14:solidFill>
          </w14:textFill>
        </w:rPr>
        <w:t>需要填报除专项资金和基本支出以外的所有项目情况，包括业务工作项目、运行维护项目等；</w:t>
      </w:r>
      <w:r>
        <w:rPr>
          <w:rFonts w:hint="eastAsia" w:ascii="仿宋_GB2312" w:hAnsi="仿宋_GB2312" w:eastAsia="仿宋_GB2312" w:cs="仿宋_GB2312"/>
          <w:color w:val="000000" w:themeColor="text1"/>
          <w:spacing w:val="0"/>
          <w:kern w:val="0"/>
          <w:sz w:val="24"/>
          <w:highlight w:val="none"/>
          <w14:textFill>
            <w14:solidFill>
              <w14:schemeClr w14:val="tx1"/>
            </w14:solidFill>
          </w14:textFill>
        </w:rPr>
        <w:t>“</w:t>
      </w:r>
      <w:r>
        <w:rPr>
          <w:rFonts w:ascii="Times New Roman" w:hAnsi="Times New Roman" w:eastAsia="仿宋_GB2312"/>
          <w:color w:val="000000" w:themeColor="text1"/>
          <w:spacing w:val="0"/>
          <w:kern w:val="0"/>
          <w:sz w:val="24"/>
          <w:highlight w:val="none"/>
          <w14:textFill>
            <w14:solidFill>
              <w14:schemeClr w14:val="tx1"/>
            </w14:solidFill>
          </w14:textFill>
        </w:rPr>
        <w:t>公用经费</w:t>
      </w:r>
      <w:r>
        <w:rPr>
          <w:rFonts w:hint="eastAsia" w:ascii="仿宋_GB2312" w:hAnsi="仿宋_GB2312" w:eastAsia="仿宋_GB2312" w:cs="仿宋_GB2312"/>
          <w:color w:val="000000" w:themeColor="text1"/>
          <w:spacing w:val="0"/>
          <w:kern w:val="0"/>
          <w:sz w:val="24"/>
          <w:highlight w:val="none"/>
          <w14:textFill>
            <w14:solidFill>
              <w14:schemeClr w14:val="tx1"/>
            </w14:solidFill>
          </w14:textFill>
        </w:rPr>
        <w:t>”</w:t>
      </w:r>
      <w:r>
        <w:rPr>
          <w:rFonts w:ascii="Times New Roman" w:hAnsi="Times New Roman" w:eastAsia="仿宋_GB2312"/>
          <w:color w:val="000000" w:themeColor="text1"/>
          <w:spacing w:val="0"/>
          <w:kern w:val="0"/>
          <w:sz w:val="24"/>
          <w:highlight w:val="none"/>
          <w14:textFill>
            <w14:solidFill>
              <w14:schemeClr w14:val="tx1"/>
            </w14:solidFill>
          </w14:textFill>
        </w:rPr>
        <w:t>填报基本支出中的一般商品和服务支出。</w:t>
      </w: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C6AF2"/>
    <w:rsid w:val="45473879"/>
    <w:rsid w:val="50884E78"/>
    <w:rsid w:val="58B070AE"/>
    <w:rsid w:val="58FC6AF2"/>
    <w:rsid w:val="69B67A30"/>
    <w:rsid w:val="6CB23B29"/>
    <w:rsid w:val="749A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2021-05-24T07:57:00Z</dcterms:created>
  <dc:creator>26度温暖</dc:creator>
  <cp:lastModifiedBy>菜菜</cp:lastModifiedBy>
  <dcterms:modified xsi:type="dcterms:W3CDTF">2021-05-24T08:06:36Z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BC7C91C70347405697EA62936CBD484C</vt:lpwstr>
  </property>
</Properties>
</file>