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r>
        <w:rPr>
          <w:rFonts w:hint="eastAsia" w:ascii="方正小标宋简体" w:hAnsi="方正小标宋简体" w:eastAsia="方正小标宋简体" w:cs="方正小标宋简体"/>
          <w:color w:val="000000"/>
          <w:sz w:val="48"/>
          <w:szCs w:val="48"/>
        </w:rPr>
        <w:t>202</w:t>
      </w:r>
      <w:r>
        <w:rPr>
          <w:rFonts w:hint="eastAsia" w:ascii="方正小标宋简体" w:hAnsi="方正小标宋简体" w:eastAsia="方正小标宋简体" w:cs="方正小标宋简体"/>
          <w:color w:val="000000"/>
          <w:sz w:val="48"/>
          <w:szCs w:val="48"/>
          <w:lang w:val="en-US" w:eastAsia="zh-CN"/>
        </w:rPr>
        <w:t>1</w:t>
      </w:r>
      <w:r>
        <w:rPr>
          <w:rFonts w:hint="eastAsia" w:ascii="方正小标宋简体" w:hAnsi="方正小标宋简体" w:eastAsia="方正小标宋简体" w:cs="方正小标宋简体"/>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6935"/>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7092"/>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w:t>
      </w:r>
      <w:r>
        <w:rPr>
          <w:rFonts w:hint="eastAsia" w:ascii="Times New Roman" w:hAnsi="Times New Roman" w:eastAsia="仿宋_GB2312"/>
          <w:color w:val="000000"/>
          <w:sz w:val="36"/>
          <w:szCs w:val="36"/>
          <w:lang w:val="en-US" w:eastAsia="zh-CN"/>
        </w:rPr>
        <w:t>二二</w:t>
      </w:r>
      <w:r>
        <w:rPr>
          <w:rFonts w:ascii="Times New Roman" w:hAnsi="Times New Roman" w:eastAsia="仿宋_GB2312"/>
          <w:color w:val="000000"/>
          <w:sz w:val="36"/>
          <w:szCs w:val="36"/>
        </w:rPr>
        <w:t>年</w:t>
      </w:r>
      <w:r>
        <w:rPr>
          <w:rFonts w:hint="eastAsia" w:ascii="Times New Roman" w:hAnsi="Times New Roman" w:eastAsia="仿宋_GB2312"/>
          <w:color w:val="000000"/>
          <w:sz w:val="36"/>
          <w:szCs w:val="36"/>
          <w:lang w:eastAsia="zh-CN"/>
        </w:rPr>
        <w:t>四</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十五</w:t>
      </w:r>
      <w:r>
        <w:rPr>
          <w:rFonts w:ascii="Times New Roman" w:hAnsi="Times New Roman" w:eastAsia="仿宋_GB2312"/>
          <w:color w:val="000000"/>
          <w:sz w:val="36"/>
          <w:szCs w:val="36"/>
        </w:rPr>
        <w:t>日</w:t>
      </w:r>
    </w:p>
    <w:p>
      <w:pPr>
        <w:pStyle w:val="10"/>
        <w:widowControl/>
        <w:spacing w:line="596" w:lineRule="exact"/>
        <w:ind w:firstLine="579" w:firstLineChars="181"/>
        <w:rPr>
          <w:rFonts w:ascii="Times New Roman" w:hAnsi="Times New Roman" w:eastAsia="黑体"/>
          <w:color w:val="auto"/>
          <w:kern w:val="0"/>
          <w:sz w:val="32"/>
          <w:szCs w:val="32"/>
        </w:rPr>
      </w:pPr>
      <w:r>
        <w:rPr>
          <w:rFonts w:ascii="Times New Roman" w:hAnsi="Times New Roman" w:eastAsia="黑体"/>
          <w:color w:val="000000"/>
          <w:sz w:val="32"/>
          <w:szCs w:val="32"/>
        </w:rPr>
        <w:br w:type="page"/>
      </w:r>
      <w:r>
        <w:rPr>
          <w:rFonts w:ascii="Times New Roman" w:hAnsi="Times New Roman" w:eastAsia="黑体"/>
          <w:color w:val="auto"/>
          <w:kern w:val="0"/>
          <w:sz w:val="32"/>
          <w:szCs w:val="32"/>
        </w:rPr>
        <w:t>一、部门概况</w:t>
      </w:r>
    </w:p>
    <w:p>
      <w:pPr>
        <w:spacing w:line="596"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（一）部门职能概述</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贯彻执行《中华人民共和国残疾人保障法》，代表残疾人的共同利益，维护残疾人的合法权益。团结教育残疾人遵纪守法，履行应尽义务，发扬乐观进取精神。履行政府赋予的职责，管理和发展残疾人事业，为残疾人服务，开展和促进残疾人康复、教育、劳动就业、文化生活、福利、社会服务和残疾预防工作；改善残疾人参与社会生活的环境和条件；管理和发放《中华人民共和国残疾人证》。沟通政府、社会与残疾人之间的联系，宣传残疾人事业，倡导社会理解、尊重、关心、帮助残疾人。联系、指导各残疾人群众组织。承办市委、市人民政府交办的其他事项。</w:t>
      </w:r>
    </w:p>
    <w:p>
      <w:pPr>
        <w:tabs>
          <w:tab w:val="left" w:pos="5885"/>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（二）部门组织机构及人员情况</w:t>
      </w:r>
      <w:r>
        <w:rPr>
          <w:rFonts w:hint="eastAsia" w:ascii="Times New Roman" w:hAnsi="Times New Roman" w:eastAsia="仿宋_GB2312"/>
          <w:color w:val="auto"/>
          <w:kern w:val="0"/>
          <w:sz w:val="32"/>
          <w:szCs w:val="32"/>
          <w:lang w:eastAsia="zh-CN"/>
        </w:rPr>
        <w:tab/>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．机构情况：浏阳市残疾人联合会成立于</w:t>
      </w:r>
      <w:r>
        <w:rPr>
          <w:rFonts w:ascii="仿宋_GB2312" w:hAnsi="宋体" w:eastAsia="仿宋_GB2312" w:cs="宋体"/>
          <w:color w:val="auto"/>
          <w:kern w:val="0"/>
          <w:sz w:val="32"/>
          <w:szCs w:val="32"/>
        </w:rPr>
        <w:t>1990</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12</w:t>
      </w:r>
      <w:r>
        <w:rPr>
          <w:rFonts w:hint="eastAsia" w:ascii="仿宋_GB2312" w:hAnsi="宋体" w:eastAsia="仿宋_GB2312" w:cs="宋体"/>
          <w:color w:val="auto"/>
          <w:kern w:val="0"/>
          <w:sz w:val="32"/>
          <w:szCs w:val="32"/>
        </w:rPr>
        <w:t>月，</w:t>
      </w:r>
      <w:r>
        <w:rPr>
          <w:rFonts w:ascii="仿宋_GB2312" w:hAnsi="宋体" w:eastAsia="仿宋_GB2312" w:cs="宋体"/>
          <w:color w:val="auto"/>
          <w:kern w:val="0"/>
          <w:sz w:val="32"/>
          <w:szCs w:val="32"/>
        </w:rPr>
        <w:t xml:space="preserve"> 2002</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月明确为市人民政府管理的全市性残疾人事业团体。现设有办公室、教就部、康复部、组联维权部、就业服务中心，残疾人就业服务中心于</w:t>
      </w:r>
      <w:r>
        <w:rPr>
          <w:rFonts w:ascii="仿宋_GB2312" w:hAnsi="宋体" w:eastAsia="仿宋_GB2312" w:cs="宋体"/>
          <w:color w:val="auto"/>
          <w:kern w:val="0"/>
          <w:sz w:val="32"/>
          <w:szCs w:val="32"/>
        </w:rPr>
        <w:t>2003</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月批准成立，为浏阳市残疾人联合会管理的事业单位。其业务范围是：综合管理辖区内残疾人劳动就业服务工作，掌握残疾人劳动力资源状况和用人单位需求；开展职业培训；具体运筹按比例就业，收放、管理残疾人就业保障金；扶持残疾人个体、集体从业。</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．人员情况，我会</w:t>
      </w:r>
      <w:r>
        <w:rPr>
          <w:rFonts w:hint="eastAsia" w:ascii="仿宋_GB2312" w:hAnsi="宋体" w:eastAsia="仿宋_GB2312" w:cs="宋体"/>
          <w:color w:val="auto"/>
          <w:kern w:val="0"/>
          <w:sz w:val="32"/>
          <w:szCs w:val="32"/>
          <w:lang w:eastAsia="zh-CN"/>
        </w:rPr>
        <w:t>2021年</w:t>
      </w:r>
      <w:r>
        <w:rPr>
          <w:rFonts w:hint="eastAsia" w:ascii="仿宋_GB2312" w:hAnsi="宋体" w:eastAsia="仿宋_GB2312" w:cs="宋体"/>
          <w:color w:val="auto"/>
          <w:kern w:val="0"/>
          <w:sz w:val="32"/>
          <w:szCs w:val="32"/>
        </w:rPr>
        <w:t>年末在职人员</w:t>
      </w:r>
      <w:r>
        <w:rPr>
          <w:rFonts w:ascii="仿宋_GB2312" w:hAnsi="宋体" w:eastAsia="仿宋_GB2312" w:cs="宋体"/>
          <w:color w:val="auto"/>
          <w:kern w:val="0"/>
          <w:sz w:val="32"/>
          <w:szCs w:val="32"/>
        </w:rPr>
        <w:t>11</w:t>
      </w:r>
      <w:r>
        <w:rPr>
          <w:rFonts w:hint="eastAsia" w:ascii="仿宋_GB2312" w:hAnsi="宋体" w:eastAsia="仿宋_GB2312" w:cs="宋体"/>
          <w:color w:val="auto"/>
          <w:kern w:val="0"/>
          <w:sz w:val="32"/>
          <w:szCs w:val="32"/>
        </w:rPr>
        <w:t>人，退休人员</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人。</w:t>
      </w:r>
    </w:p>
    <w:p>
      <w:pPr>
        <w:tabs>
          <w:tab w:val="left" w:pos="5885"/>
        </w:tabs>
        <w:spacing w:line="596" w:lineRule="exact"/>
        <w:ind w:firstLine="640" w:firstLineChars="200"/>
        <w:rPr>
          <w:rFonts w:hint="eastAsia" w:ascii="Times New Roman" w:hAnsi="Times New Roman" w:eastAsia="仿宋_GB2312"/>
          <w:color w:val="auto"/>
          <w:kern w:val="0"/>
          <w:sz w:val="32"/>
          <w:szCs w:val="32"/>
          <w:lang w:eastAsia="zh-CN"/>
        </w:rPr>
      </w:pPr>
    </w:p>
    <w:p>
      <w:pPr>
        <w:numPr>
          <w:ilvl w:val="0"/>
          <w:numId w:val="1"/>
        </w:numPr>
        <w:tabs>
          <w:tab w:val="center" w:pos="4422"/>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年度重点工作计划</w:t>
      </w:r>
      <w:r>
        <w:rPr>
          <w:rFonts w:hint="eastAsia" w:ascii="Times New Roman" w:hAnsi="Times New Roman" w:eastAsia="仿宋_GB2312"/>
          <w:color w:val="auto"/>
          <w:kern w:val="0"/>
          <w:sz w:val="32"/>
          <w:szCs w:val="32"/>
          <w:lang w:eastAsia="zh-CN"/>
        </w:rPr>
        <w:tab/>
      </w:r>
    </w:p>
    <w:p>
      <w:pPr>
        <w:numPr>
          <w:ilvl w:val="0"/>
          <w:numId w:val="0"/>
        </w:numPr>
        <w:tabs>
          <w:tab w:val="center" w:pos="4422"/>
        </w:tabs>
        <w:spacing w:line="596" w:lineRule="exact"/>
        <w:ind w:firstLine="640" w:firstLineChars="200"/>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olor w:val="auto"/>
          <w:kern w:val="0"/>
          <w:sz w:val="32"/>
          <w:szCs w:val="32"/>
          <w:lang w:eastAsia="zh-CN"/>
        </w:rPr>
        <w:t>．</w:t>
      </w:r>
      <w:r>
        <w:rPr>
          <w:rFonts w:hint="eastAsia" w:ascii="楷体" w:hAnsi="楷体" w:eastAsia="楷体" w:cs="楷体"/>
          <w:color w:val="auto"/>
          <w:kern w:val="0"/>
          <w:sz w:val="32"/>
          <w:szCs w:val="32"/>
          <w:lang w:eastAsia="zh-CN"/>
        </w:rPr>
        <w:t>实施精准康复服务行动</w:t>
      </w:r>
      <w:r>
        <w:rPr>
          <w:rFonts w:hint="eastAsia" w:ascii="Times New Roman" w:hAnsi="Times New Roman" w:eastAsia="仿宋_GB2312"/>
          <w:color w:val="auto"/>
          <w:kern w:val="0"/>
          <w:sz w:val="32"/>
          <w:szCs w:val="32"/>
          <w:lang w:eastAsia="zh-CN"/>
        </w:rPr>
        <w:t>。帮助200名有康复需求和适应指征的听力、言语、肢体、智力残疾儿童和孤儿症儿童在机构接受康复训练，落实残疾儿童康复救助制度，推动残疾儿童普遍享有基本康复服务；实施“光明关爱”项目，为240名低视力和白内障患者提供康复服务；实施残疾人辅助器具适配服务项目，为1288名残疾人免费适配辅助器具。</w:t>
      </w:r>
    </w:p>
    <w:p>
      <w:pPr>
        <w:pStyle w:val="4"/>
        <w:shd w:val="clear" w:color="auto" w:fill="FFFFFF"/>
        <w:spacing w:before="0" w:beforeAutospacing="0" w:after="0" w:afterAutospacing="0" w:line="560" w:lineRule="exact"/>
        <w:ind w:right="69" w:rightChars="33" w:firstLine="640" w:firstLineChars="200"/>
        <w:rPr>
          <w:rFonts w:hint="eastAsia" w:ascii="仿宋_GB2312" w:hAnsi="仿宋_GB2312" w:eastAsia="仿宋_GB2312" w:cs="仿宋_GB2312"/>
          <w:sz w:val="32"/>
          <w:szCs w:val="32"/>
          <w:highlight w:val="yellow"/>
        </w:rPr>
      </w:pPr>
      <w:r>
        <w:rPr>
          <w:rFonts w:hint="eastAsia" w:ascii="楷体" w:hAnsi="楷体" w:eastAsia="楷体"/>
          <w:sz w:val="32"/>
          <w:szCs w:val="32"/>
          <w:lang w:val="en-US" w:eastAsia="zh-CN"/>
        </w:rPr>
        <w:t>2</w:t>
      </w:r>
      <w:r>
        <w:rPr>
          <w:rFonts w:hint="eastAsia" w:ascii="楷体" w:hAnsi="楷体" w:eastAsia="楷体"/>
          <w:sz w:val="32"/>
          <w:szCs w:val="32"/>
        </w:rPr>
        <w:t>．积极开展教育培训。</w:t>
      </w:r>
      <w:r>
        <w:rPr>
          <w:rFonts w:hint="eastAsia" w:ascii="仿宋_GB2312" w:hAnsi="仿宋_GB2312" w:eastAsia="仿宋_GB2312" w:cs="仿宋_GB2312"/>
          <w:sz w:val="32"/>
          <w:szCs w:val="32"/>
          <w:lang w:val="zh-TW" w:eastAsia="zh-TW"/>
        </w:rPr>
        <w:t>利用残疾儿童信息平台，及时更新适龄残疾儿童基础信息，协助教育部门做好适龄残疾儿童入学工作，保障残疾少年儿童受教育权利</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落实</w:t>
      </w:r>
      <w:r>
        <w:rPr>
          <w:rFonts w:hint="eastAsia" w:ascii="仿宋_GB2312" w:hAnsi="仿宋_GB2312" w:eastAsia="仿宋_GB2312" w:cs="仿宋_GB2312"/>
          <w:sz w:val="32"/>
          <w:szCs w:val="32"/>
          <w:lang w:val="zh-TW"/>
        </w:rPr>
        <w:t>省、市</w:t>
      </w:r>
      <w:r>
        <w:rPr>
          <w:rFonts w:hint="eastAsia" w:ascii="仿宋_GB2312" w:hAnsi="仿宋_GB2312" w:eastAsia="仿宋_GB2312" w:cs="仿宋_GB2312"/>
          <w:sz w:val="32"/>
          <w:szCs w:val="32"/>
          <w:lang w:val="zh-TW" w:eastAsia="zh-TW"/>
        </w:rPr>
        <w:t>关于残疾学生和</w:t>
      </w:r>
      <w:r>
        <w:rPr>
          <w:rFonts w:hint="eastAsia" w:ascii="仿宋_GB2312" w:hAnsi="仿宋_GB2312" w:eastAsia="仿宋_GB2312" w:cs="仿宋_GB2312"/>
          <w:sz w:val="32"/>
          <w:szCs w:val="32"/>
          <w:lang w:val="zh-TW"/>
        </w:rPr>
        <w:t>困难</w:t>
      </w:r>
      <w:r>
        <w:rPr>
          <w:rFonts w:hint="eastAsia" w:ascii="仿宋_GB2312" w:hAnsi="仿宋_GB2312" w:eastAsia="仿宋_GB2312" w:cs="仿宋_GB2312"/>
          <w:sz w:val="32"/>
          <w:szCs w:val="32"/>
          <w:lang w:val="zh-TW" w:eastAsia="zh-TW"/>
        </w:rPr>
        <w:t>残疾人家庭子女就学补助</w:t>
      </w:r>
      <w:r>
        <w:rPr>
          <w:rFonts w:hint="eastAsia" w:ascii="仿宋_GB2312" w:hAnsi="仿宋_GB2312" w:eastAsia="仿宋_GB2312" w:cs="仿宋_GB2312"/>
          <w:sz w:val="32"/>
          <w:szCs w:val="32"/>
          <w:lang w:val="zh-TW"/>
        </w:rPr>
        <w:t>政策</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对</w:t>
      </w:r>
      <w:r>
        <w:rPr>
          <w:rFonts w:hint="eastAsia" w:ascii="仿宋_GB2312" w:hAnsi="仿宋_GB2312" w:eastAsia="仿宋_GB2312" w:cs="仿宋_GB2312"/>
          <w:sz w:val="32"/>
          <w:szCs w:val="32"/>
          <w:lang w:val="zh-TW" w:eastAsia="zh-TW"/>
        </w:rPr>
        <w:t>符合条件的残疾学生及</w:t>
      </w:r>
      <w:r>
        <w:rPr>
          <w:rFonts w:hint="eastAsia" w:ascii="仿宋_GB2312" w:hAnsi="仿宋_GB2312" w:eastAsia="仿宋_GB2312" w:cs="仿宋_GB2312"/>
          <w:sz w:val="32"/>
          <w:szCs w:val="32"/>
          <w:lang w:val="zh-TW"/>
        </w:rPr>
        <w:t>困难</w:t>
      </w:r>
      <w:r>
        <w:rPr>
          <w:rFonts w:hint="eastAsia" w:ascii="仿宋_GB2312" w:hAnsi="仿宋_GB2312" w:eastAsia="仿宋_GB2312" w:cs="仿宋_GB2312"/>
          <w:sz w:val="32"/>
          <w:szCs w:val="32"/>
          <w:lang w:val="zh-TW" w:eastAsia="zh-TW"/>
        </w:rPr>
        <w:t>残疾人家庭子女就学</w:t>
      </w:r>
      <w:r>
        <w:rPr>
          <w:rFonts w:hint="eastAsia" w:ascii="仿宋_GB2312" w:hAnsi="仿宋_GB2312" w:eastAsia="仿宋_GB2312" w:cs="仿宋_GB2312"/>
          <w:sz w:val="32"/>
          <w:szCs w:val="32"/>
          <w:lang w:val="zh-TW"/>
        </w:rPr>
        <w:t>做到应补尽补，</w:t>
      </w:r>
      <w:r>
        <w:rPr>
          <w:rFonts w:hint="eastAsia" w:ascii="仿宋_GB2312" w:hAnsi="仿宋_GB2312" w:eastAsia="仿宋_GB2312" w:cs="仿宋_GB2312"/>
          <w:sz w:val="32"/>
          <w:szCs w:val="32"/>
        </w:rPr>
        <w:t>并及时完成省助学补助系统的录入工作；</w:t>
      </w:r>
      <w:r>
        <w:rPr>
          <w:rFonts w:hint="eastAsia" w:ascii="仿宋_GB2312" w:hAnsi="仿宋_GB2312" w:eastAsia="仿宋_GB2312" w:cs="仿宋_GB2312"/>
          <w:sz w:val="32"/>
          <w:szCs w:val="32"/>
          <w:lang w:val="zh-TW"/>
        </w:rPr>
        <w:t>掌握本年度参加高考的残疾学生报考及录取情况，协助落实申请合理便利措施；推荐适龄、符合条件的残疾人参加省特教中专招生选拔。落实“点亮万家灯火”托底帮扶残疾人就业工作，重点实施托底对象调查登记、免费培训和就业岗位开发三大行动，为100名有培训需求的残疾人开展职业技能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通过技术培训、生产资料扶持、结对帮扶、生产服务指导等，为140名残疾人开展农村残疾人实用技术培训。</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lang w:val="zh-TW"/>
        </w:rPr>
      </w:pPr>
      <w:r>
        <w:rPr>
          <w:rFonts w:hint="eastAsia" w:ascii="楷体" w:hAnsi="楷体" w:eastAsia="楷体" w:cs="仿宋_GB2312"/>
          <w:sz w:val="32"/>
          <w:szCs w:val="32"/>
          <w:lang w:val="en-US" w:eastAsia="zh-CN"/>
        </w:rPr>
        <w:t>3</w:t>
      </w:r>
      <w:r>
        <w:rPr>
          <w:rFonts w:hint="eastAsia" w:ascii="楷体" w:hAnsi="楷体" w:eastAsia="楷体" w:cs="仿宋_GB2312"/>
          <w:sz w:val="32"/>
          <w:szCs w:val="32"/>
          <w:lang w:val="zh-TW"/>
        </w:rPr>
        <w:t>．大力扶持就业创业。</w:t>
      </w:r>
      <w:r>
        <w:rPr>
          <w:rFonts w:hint="eastAsia" w:ascii="仿宋_GB2312" w:hAnsi="仿宋_GB2312" w:eastAsia="仿宋_GB2312" w:cs="仿宋_GB2312"/>
          <w:sz w:val="32"/>
          <w:szCs w:val="32"/>
          <w:lang w:val="zh-TW"/>
        </w:rPr>
        <w:t>加大按比例安排残疾人就业政策宣传力度，依法开展按比例安排残疾人就业年审认定、公示，配合财政、税务部门力争征收残保金达到2000万元以上；继续扶持符合条件的城乡残疾人自主创业，为残疾人实现就业增收提供服务；组织开展残疾人专场招聘会和就业援助月专项活动，重点围绕残疾人大学生、贫困残疾人、未就业残疾人切实做好职业指导、职业介绍等服务；开展盲人按摩保健合格门店审核，对符合条件的医疗、保健按摩机构提供行业扶持。</w:t>
      </w:r>
    </w:p>
    <w:p>
      <w:pPr>
        <w:pStyle w:val="4"/>
        <w:shd w:val="clear" w:color="auto" w:fill="FFFFFF"/>
        <w:spacing w:before="0" w:beforeAutospacing="0" w:after="0" w:afterAutospacing="0" w:line="560" w:lineRule="exact"/>
        <w:ind w:firstLine="627" w:firstLineChars="196"/>
        <w:rPr>
          <w:rFonts w:hint="eastAsia" w:ascii="仿宋_GB2312" w:eastAsia="仿宋_GB2312"/>
          <w:sz w:val="32"/>
          <w:szCs w:val="32"/>
        </w:rPr>
      </w:pPr>
      <w:r>
        <w:rPr>
          <w:rFonts w:hint="eastAsia" w:ascii="楷体" w:hAnsi="楷体" w:eastAsia="楷体"/>
          <w:sz w:val="32"/>
          <w:szCs w:val="32"/>
          <w:lang w:val="en-US" w:eastAsia="zh-CN"/>
        </w:rPr>
        <w:t>4</w:t>
      </w:r>
      <w:r>
        <w:rPr>
          <w:rFonts w:hint="eastAsia" w:ascii="楷体" w:hAnsi="楷体" w:eastAsia="楷体"/>
          <w:sz w:val="32"/>
          <w:szCs w:val="32"/>
        </w:rPr>
        <w:t>．积极开展托养服务。</w:t>
      </w:r>
      <w:r>
        <w:rPr>
          <w:rFonts w:hint="eastAsia" w:ascii="仿宋_GB2312" w:eastAsia="仿宋_GB2312"/>
          <w:sz w:val="32"/>
          <w:szCs w:val="32"/>
        </w:rPr>
        <w:t>实施“阳光家园”计划，积极购买服务，为80名贫困残疾人上门提供居家托养服务；加强各残疾人服务中心安全管理，努力提高规范化、专业化、制度化建设水平，为200名残疾人提供</w:t>
      </w:r>
      <w:r>
        <w:rPr>
          <w:rFonts w:hint="eastAsia" w:ascii="仿宋_GB2312" w:hAnsi="仿宋_GB2312" w:eastAsia="仿宋_GB2312" w:cs="仿宋_GB2312"/>
          <w:sz w:val="32"/>
          <w:szCs w:val="32"/>
        </w:rPr>
        <w:t>日间照料、康复训练，辅助性就业服务</w:t>
      </w:r>
      <w:r>
        <w:rPr>
          <w:rFonts w:hint="eastAsia" w:ascii="仿宋_GB2312" w:eastAsia="仿宋_GB2312"/>
          <w:sz w:val="32"/>
          <w:szCs w:val="32"/>
        </w:rPr>
        <w:t>；加大辅助性就业工作开展力度，指导符合条件的新建机构开展申报和验收工作。</w:t>
      </w:r>
    </w:p>
    <w:p>
      <w:pPr>
        <w:spacing w:line="560" w:lineRule="exact"/>
        <w:ind w:firstLine="707" w:firstLineChars="221"/>
        <w:rPr>
          <w:rFonts w:hint="eastAsia" w:ascii="仿宋_GB2312" w:hAnsi="仿宋_GB2312" w:eastAsia="仿宋_GB2312" w:cs="仿宋_GB2312"/>
          <w:sz w:val="32"/>
          <w:szCs w:val="32"/>
        </w:rPr>
      </w:pPr>
      <w:r>
        <w:rPr>
          <w:rFonts w:hint="eastAsia" w:ascii="楷体" w:hAnsi="楷体" w:eastAsia="楷体"/>
          <w:sz w:val="32"/>
          <w:szCs w:val="32"/>
          <w:lang w:val="en-US" w:eastAsia="zh-CN"/>
        </w:rPr>
        <w:t>5</w:t>
      </w:r>
      <w:r>
        <w:rPr>
          <w:rFonts w:hint="eastAsia" w:ascii="楷体" w:hAnsi="楷体" w:eastAsia="楷体"/>
          <w:sz w:val="32"/>
          <w:szCs w:val="32"/>
        </w:rPr>
        <w:t>. 有效落实帮困政策。</w:t>
      </w:r>
      <w:r>
        <w:rPr>
          <w:rFonts w:hint="eastAsia" w:ascii="仿宋_GB2312" w:hAnsi="仿宋_GB2312" w:eastAsia="仿宋_GB2312" w:cs="仿宋_GB2312"/>
          <w:sz w:val="32"/>
          <w:szCs w:val="32"/>
        </w:rPr>
        <w:t>加强与人社、医保部门的沟通协调，确保残疾人社会保险政府代缴工作的落实；</w:t>
      </w:r>
      <w:r>
        <w:rPr>
          <w:rFonts w:hint="eastAsia" w:ascii="仿宋_GB2312" w:hAnsi="仿宋_GB2312" w:eastAsia="仿宋_GB2312" w:cs="仿宋_GB2312"/>
          <w:sz w:val="32"/>
          <w:szCs w:val="32"/>
          <w:lang w:val="zh-TW" w:eastAsia="zh-TW"/>
        </w:rPr>
        <w:t>配合民政部门，</w:t>
      </w:r>
      <w:r>
        <w:rPr>
          <w:rFonts w:hint="eastAsia" w:ascii="仿宋_GB2312" w:hAnsi="仿宋_GB2312" w:eastAsia="仿宋_GB2312" w:cs="仿宋_GB2312"/>
          <w:sz w:val="32"/>
          <w:szCs w:val="32"/>
        </w:rPr>
        <w:t>做好残疾人两项补贴申报、审核工作；对纳入住建部门改建并验收合格的农村残疾人家庭危房改造户给予4000元/户的补贴；组织开展“联村联户、四帮四促”，建立残疾人工作常态化联系机制，加强和改进集成残疾人帮扶工作。</w:t>
      </w:r>
    </w:p>
    <w:p>
      <w:pPr>
        <w:pStyle w:val="4"/>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楷体" w:hAnsi="楷体" w:eastAsia="楷体"/>
          <w:sz w:val="32"/>
          <w:szCs w:val="32"/>
          <w:lang w:val="en-US" w:eastAsia="zh-CN"/>
        </w:rPr>
        <w:t>6</w:t>
      </w:r>
      <w:r>
        <w:rPr>
          <w:rFonts w:hint="eastAsia" w:ascii="楷体" w:hAnsi="楷体" w:eastAsia="楷体"/>
          <w:sz w:val="32"/>
          <w:szCs w:val="32"/>
        </w:rPr>
        <w:t>．加强信访维权。</w:t>
      </w:r>
      <w:r>
        <w:rPr>
          <w:rFonts w:hint="eastAsia" w:ascii="仿宋_GB2312" w:eastAsia="仿宋_GB2312"/>
          <w:sz w:val="32"/>
          <w:szCs w:val="32"/>
        </w:rPr>
        <w:t>充分发挥残疾人法律救助站作用，积极做好残疾人法律问题解答和法律援助工作；及时办理 “12345”热线残疾人各类合理诉求，依法维护残疾人的合法权益；做好残疾人机动车燃油补贴申报、发放工作；认真开展残疾人权益保障“双联双百”工作，畅通涉残社情民意的表达渠道。</w:t>
      </w:r>
      <w:r>
        <w:rPr>
          <w:rFonts w:hint="eastAsia" w:ascii="仿宋_GB2312" w:hAnsi="黑体" w:eastAsia="仿宋_GB2312"/>
          <w:sz w:val="32"/>
          <w:szCs w:val="32"/>
        </w:rPr>
        <w:t>推进无障碍环境建设工作，</w:t>
      </w:r>
      <w:r>
        <w:rPr>
          <w:rFonts w:hint="eastAsia" w:ascii="仿宋_GB2312" w:eastAsia="仿宋_GB2312"/>
          <w:sz w:val="32"/>
          <w:szCs w:val="32"/>
        </w:rPr>
        <w:t>在全市开展无障碍社区改造与家庭畅行工程，2021年完成200余户残疾人家庭无障碍改造和1个无障碍社区改造，</w:t>
      </w:r>
      <w:r>
        <w:rPr>
          <w:rFonts w:hint="eastAsia" w:ascii="仿宋_GB2312" w:hAnsi="Times New Roman" w:eastAsia="仿宋_GB2312"/>
          <w:sz w:val="32"/>
          <w:szCs w:val="32"/>
        </w:rPr>
        <w:t>打造1个省级残疾人家庭无障碍改造示范乡镇。</w:t>
      </w:r>
    </w:p>
    <w:p>
      <w:pPr>
        <w:spacing w:line="560" w:lineRule="exact"/>
        <w:ind w:firstLine="627" w:firstLineChars="196"/>
        <w:rPr>
          <w:rFonts w:hint="eastAsia" w:eastAsia="仿宋"/>
          <w:sz w:val="32"/>
          <w:szCs w:val="32"/>
        </w:rPr>
      </w:pPr>
      <w:r>
        <w:rPr>
          <w:rFonts w:hint="eastAsia" w:ascii="楷体" w:hAnsi="楷体" w:eastAsia="楷体"/>
          <w:sz w:val="32"/>
          <w:szCs w:val="32"/>
          <w:lang w:val="en-US" w:eastAsia="zh-CN"/>
        </w:rPr>
        <w:t>7</w:t>
      </w:r>
      <w:r>
        <w:rPr>
          <w:rFonts w:hint="eastAsia" w:ascii="楷体" w:hAnsi="楷体" w:eastAsia="楷体"/>
          <w:sz w:val="32"/>
          <w:szCs w:val="32"/>
        </w:rPr>
        <w:t>. 加强基层建设。</w:t>
      </w:r>
      <w:r>
        <w:rPr>
          <w:rFonts w:hint="eastAsia" w:ascii="仿宋_GB2312" w:eastAsia="仿宋_GB2312"/>
          <w:sz w:val="32"/>
          <w:szCs w:val="32"/>
        </w:rPr>
        <w:t>完成第三代（智能化）残疾人证换发工作，以智能化残疾人证为抓手，推动残疾人工作管理方式、服务方式的升级转变；进一步规范残疾人证的核发管理，提高办证透明度；加强基层残疾人组织和残疾人工作者队伍建设，积极开展残疾人专职委员在线培训，提高专职委员整体素质；扎实抓好残疾人基本状况和服务需求动态更新工作；加强专门协会工作指导，充分发挥协会代表、服务、维权和桥梁纽带作用，全面夯实残疾人事业发展基础。</w:t>
      </w:r>
      <w:r>
        <w:rPr>
          <w:rFonts w:hint="eastAsia" w:ascii="仿宋_GB2312" w:hAnsi="仿宋" w:eastAsia="仿宋_GB2312"/>
          <w:sz w:val="32"/>
          <w:szCs w:val="32"/>
        </w:rPr>
        <w:t xml:space="preserve"> </w:t>
      </w:r>
    </w:p>
    <w:p>
      <w:pPr>
        <w:spacing w:line="560" w:lineRule="exact"/>
        <w:ind w:firstLine="627" w:firstLineChars="196"/>
        <w:rPr>
          <w:rFonts w:hint="eastAsia" w:ascii="仿宋_GB2312" w:hAnsi="仿宋" w:eastAsia="仿宋_GB2312"/>
          <w:sz w:val="32"/>
          <w:szCs w:val="32"/>
        </w:rPr>
      </w:pPr>
      <w:r>
        <w:rPr>
          <w:rFonts w:hint="eastAsia" w:ascii="楷体" w:hAnsi="楷体" w:eastAsia="楷体"/>
          <w:sz w:val="32"/>
          <w:szCs w:val="32"/>
          <w:lang w:val="en-US" w:eastAsia="zh-CN"/>
        </w:rPr>
        <w:t>8</w:t>
      </w:r>
      <w:r>
        <w:rPr>
          <w:rFonts w:hint="eastAsia" w:ascii="楷体" w:hAnsi="楷体" w:eastAsia="楷体"/>
          <w:sz w:val="32"/>
          <w:szCs w:val="32"/>
        </w:rPr>
        <w:t>. 浓厚社会氛围。</w:t>
      </w:r>
      <w:r>
        <w:rPr>
          <w:rFonts w:hint="eastAsia" w:ascii="仿宋" w:hAnsi="仿宋" w:eastAsia="仿宋"/>
          <w:sz w:val="32"/>
          <w:szCs w:val="32"/>
        </w:rPr>
        <w:t>认</w:t>
      </w:r>
      <w:r>
        <w:rPr>
          <w:rFonts w:hint="eastAsia" w:ascii="仿宋_GB2312" w:eastAsia="仿宋_GB2312"/>
          <w:sz w:val="32"/>
          <w:szCs w:val="32"/>
        </w:rPr>
        <w:t>真开展第三十一次“全国助残日”、“国际残疾人日”等活动；积极参与长沙市残联新时代学雷锋“善行四十佳”评选活动，挖掘典型，大力宣传社会助残感人事迹和残疾人自强模范；有效引导各残疾人服务中心和社会公益组织开展志愿助残服务活动；继续在全市机关、事业单位和社会团体中开展“一日工资助残”活动，大力倡导扶残助残新风尚；做好中国残联三刊征订工作。</w:t>
      </w:r>
    </w:p>
    <w:p>
      <w:pPr>
        <w:spacing w:line="560" w:lineRule="exact"/>
        <w:ind w:firstLine="627" w:firstLineChars="196"/>
        <w:rPr>
          <w:rFonts w:hint="eastAsia" w:ascii="仿宋_GB2312" w:eastAsia="仿宋_GB2312"/>
          <w:sz w:val="32"/>
          <w:szCs w:val="32"/>
        </w:rPr>
      </w:pPr>
      <w:r>
        <w:rPr>
          <w:rFonts w:hint="eastAsia" w:ascii="楷体" w:hAnsi="楷体" w:eastAsia="楷体"/>
          <w:sz w:val="32"/>
          <w:szCs w:val="32"/>
          <w:lang w:val="en-US" w:eastAsia="zh-CN"/>
        </w:rPr>
        <w:t>9</w:t>
      </w:r>
      <w:r>
        <w:rPr>
          <w:rFonts w:hint="eastAsia" w:ascii="楷体" w:hAnsi="楷体" w:eastAsia="楷体"/>
          <w:sz w:val="32"/>
          <w:szCs w:val="32"/>
        </w:rPr>
        <w:t>. 开展文体活动。</w:t>
      </w:r>
      <w:r>
        <w:rPr>
          <w:rFonts w:hint="eastAsia" w:ascii="仿宋_GB2312" w:eastAsia="仿宋_GB2312"/>
          <w:sz w:val="32"/>
          <w:szCs w:val="32"/>
        </w:rPr>
        <w:t>积极组织参加省级、长沙市级举办的各类文体活动；指导各残疾人服务机构和乡镇残联因地制宜地开展各类残疾人文体活动；做好残疾人运动员集训工作，组织和推送运动员参加各类大赛。</w:t>
      </w:r>
    </w:p>
    <w:p>
      <w:pPr>
        <w:spacing w:line="596"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（四）部门整体支出规模、使用方向、主要内容和涉及范围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eastAsia="仿宋_GB2312" w:cs="仿宋_GB2312"/>
          <w:i w:val="0"/>
          <w:caps w:val="0"/>
          <w:color w:val="auto"/>
          <w:spacing w:val="0"/>
          <w:sz w:val="31"/>
          <w:szCs w:val="31"/>
          <w:lang w:eastAsia="zh-CN"/>
        </w:rPr>
        <w:t>2021年</w:t>
      </w:r>
      <w:r>
        <w:rPr>
          <w:rFonts w:hint="eastAsia" w:ascii="仿宋_GB2312" w:hAnsi="宋体" w:eastAsia="仿宋_GB2312" w:cs="仿宋_GB2312"/>
          <w:i w:val="0"/>
          <w:caps w:val="0"/>
          <w:color w:val="auto"/>
          <w:spacing w:val="0"/>
          <w:sz w:val="31"/>
          <w:szCs w:val="31"/>
        </w:rPr>
        <w:t>我会整体支出规模为</w:t>
      </w:r>
      <w:r>
        <w:rPr>
          <w:rFonts w:hint="eastAsia" w:ascii="仿宋_GB2312" w:eastAsia="仿宋_GB2312" w:cs="仿宋_GB2312"/>
          <w:i w:val="0"/>
          <w:caps w:val="0"/>
          <w:color w:val="auto"/>
          <w:spacing w:val="0"/>
          <w:sz w:val="31"/>
          <w:szCs w:val="31"/>
          <w:lang w:val="en-US" w:eastAsia="zh-CN"/>
        </w:rPr>
        <w:t>2563.25</w:t>
      </w:r>
      <w:r>
        <w:rPr>
          <w:rFonts w:hint="eastAsia" w:ascii="仿宋_GB2312" w:hAnsi="宋体" w:eastAsia="仿宋_GB2312" w:cs="仿宋_GB2312"/>
          <w:i w:val="0"/>
          <w:caps w:val="0"/>
          <w:color w:val="auto"/>
          <w:spacing w:val="0"/>
          <w:sz w:val="31"/>
          <w:szCs w:val="31"/>
        </w:rPr>
        <w:t>万元，其中：基本支出</w:t>
      </w:r>
      <w:r>
        <w:rPr>
          <w:rFonts w:hint="eastAsia" w:ascii="仿宋_GB2312" w:eastAsia="仿宋_GB2312" w:cs="仿宋_GB2312"/>
          <w:i w:val="0"/>
          <w:caps w:val="0"/>
          <w:color w:val="auto"/>
          <w:spacing w:val="0"/>
          <w:sz w:val="31"/>
          <w:szCs w:val="31"/>
          <w:lang w:val="en-US" w:eastAsia="zh-CN"/>
        </w:rPr>
        <w:t>201.03</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7.84</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2262.22</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92.16</w:t>
      </w:r>
      <w:r>
        <w:rPr>
          <w:rFonts w:hint="eastAsia" w:ascii="仿宋_GB2312" w:hAnsi="宋体" w:eastAsia="仿宋_GB2312" w:cs="仿宋_GB2312"/>
          <w:i w:val="0"/>
          <w:caps w:val="0"/>
          <w:color w:val="auto"/>
          <w:spacing w:val="0"/>
          <w:sz w:val="31"/>
          <w:szCs w:val="31"/>
        </w:rPr>
        <w:t>%。项目支出主要是单位为完成</w:t>
      </w:r>
      <w:r>
        <w:rPr>
          <w:rFonts w:hint="eastAsia" w:ascii="仿宋_GB2312" w:eastAsia="仿宋_GB2312" w:cs="仿宋_GB2312"/>
          <w:i w:val="0"/>
          <w:caps w:val="0"/>
          <w:color w:val="auto"/>
          <w:spacing w:val="0"/>
          <w:sz w:val="31"/>
          <w:szCs w:val="31"/>
          <w:lang w:eastAsia="zh-CN"/>
        </w:rPr>
        <w:t>本年度残疾人康复、教育、就业</w:t>
      </w:r>
      <w:r>
        <w:rPr>
          <w:rFonts w:hint="eastAsia" w:ascii="仿宋_GB2312" w:eastAsia="仿宋_GB2312" w:cs="仿宋_GB2312"/>
          <w:i w:val="0"/>
          <w:caps w:val="0"/>
          <w:color w:val="auto"/>
          <w:spacing w:val="0"/>
          <w:sz w:val="31"/>
          <w:szCs w:val="31"/>
          <w:lang w:val="en-US" w:eastAsia="zh-CN"/>
        </w:rPr>
        <w:t>等各项</w:t>
      </w:r>
      <w:r>
        <w:rPr>
          <w:rFonts w:hint="eastAsia" w:ascii="仿宋_GB2312" w:eastAsia="仿宋_GB2312" w:cs="仿宋_GB2312"/>
          <w:i w:val="0"/>
          <w:caps w:val="0"/>
          <w:color w:val="auto"/>
          <w:spacing w:val="0"/>
          <w:sz w:val="31"/>
          <w:szCs w:val="31"/>
          <w:lang w:eastAsia="zh-CN"/>
        </w:rPr>
        <w:t>工作目标</w:t>
      </w:r>
      <w:r>
        <w:rPr>
          <w:rFonts w:hint="eastAsia" w:ascii="仿宋_GB2312" w:hAnsi="宋体" w:eastAsia="仿宋_GB2312" w:cs="仿宋_GB2312"/>
          <w:i w:val="0"/>
          <w:caps w:val="0"/>
          <w:color w:val="auto"/>
          <w:spacing w:val="0"/>
          <w:sz w:val="31"/>
          <w:szCs w:val="31"/>
        </w:rPr>
        <w:t>而发生的支出，包括</w:t>
      </w:r>
      <w:r>
        <w:rPr>
          <w:rFonts w:hint="eastAsia" w:ascii="仿宋_GB2312" w:eastAsia="仿宋_GB2312" w:cs="仿宋_GB2312"/>
          <w:i w:val="0"/>
          <w:caps w:val="0"/>
          <w:color w:val="auto"/>
          <w:spacing w:val="0"/>
          <w:sz w:val="31"/>
          <w:szCs w:val="31"/>
          <w:lang w:eastAsia="zh-CN"/>
        </w:rPr>
        <w:t>残疾人康复</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残疾人就业和扶贫</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残疾人事业其他经费</w:t>
      </w:r>
      <w:r>
        <w:rPr>
          <w:rFonts w:hint="eastAsia" w:ascii="仿宋_GB2312" w:hAnsi="宋体" w:eastAsia="仿宋_GB2312" w:cs="仿宋_GB2312"/>
          <w:i w:val="0"/>
          <w:caps w:val="0"/>
          <w:color w:val="auto"/>
          <w:spacing w:val="0"/>
          <w:sz w:val="31"/>
          <w:szCs w:val="31"/>
        </w:rPr>
        <w:t>等。</w:t>
      </w:r>
    </w:p>
    <w:p>
      <w:pPr>
        <w:spacing w:line="596"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二、部门整体支出资金管理及使用情况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1．实际整体收支情况。本单位</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度基本支出</w:t>
      </w:r>
      <w:r>
        <w:rPr>
          <w:rFonts w:hint="eastAsia" w:ascii="仿宋_GB2312" w:eastAsia="仿宋_GB2312" w:cs="仿宋_GB2312"/>
          <w:i w:val="0"/>
          <w:caps w:val="0"/>
          <w:color w:val="auto"/>
          <w:spacing w:val="0"/>
          <w:sz w:val="31"/>
          <w:szCs w:val="31"/>
          <w:lang w:val="en-US" w:eastAsia="zh-CN"/>
        </w:rPr>
        <w:t>201.03</w:t>
      </w:r>
      <w:r>
        <w:rPr>
          <w:rFonts w:hint="eastAsia" w:ascii="仿宋_GB2312" w:hAnsi="宋体" w:eastAsia="仿宋_GB2312" w:cs="仿宋_GB2312"/>
          <w:i w:val="0"/>
          <w:caps w:val="0"/>
          <w:color w:val="auto"/>
          <w:spacing w:val="0"/>
          <w:sz w:val="31"/>
          <w:szCs w:val="31"/>
          <w:lang w:val="en-US" w:eastAsia="zh-CN"/>
        </w:rPr>
        <w:t>万元，其中：人员经费1</w:t>
      </w:r>
      <w:r>
        <w:rPr>
          <w:rFonts w:hint="eastAsia" w:ascii="仿宋_GB2312" w:eastAsia="仿宋_GB2312" w:cs="仿宋_GB2312"/>
          <w:i w:val="0"/>
          <w:caps w:val="0"/>
          <w:color w:val="auto"/>
          <w:spacing w:val="0"/>
          <w:sz w:val="31"/>
          <w:szCs w:val="31"/>
          <w:lang w:val="en-US" w:eastAsia="zh-CN"/>
        </w:rPr>
        <w:t>96.84</w:t>
      </w:r>
      <w:r>
        <w:rPr>
          <w:rFonts w:hint="eastAsia" w:ascii="仿宋_GB2312" w:hAnsi="宋体" w:eastAsia="仿宋_GB2312" w:cs="仿宋_GB2312"/>
          <w:i w:val="0"/>
          <w:caps w:val="0"/>
          <w:color w:val="auto"/>
          <w:spacing w:val="0"/>
          <w:sz w:val="31"/>
          <w:szCs w:val="31"/>
          <w:lang w:val="en-US" w:eastAsia="zh-CN"/>
        </w:rPr>
        <w:t>万元，占9</w:t>
      </w:r>
      <w:r>
        <w:rPr>
          <w:rFonts w:hint="eastAsia" w:ascii="仿宋_GB2312" w:eastAsia="仿宋_GB2312" w:cs="仿宋_GB2312"/>
          <w:i w:val="0"/>
          <w:caps w:val="0"/>
          <w:color w:val="auto"/>
          <w:spacing w:val="0"/>
          <w:sz w:val="31"/>
          <w:szCs w:val="31"/>
          <w:lang w:val="en-US" w:eastAsia="zh-CN"/>
        </w:rPr>
        <w:t>7.9</w:t>
      </w:r>
      <w:r>
        <w:rPr>
          <w:rFonts w:hint="eastAsia" w:ascii="仿宋_GB2312" w:hAnsi="宋体" w:eastAsia="仿宋_GB2312" w:cs="仿宋_GB2312"/>
          <w:i w:val="0"/>
          <w:caps w:val="0"/>
          <w:color w:val="auto"/>
          <w:spacing w:val="0"/>
          <w:sz w:val="31"/>
          <w:szCs w:val="31"/>
          <w:lang w:val="en-US" w:eastAsia="zh-CN"/>
        </w:rPr>
        <w:t>%，主要包括基本工资、津贴补贴、奖金、社会保险缴费、住房公积金、生活补助、其他对个人和家庭的补助等；公用经费</w:t>
      </w:r>
      <w:r>
        <w:rPr>
          <w:rFonts w:hint="eastAsia" w:ascii="仿宋_GB2312" w:eastAsia="仿宋_GB2312" w:cs="仿宋_GB2312"/>
          <w:i w:val="0"/>
          <w:caps w:val="0"/>
          <w:color w:val="auto"/>
          <w:spacing w:val="0"/>
          <w:sz w:val="31"/>
          <w:szCs w:val="31"/>
          <w:lang w:val="en-US" w:eastAsia="zh-CN"/>
        </w:rPr>
        <w:t>4.19</w:t>
      </w:r>
      <w:r>
        <w:rPr>
          <w:rFonts w:hint="eastAsia" w:ascii="仿宋_GB2312" w:hAnsi="宋体" w:eastAsia="仿宋_GB2312" w:cs="仿宋_GB2312"/>
          <w:i w:val="0"/>
          <w:caps w:val="0"/>
          <w:color w:val="auto"/>
          <w:spacing w:val="0"/>
          <w:sz w:val="31"/>
          <w:szCs w:val="31"/>
          <w:lang w:val="en-US" w:eastAsia="zh-CN"/>
        </w:rPr>
        <w:t>万元，占</w:t>
      </w:r>
      <w:r>
        <w:rPr>
          <w:rFonts w:hint="eastAsia" w:ascii="仿宋_GB2312" w:eastAsia="仿宋_GB2312" w:cs="仿宋_GB2312"/>
          <w:i w:val="0"/>
          <w:caps w:val="0"/>
          <w:color w:val="auto"/>
          <w:spacing w:val="0"/>
          <w:sz w:val="31"/>
          <w:szCs w:val="31"/>
          <w:lang w:val="en-US" w:eastAsia="zh-CN"/>
        </w:rPr>
        <w:t>2.1</w:t>
      </w:r>
      <w:r>
        <w:rPr>
          <w:rFonts w:hint="eastAsia" w:ascii="仿宋_GB2312" w:hAnsi="宋体" w:eastAsia="仿宋_GB2312" w:cs="仿宋_GB2312"/>
          <w:i w:val="0"/>
          <w:caps w:val="0"/>
          <w:color w:val="auto"/>
          <w:spacing w:val="0"/>
          <w:sz w:val="31"/>
          <w:szCs w:val="31"/>
          <w:lang w:val="en-US" w:eastAsia="zh-CN"/>
        </w:rPr>
        <w:t>%，主要包括办公费、福利费、工会经费、其他交通费、其他商品和服务支出等。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2．“三公” 经费总支出情况。</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度“三公”经费总支出</w:t>
      </w:r>
      <w:r>
        <w:rPr>
          <w:rFonts w:hint="eastAsia" w:ascii="仿宋_GB2312" w:eastAsia="仿宋_GB2312" w:cs="仿宋_GB2312"/>
          <w:i w:val="0"/>
          <w:caps w:val="0"/>
          <w:color w:val="auto"/>
          <w:spacing w:val="0"/>
          <w:sz w:val="31"/>
          <w:szCs w:val="31"/>
          <w:lang w:val="en-US" w:eastAsia="zh-CN"/>
        </w:rPr>
        <w:t>1.27</w:t>
      </w:r>
      <w:r>
        <w:rPr>
          <w:rFonts w:hint="eastAsia" w:ascii="仿宋_GB2312" w:hAnsi="宋体" w:eastAsia="仿宋_GB2312" w:cs="仿宋_GB2312"/>
          <w:i w:val="0"/>
          <w:caps w:val="0"/>
          <w:color w:val="auto"/>
          <w:spacing w:val="0"/>
          <w:sz w:val="31"/>
          <w:szCs w:val="31"/>
          <w:lang w:val="en-US" w:eastAsia="zh-CN"/>
        </w:rPr>
        <w:t>万元，其中：因公出国（境）费支出0万元，公务接待费支出0.</w:t>
      </w:r>
      <w:r>
        <w:rPr>
          <w:rFonts w:hint="eastAsia" w:ascii="仿宋_GB2312" w:eastAsia="仿宋_GB2312" w:cs="仿宋_GB2312"/>
          <w:i w:val="0"/>
          <w:caps w:val="0"/>
          <w:color w:val="auto"/>
          <w:spacing w:val="0"/>
          <w:sz w:val="31"/>
          <w:szCs w:val="31"/>
          <w:lang w:val="en-US" w:eastAsia="zh-CN"/>
        </w:rPr>
        <w:t>4</w:t>
      </w:r>
      <w:r>
        <w:rPr>
          <w:rFonts w:hint="eastAsia" w:ascii="仿宋_GB2312" w:hAnsi="宋体" w:eastAsia="仿宋_GB2312" w:cs="仿宋_GB2312"/>
          <w:i w:val="0"/>
          <w:caps w:val="0"/>
          <w:color w:val="auto"/>
          <w:spacing w:val="0"/>
          <w:sz w:val="31"/>
          <w:szCs w:val="31"/>
          <w:lang w:val="en-US" w:eastAsia="zh-CN"/>
        </w:rPr>
        <w:t>万元，公务用车购置费及运行维护费支出</w:t>
      </w:r>
      <w:r>
        <w:rPr>
          <w:rFonts w:hint="eastAsia" w:ascii="仿宋_GB2312" w:eastAsia="仿宋_GB2312" w:cs="仿宋_GB2312"/>
          <w:i w:val="0"/>
          <w:caps w:val="0"/>
          <w:color w:val="auto"/>
          <w:spacing w:val="0"/>
          <w:sz w:val="31"/>
          <w:szCs w:val="31"/>
          <w:lang w:val="en-US" w:eastAsia="zh-CN"/>
        </w:rPr>
        <w:t>0.87</w:t>
      </w:r>
      <w:r>
        <w:rPr>
          <w:rFonts w:hint="eastAsia" w:ascii="仿宋_GB2312" w:hAnsi="宋体" w:eastAsia="仿宋_GB2312" w:cs="仿宋_GB2312"/>
          <w:i w:val="0"/>
          <w:caps w:val="0"/>
          <w:color w:val="auto"/>
          <w:spacing w:val="0"/>
          <w:sz w:val="31"/>
          <w:szCs w:val="31"/>
          <w:lang w:val="en-US" w:eastAsia="zh-CN"/>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 3．因公出国（境）费用支出和公务用车（购置）情况。</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无因公出国（境）费用支出和公务用车（购置）支出。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 1.项目资金安排落实、总投入等情况分析。202</w:t>
      </w:r>
      <w:r>
        <w:rPr>
          <w:rFonts w:hint="eastAsia" w:ascii="仿宋_GB2312" w:eastAsia="仿宋_GB2312" w:cs="仿宋_GB2312"/>
          <w:i w:val="0"/>
          <w:caps w:val="0"/>
          <w:color w:val="auto"/>
          <w:spacing w:val="0"/>
          <w:sz w:val="31"/>
          <w:szCs w:val="31"/>
          <w:lang w:val="en-US" w:eastAsia="zh-CN"/>
        </w:rPr>
        <w:t>1年</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2262.22</w:t>
      </w:r>
      <w:r>
        <w:rPr>
          <w:rFonts w:hint="eastAsia" w:ascii="仿宋_GB2312" w:hAnsi="宋体" w:eastAsia="仿宋_GB2312" w:cs="仿宋_GB2312"/>
          <w:i w:val="0"/>
          <w:caps w:val="0"/>
          <w:color w:val="auto"/>
          <w:spacing w:val="0"/>
          <w:sz w:val="31"/>
          <w:szCs w:val="31"/>
        </w:rPr>
        <w:t>万元：财政拨款项目支出</w:t>
      </w:r>
      <w:r>
        <w:rPr>
          <w:rFonts w:hint="eastAsia" w:ascii="仿宋_GB2312" w:eastAsia="仿宋_GB2312" w:cs="仿宋_GB2312"/>
          <w:i w:val="0"/>
          <w:caps w:val="0"/>
          <w:color w:val="auto"/>
          <w:spacing w:val="0"/>
          <w:sz w:val="31"/>
          <w:szCs w:val="31"/>
          <w:lang w:val="en-US" w:eastAsia="zh-CN"/>
        </w:rPr>
        <w:t>1736.17</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62.18</w:t>
      </w:r>
      <w:r>
        <w:rPr>
          <w:rFonts w:hint="eastAsia" w:ascii="仿宋_GB2312" w:hAnsi="宋体" w:eastAsia="仿宋_GB2312" w:cs="仿宋_GB2312"/>
          <w:i w:val="0"/>
          <w:caps w:val="0"/>
          <w:color w:val="auto"/>
          <w:spacing w:val="0"/>
          <w:sz w:val="31"/>
          <w:szCs w:val="31"/>
        </w:rPr>
        <w:t>%；其他收入</w:t>
      </w:r>
      <w:r>
        <w:rPr>
          <w:rFonts w:hint="eastAsia" w:ascii="仿宋_GB2312" w:eastAsia="仿宋_GB2312" w:cs="仿宋_GB2312"/>
          <w:i w:val="0"/>
          <w:caps w:val="0"/>
          <w:color w:val="auto"/>
          <w:spacing w:val="0"/>
          <w:sz w:val="31"/>
          <w:szCs w:val="31"/>
          <w:lang w:val="en-US" w:eastAsia="zh-CN"/>
        </w:rPr>
        <w:t>526.05</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37.82</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2.项目资金实际使用情况分析。</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rPr>
        <w:t>我会加大民生项目投入，残疾人教育就业、康复等工作全面完成。具体情况使用情况如下：残疾人就业和扶贫</w:t>
      </w:r>
      <w:r>
        <w:rPr>
          <w:rFonts w:hint="eastAsia" w:ascii="仿宋_GB2312" w:eastAsia="仿宋_GB2312" w:cs="仿宋_GB2312"/>
          <w:i w:val="0"/>
          <w:caps w:val="0"/>
          <w:color w:val="auto"/>
          <w:spacing w:val="0"/>
          <w:sz w:val="31"/>
          <w:szCs w:val="31"/>
          <w:lang w:val="en-US" w:eastAsia="zh-CN"/>
        </w:rPr>
        <w:t>851.11</w:t>
      </w:r>
      <w:r>
        <w:rPr>
          <w:rFonts w:hint="eastAsia" w:ascii="仿宋_GB2312" w:hAnsi="宋体" w:eastAsia="仿宋_GB2312" w:cs="仿宋_GB2312"/>
          <w:i w:val="0"/>
          <w:caps w:val="0"/>
          <w:color w:val="auto"/>
          <w:spacing w:val="0"/>
          <w:sz w:val="31"/>
          <w:szCs w:val="31"/>
        </w:rPr>
        <w:t>万元，主要是用于残疾人创业扶持、残疾人扶残助学、残疾人托养服务、残疾人危房改造和残疾人培训等开支；残疾人康复</w:t>
      </w:r>
      <w:r>
        <w:rPr>
          <w:rFonts w:hint="eastAsia" w:ascii="仿宋_GB2312" w:eastAsia="仿宋_GB2312" w:cs="仿宋_GB2312"/>
          <w:i w:val="0"/>
          <w:caps w:val="0"/>
          <w:color w:val="auto"/>
          <w:spacing w:val="0"/>
          <w:sz w:val="31"/>
          <w:szCs w:val="31"/>
          <w:lang w:val="en-US" w:eastAsia="zh-CN"/>
        </w:rPr>
        <w:t>752.91</w:t>
      </w:r>
      <w:r>
        <w:rPr>
          <w:rFonts w:hint="eastAsia" w:ascii="仿宋_GB2312" w:hAnsi="宋体" w:eastAsia="仿宋_GB2312" w:cs="仿宋_GB2312"/>
          <w:i w:val="0"/>
          <w:caps w:val="0"/>
          <w:color w:val="auto"/>
          <w:spacing w:val="0"/>
          <w:sz w:val="31"/>
          <w:szCs w:val="31"/>
        </w:rPr>
        <w:t>万元，主要是用于“0-14岁贫困残疾儿童抢救性康复”费用、残疾人假肢装配和残疾人辅助器具免费发放；其他残疾人事业支出</w:t>
      </w:r>
      <w:r>
        <w:rPr>
          <w:rFonts w:hint="eastAsia" w:ascii="仿宋_GB2312" w:eastAsia="仿宋_GB2312" w:cs="仿宋_GB2312"/>
          <w:i w:val="0"/>
          <w:caps w:val="0"/>
          <w:color w:val="auto"/>
          <w:spacing w:val="0"/>
          <w:sz w:val="31"/>
          <w:szCs w:val="31"/>
          <w:lang w:val="en-US" w:eastAsia="zh-CN"/>
        </w:rPr>
        <w:t>455.3</w:t>
      </w:r>
      <w:r>
        <w:rPr>
          <w:rFonts w:hint="eastAsia" w:ascii="仿宋_GB2312" w:hAnsi="宋体" w:eastAsia="仿宋_GB2312" w:cs="仿宋_GB2312"/>
          <w:i w:val="0"/>
          <w:caps w:val="0"/>
          <w:color w:val="auto"/>
          <w:spacing w:val="0"/>
          <w:sz w:val="31"/>
          <w:szCs w:val="31"/>
        </w:rPr>
        <w:t>万元，主要用于残疾人免费参加农村医保、全国助残日活动和残疾人无障碍改造等开支；</w:t>
      </w:r>
      <w:r>
        <w:rPr>
          <w:rFonts w:hint="eastAsia" w:ascii="仿宋_GB2312" w:eastAsia="仿宋_GB2312" w:cs="仿宋_GB2312"/>
          <w:i w:val="0"/>
          <w:caps w:val="0"/>
          <w:color w:val="auto"/>
          <w:spacing w:val="0"/>
          <w:sz w:val="31"/>
          <w:szCs w:val="31"/>
          <w:lang w:eastAsia="zh-CN"/>
        </w:rPr>
        <w:t>行政单位医疗</w:t>
      </w:r>
      <w:r>
        <w:rPr>
          <w:rFonts w:hint="eastAsia" w:ascii="仿宋_GB2312" w:eastAsia="仿宋_GB2312" w:cs="仿宋_GB2312"/>
          <w:i w:val="0"/>
          <w:caps w:val="0"/>
          <w:color w:val="auto"/>
          <w:spacing w:val="0"/>
          <w:sz w:val="31"/>
          <w:szCs w:val="31"/>
          <w:lang w:val="en-US" w:eastAsia="zh-CN"/>
        </w:rPr>
        <w:t>1</w:t>
      </w:r>
      <w:r>
        <w:rPr>
          <w:rFonts w:hint="eastAsia" w:ascii="仿宋_GB2312" w:hAnsi="宋体" w:eastAsia="仿宋_GB2312" w:cs="仿宋_GB2312"/>
          <w:i w:val="0"/>
          <w:caps w:val="0"/>
          <w:color w:val="auto"/>
          <w:spacing w:val="0"/>
          <w:sz w:val="31"/>
          <w:szCs w:val="31"/>
        </w:rPr>
        <w:t>万，用于</w:t>
      </w:r>
      <w:r>
        <w:rPr>
          <w:rFonts w:hint="eastAsia" w:ascii="仿宋_GB2312" w:eastAsia="仿宋_GB2312" w:cs="仿宋_GB2312"/>
          <w:i w:val="0"/>
          <w:caps w:val="0"/>
          <w:color w:val="auto"/>
          <w:spacing w:val="0"/>
          <w:sz w:val="31"/>
          <w:szCs w:val="31"/>
          <w:lang w:eastAsia="zh-CN"/>
        </w:rPr>
        <w:t>干部医药费补助</w:t>
      </w:r>
      <w:r>
        <w:rPr>
          <w:rFonts w:hint="eastAsia" w:ascii="仿宋_GB2312" w:hAnsi="宋体" w:eastAsia="仿宋_GB2312" w:cs="仿宋_GB2312"/>
          <w:i w:val="0"/>
          <w:caps w:val="0"/>
          <w:color w:val="auto"/>
          <w:spacing w:val="0"/>
          <w:sz w:val="31"/>
          <w:szCs w:val="31"/>
        </w:rPr>
        <w:t>支出。彩票公益金支出为</w:t>
      </w:r>
      <w:r>
        <w:rPr>
          <w:rFonts w:hint="eastAsia" w:ascii="仿宋_GB2312" w:eastAsia="仿宋_GB2312" w:cs="仿宋_GB2312"/>
          <w:i w:val="0"/>
          <w:caps w:val="0"/>
          <w:color w:val="auto"/>
          <w:spacing w:val="0"/>
          <w:sz w:val="31"/>
          <w:szCs w:val="31"/>
          <w:lang w:val="en-US" w:eastAsia="zh-CN"/>
        </w:rPr>
        <w:t>265.55</w:t>
      </w:r>
      <w:r>
        <w:rPr>
          <w:rFonts w:hint="eastAsia" w:ascii="仿宋_GB2312" w:hAnsi="宋体" w:eastAsia="仿宋_GB2312" w:cs="仿宋_GB2312"/>
          <w:i w:val="0"/>
          <w:caps w:val="0"/>
          <w:color w:val="auto"/>
          <w:spacing w:val="0"/>
          <w:sz w:val="31"/>
          <w:szCs w:val="31"/>
        </w:rPr>
        <w:t>万元，主要用于残疾儿童康复、辅助器具适配和基本康复服务。</w:t>
      </w:r>
    </w:p>
    <w:p>
      <w:pPr>
        <w:spacing w:line="560" w:lineRule="exact"/>
        <w:ind w:firstLine="640"/>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3.项目资金管理情况分析。</w:t>
      </w:r>
      <w:r>
        <w:rPr>
          <w:rFonts w:hint="eastAsia" w:ascii="仿宋_GB2312" w:hAnsi="Verdana" w:eastAsia="仿宋_GB2312" w:cs="宋体"/>
          <w:color w:val="auto"/>
          <w:kern w:val="0"/>
          <w:sz w:val="32"/>
          <w:szCs w:val="32"/>
        </w:rPr>
        <w:t>由</w:t>
      </w:r>
      <w:r>
        <w:rPr>
          <w:rFonts w:hint="eastAsia" w:ascii="仿宋_GB2312" w:hAnsi="仿宋_GB2312" w:eastAsia="仿宋_GB2312" w:cs="仿宋_GB2312"/>
          <w:color w:val="auto"/>
          <w:sz w:val="32"/>
          <w:szCs w:val="32"/>
        </w:rPr>
        <w:t>各部部提出资金使用计划和支付明细资料，报分管领导审批，经单位主要领导审定后，向财务室申报资金计划</w:t>
      </w:r>
      <w:r>
        <w:rPr>
          <w:rFonts w:hint="eastAsia" w:ascii="仿宋_GB2312" w:hAnsi="Verdana" w:eastAsia="仿宋_GB2312" w:cs="宋体"/>
          <w:color w:val="auto"/>
          <w:kern w:val="0"/>
          <w:sz w:val="32"/>
          <w:szCs w:val="32"/>
        </w:rPr>
        <w:t>。</w:t>
      </w:r>
      <w:r>
        <w:rPr>
          <w:rFonts w:hint="eastAsia" w:ascii="仿宋" w:hAnsi="仿宋" w:eastAsia="仿宋"/>
          <w:color w:val="auto"/>
          <w:sz w:val="32"/>
          <w:szCs w:val="32"/>
        </w:rPr>
        <w:t>属于 “三重一大”范围的项目，按规定程序上会研究。</w:t>
      </w:r>
      <w:r>
        <w:rPr>
          <w:rFonts w:hint="eastAsia" w:ascii="仿宋_GB2312" w:hAnsi="宋体" w:eastAsia="仿宋_GB2312" w:cs="仿宋_GB2312"/>
          <w:i w:val="0"/>
          <w:caps w:val="0"/>
          <w:color w:val="auto"/>
          <w:spacing w:val="0"/>
          <w:sz w:val="31"/>
          <w:szCs w:val="31"/>
        </w:rPr>
        <w:t>根据项目进度，按时将各项资金拨付到位。资金拨付前均在浏阳市政府网站进行了公示，接受监督。残疾儿童康复项目资金、假肢装配和光明关爱项目资金均直接拨付到承担项目的机构，辅助器具项目经费拨付至厂家，残疾人教育资助、残疾儿童康复项目中陪护补助与其他康复救助资金直接通过一卡通发放至残疾人本人或其亲属存折上。残疾人</w:t>
      </w:r>
      <w:r>
        <w:rPr>
          <w:rFonts w:hint="eastAsia" w:ascii="仿宋_GB2312" w:eastAsia="仿宋_GB2312" w:cs="仿宋_GB2312"/>
          <w:i w:val="0"/>
          <w:caps w:val="0"/>
          <w:color w:val="auto"/>
          <w:spacing w:val="0"/>
          <w:sz w:val="31"/>
          <w:szCs w:val="31"/>
          <w:lang w:eastAsia="zh-CN"/>
        </w:rPr>
        <w:t>培训经费、无障碍改造经费</w:t>
      </w:r>
      <w:r>
        <w:rPr>
          <w:rFonts w:hint="eastAsia" w:ascii="仿宋_GB2312" w:hAnsi="宋体" w:eastAsia="仿宋_GB2312" w:cs="仿宋_GB2312"/>
          <w:i w:val="0"/>
          <w:caps w:val="0"/>
          <w:color w:val="auto"/>
          <w:spacing w:val="0"/>
          <w:sz w:val="31"/>
          <w:szCs w:val="31"/>
        </w:rPr>
        <w:t>直接拨付至各乡镇街道财政所，由乡镇组织培训，</w:t>
      </w:r>
      <w:r>
        <w:rPr>
          <w:rFonts w:hint="eastAsia" w:ascii="仿宋_GB2312" w:eastAsia="仿宋_GB2312" w:cs="仿宋_GB2312"/>
          <w:i w:val="0"/>
          <w:caps w:val="0"/>
          <w:color w:val="auto"/>
          <w:spacing w:val="0"/>
          <w:sz w:val="31"/>
          <w:szCs w:val="31"/>
          <w:lang w:eastAsia="zh-CN"/>
        </w:rPr>
        <w:t>实施改造</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ascii="Times New Roman" w:hAnsi="Times New Roman" w:eastAsia="黑体"/>
          <w:color w:val="auto"/>
          <w:kern w:val="0"/>
          <w:sz w:val="32"/>
          <w:szCs w:val="32"/>
        </w:rPr>
      </w:pPr>
      <w:r>
        <w:rPr>
          <w:rFonts w:hint="eastAsia" w:ascii="Times New Roman" w:hAnsi="Times New Roman" w:eastAsia="黑体"/>
          <w:color w:val="auto"/>
          <w:kern w:val="0"/>
          <w:sz w:val="32"/>
          <w:szCs w:val="32"/>
          <w:lang w:eastAsia="zh-CN"/>
        </w:rPr>
        <w:t>三</w:t>
      </w:r>
      <w:r>
        <w:rPr>
          <w:rFonts w:ascii="Times New Roman" w:hAnsi="Times New Roman" w:eastAsia="黑体"/>
          <w:color w:val="auto"/>
          <w:kern w:val="0"/>
          <w:sz w:val="32"/>
          <w:szCs w:val="32"/>
        </w:rPr>
        <w:t>、部门</w:t>
      </w:r>
      <w:r>
        <w:rPr>
          <w:rFonts w:hint="eastAsia" w:ascii="Times New Roman" w:hAnsi="Times New Roman" w:eastAsia="黑体"/>
          <w:color w:val="auto"/>
          <w:kern w:val="0"/>
          <w:sz w:val="32"/>
          <w:szCs w:val="32"/>
          <w:lang w:eastAsia="zh-CN"/>
        </w:rPr>
        <w:t>项目组织实施</w:t>
      </w:r>
      <w:r>
        <w:rPr>
          <w:rFonts w:ascii="Times New Roman" w:hAnsi="Times New Roman" w:eastAsia="黑体"/>
          <w:color w:val="auto"/>
          <w:kern w:val="0"/>
          <w:sz w:val="32"/>
          <w:szCs w:val="32"/>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（一）项目组织情况分析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60" w:firstLineChars="300"/>
        <w:jc w:val="left"/>
        <w:textAlignment w:val="center"/>
        <w:rPr>
          <w:rFonts w:hint="eastAsia" w:ascii="仿宋_GB2312" w:eastAsia="仿宋_GB2312"/>
          <w:color w:val="auto"/>
          <w:sz w:val="32"/>
          <w:szCs w:val="32"/>
          <w:lang w:eastAsia="zh-CN"/>
        </w:rPr>
      </w:pPr>
      <w:r>
        <w:rPr>
          <w:rFonts w:hint="eastAsia" w:ascii="仿宋_GB2312" w:eastAsia="仿宋_GB2312"/>
          <w:color w:val="auto"/>
          <w:sz w:val="32"/>
          <w:szCs w:val="32"/>
        </w:rPr>
        <w:t>1.前期工作</w:t>
      </w:r>
      <w:r>
        <w:rPr>
          <w:rFonts w:hint="eastAsia" w:ascii="仿宋_GB2312" w:eastAsia="仿宋_GB2312"/>
          <w:color w:val="auto"/>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是选定机构。残疾儿童康复项目由长沙市残联统一定点康复机构，残疾儿童监护人根据自身需求，在定点康复机构中选择服务机构。白内障手术项目，我会通过公开招标确定集里医院承担白内障手术项目。居家托养也是通过招标由光彩家政服务公司提供服务。辅具适配服务项目由长沙市残联</w:t>
      </w:r>
      <w:bookmarkStart w:id="0" w:name="_GoBack"/>
      <w:bookmarkEnd w:id="0"/>
      <w:r>
        <w:rPr>
          <w:rFonts w:hint="eastAsia" w:ascii="仿宋_GB2312" w:hAnsi="宋体" w:eastAsia="仿宋_GB2312" w:cs="仿宋_GB2312"/>
          <w:i w:val="0"/>
          <w:caps w:val="0"/>
          <w:color w:val="auto"/>
          <w:spacing w:val="0"/>
          <w:kern w:val="2"/>
          <w:sz w:val="31"/>
          <w:szCs w:val="31"/>
          <w:lang w:val="en-US" w:eastAsia="zh-CN" w:bidi="ar-SA"/>
        </w:rPr>
        <w:t>招标确定三家服务机构，我会选择其中一家作为服务机构。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二是精心组织。为保证残疾人事业各项工作的顺利开展，根据省、市残联文件精神，我市残联下发相关文件至乡镇街道，各乡镇街道残联进行宣传发动。业务部室严格根据项目计划安排开展项目，及时掌握各项目实施情况，解决项目实施过程中遇到的困难和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2.项目实施。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是严格审核，层层把关。扶残助学项目，由申报者带学校已盖章的申报表到乡镇进行初审，乡镇审核资料无误后汇总报送市残联，市残联通过资料审查，确定最终发放名单录入湖南省残疾人教育资助系统并上报长沙市残联，等省残联和长沙市残联拨付资金到位后通过一卡通系统发放。残疾人康复救助补助、危房改造补助等都是严格按照文件要求，层层审核确定名单后，通过一卡通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二是机构评估，确保实效。残疾儿童康复项目和残疾人托养项目，长沙市残联统一安排第三方评估机构对定点服务机构进行评估，定期对服务对象进行电话回访或实地调查。项目完成后，我会根据长沙市残联第三方评估机构评估等级结果拨付经费。无障碍改造也是要求第三方机构或财政评审中心进行审核后才拨付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right="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（二）项目管理情况分析</w:t>
      </w:r>
      <w:r>
        <w:rPr>
          <w:rFonts w:hint="eastAsia" w:ascii="仿宋_GB2312" w:hAnsi="宋体" w:eastAsia="仿宋_GB2312" w:cs="仿宋_GB2312"/>
          <w:i w:val="0"/>
          <w:caps w:val="0"/>
          <w:color w:val="auto"/>
          <w:spacing w:val="0"/>
          <w:kern w:val="2"/>
          <w:sz w:val="31"/>
          <w:szCs w:val="31"/>
          <w:lang w:val="en-US" w:eastAsia="zh-CN" w:bidi="ar-SA"/>
        </w:rPr>
        <w:tab/>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是实地抽查，了解情况。残疾人康复项目、机构托养工作，都是通过指纹打卡进行考勤，我会每月不定期的对辖区内的康复、托养机构进行打卡考勤抽查。对于在其他区县的定点机构，每年不定时进行至少一次实地检查。创业扶持项目，乡镇收到申报者申报后核实资料的真实性并实地进行核查，汇总后交市残联。我市残联汇总所有申报者资料后对营业执照及其他资料进行初步核实，再上户逐一进行实地核查，长沙市残联对部分申报者进行抽查。 无障碍改造项目，深入到改造的残疾人家中，实地查看无障碍设施改造情况，及时掌握工程进度，根据现场条件和残疾人意愿确定具体改造方式，严格要求施工单位按照有关无障碍设计规范实施改造。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二是电话回访，及时整改。我会不定期对康复儿童家长进行电话抽访，发现问题立马责令机构整改。“光明·关爱”视力救助项目实施过程中，我会跟进项目进度，对服务对象进行抽访，及时发现问题，解决问题；项目完成后，我会对所有服务对象进行回访，了解手术后相关情况。辅具发放过程中，我会密切联系乡镇（街道）残联，发现辅具质量问题及时联系辅具厂家进行补发换新；辅具发放完成后，我会要求乡镇、街道残联对所有对象进行回访，及时上报发现的问题，我会协调厂商尽快解决问题。</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黑体" w:hAnsi="宋体" w:eastAsia="黑体" w:cs="黑体"/>
          <w:i w:val="0"/>
          <w:caps w:val="0"/>
          <w:color w:val="auto"/>
          <w:spacing w:val="0"/>
          <w:sz w:val="31"/>
          <w:szCs w:val="31"/>
        </w:rPr>
      </w:pPr>
      <w:r>
        <w:rPr>
          <w:rFonts w:hint="eastAsia" w:ascii="黑体" w:hAnsi="宋体" w:eastAsia="黑体" w:cs="黑体"/>
          <w:i w:val="0"/>
          <w:caps w:val="0"/>
          <w:color w:val="auto"/>
          <w:spacing w:val="0"/>
          <w:sz w:val="31"/>
          <w:szCs w:val="31"/>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Chars="300" w:right="0" w:rightChars="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（一）资产配置、管理、处置情况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本单位加强国有资产管理，资产配置合理，使用和处置环节到位，</w:t>
      </w:r>
      <w:r>
        <w:rPr>
          <w:rFonts w:hint="eastAsia" w:ascii="仿宋_GB2312" w:eastAsia="仿宋_GB2312" w:cs="宋体"/>
          <w:kern w:val="0"/>
          <w:sz w:val="32"/>
          <w:szCs w:val="32"/>
          <w:lang w:val="en-US" w:eastAsia="zh-CN"/>
        </w:rPr>
        <w:t>2021年新增的</w:t>
      </w:r>
      <w:r>
        <w:rPr>
          <w:rFonts w:hint="eastAsia" w:ascii="仿宋_GB2312" w:hAnsi="宋体" w:eastAsia="仿宋_GB2312" w:cs="宋体"/>
          <w:kern w:val="0"/>
          <w:sz w:val="32"/>
          <w:szCs w:val="32"/>
        </w:rPr>
        <w:t>固定资产</w:t>
      </w:r>
      <w:r>
        <w:rPr>
          <w:rFonts w:hint="eastAsia" w:ascii="仿宋_GB2312" w:eastAsia="仿宋_GB2312" w:cs="宋体"/>
          <w:kern w:val="0"/>
          <w:sz w:val="32"/>
          <w:szCs w:val="32"/>
          <w:lang w:eastAsia="zh-CN"/>
        </w:rPr>
        <w:t>及时登记入账</w:t>
      </w:r>
      <w:r>
        <w:rPr>
          <w:rFonts w:hint="eastAsia" w:ascii="仿宋_GB2312" w:hAnsi="宋体" w:eastAsia="仿宋_GB2312" w:cs="宋体"/>
          <w:kern w:val="0"/>
          <w:sz w:val="32"/>
          <w:szCs w:val="32"/>
        </w:rPr>
        <w:t>。</w:t>
      </w:r>
      <w:r>
        <w:rPr>
          <w:rFonts w:hint="eastAsia" w:ascii="仿宋_GB2312" w:hAnsi="宋体" w:eastAsia="仿宋_GB2312" w:cs="仿宋_GB2312"/>
          <w:i w:val="0"/>
          <w:caps w:val="0"/>
          <w:color w:val="auto"/>
          <w:spacing w:val="0"/>
          <w:kern w:val="2"/>
          <w:sz w:val="31"/>
          <w:szCs w:val="31"/>
          <w:lang w:val="en-US" w:eastAsia="zh-CN" w:bidi="ar-SA"/>
        </w:rPr>
        <w:t>将残疾人综合服务中心2-4楼进行出租，充分利用了国有资产。单位资产都进行了编号，做到账、卡、物一致。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31"/>
          <w:szCs w:val="31"/>
        </w:rPr>
        <w:t>（二）资产管理措施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1.健全</w:t>
      </w:r>
      <w:r>
        <w:rPr>
          <w:rFonts w:hint="eastAsia" w:ascii="仿宋_GB2312" w:eastAsia="仿宋_GB2312" w:cs="仿宋_GB2312"/>
          <w:i w:val="0"/>
          <w:caps w:val="0"/>
          <w:color w:val="auto"/>
          <w:spacing w:val="0"/>
          <w:sz w:val="31"/>
          <w:szCs w:val="31"/>
          <w:lang w:eastAsia="zh-CN"/>
        </w:rPr>
        <w:t>管理</w:t>
      </w:r>
      <w:r>
        <w:rPr>
          <w:rFonts w:hint="eastAsia" w:ascii="仿宋_GB2312" w:hAnsi="宋体" w:eastAsia="仿宋_GB2312" w:cs="仿宋_GB2312"/>
          <w:i w:val="0"/>
          <w:caps w:val="0"/>
          <w:color w:val="auto"/>
          <w:spacing w:val="0"/>
          <w:sz w:val="31"/>
          <w:szCs w:val="31"/>
        </w:rPr>
        <w:t>机制。制定国有资产管理制度，分管财经领导为资产管理负责人，办公室负责资产管理，财务室负责资产核算，明确使用人，保障资产安全和完整。</w:t>
      </w:r>
    </w:p>
    <w:p>
      <w:pPr>
        <w:widowControl/>
        <w:spacing w:line="600" w:lineRule="exact"/>
        <w:ind w:firstLine="620" w:firstLineChars="200"/>
        <w:jc w:val="left"/>
        <w:rPr>
          <w:rFonts w:hint="eastAsia" w:ascii="仿宋_GB2312" w:hAnsi="宋体" w:eastAsia="仿宋_GB2312" w:cs="宋体"/>
          <w:color w:val="auto"/>
          <w:kern w:val="0"/>
          <w:sz w:val="32"/>
          <w:szCs w:val="32"/>
        </w:rPr>
      </w:pPr>
      <w:r>
        <w:rPr>
          <w:rFonts w:hint="eastAsia" w:ascii="仿宋_GB2312" w:hAnsi="宋体" w:eastAsia="仿宋_GB2312" w:cs="仿宋_GB2312"/>
          <w:i w:val="0"/>
          <w:caps w:val="0"/>
          <w:color w:val="auto"/>
          <w:spacing w:val="0"/>
          <w:sz w:val="31"/>
          <w:szCs w:val="31"/>
        </w:rPr>
        <w:t>2.做好预算统筹。对资产购置做到年初有预算统筹安排，购置遵照政府采购规定执行，合理配置资产，提高资产使用效益，保障单位正常运转。</w:t>
      </w:r>
      <w:r>
        <w:rPr>
          <w:rFonts w:hint="eastAsia" w:ascii="仿宋_GB2312" w:hAnsi="宋体" w:eastAsia="仿宋_GB2312" w:cs="宋体"/>
          <w:color w:val="auto"/>
          <w:kern w:val="0"/>
          <w:sz w:val="32"/>
          <w:szCs w:val="32"/>
        </w:rPr>
        <w:t>利用</w:t>
      </w:r>
      <w:r>
        <w:rPr>
          <w:rFonts w:hint="eastAsia" w:ascii="仿宋_GB2312" w:hAnsi="宋体" w:eastAsia="仿宋_GB2312" w:cs="宋体"/>
          <w:color w:val="auto"/>
          <w:kern w:val="0"/>
          <w:sz w:val="32"/>
          <w:szCs w:val="32"/>
          <w:lang w:eastAsia="zh-CN"/>
        </w:rPr>
        <w:t>残疾人综合服务中心办公楼</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为残疾儿童康复</w:t>
      </w:r>
      <w:r>
        <w:rPr>
          <w:rFonts w:hint="eastAsia" w:ascii="仿宋_GB2312" w:hAnsi="宋体" w:eastAsia="仿宋_GB2312" w:cs="宋体"/>
          <w:color w:val="auto"/>
          <w:kern w:val="0"/>
          <w:sz w:val="32"/>
          <w:szCs w:val="32"/>
        </w:rPr>
        <w:t>提供服务</w:t>
      </w:r>
      <w:r>
        <w:rPr>
          <w:rFonts w:hint="eastAsia" w:ascii="仿宋_GB2312" w:hAnsi="宋体" w:eastAsia="仿宋_GB2312" w:cs="宋体"/>
          <w:color w:val="auto"/>
          <w:kern w:val="0"/>
          <w:sz w:val="32"/>
          <w:szCs w:val="32"/>
          <w:lang w:eastAsia="zh-CN"/>
        </w:rPr>
        <w:t>场地，</w:t>
      </w:r>
      <w:r>
        <w:rPr>
          <w:rFonts w:hint="eastAsia" w:ascii="仿宋_GB2312" w:hAnsi="宋体" w:eastAsia="仿宋_GB2312" w:cs="宋体"/>
          <w:color w:val="auto"/>
          <w:kern w:val="0"/>
          <w:sz w:val="32"/>
          <w:szCs w:val="32"/>
        </w:rPr>
        <w:t>促进</w:t>
      </w:r>
      <w:r>
        <w:rPr>
          <w:rFonts w:hint="eastAsia" w:ascii="仿宋_GB2312" w:hAnsi="宋体" w:eastAsia="仿宋_GB2312" w:cs="宋体"/>
          <w:color w:val="auto"/>
          <w:kern w:val="0"/>
          <w:sz w:val="32"/>
          <w:szCs w:val="32"/>
          <w:lang w:eastAsia="zh-CN"/>
        </w:rPr>
        <w:t>康复</w:t>
      </w:r>
      <w:r>
        <w:rPr>
          <w:rFonts w:hint="eastAsia" w:ascii="仿宋_GB2312" w:hAnsi="宋体" w:eastAsia="仿宋_GB2312" w:cs="宋体"/>
          <w:color w:val="auto"/>
          <w:kern w:val="0"/>
          <w:sz w:val="32"/>
          <w:szCs w:val="32"/>
        </w:rPr>
        <w:t>民生</w:t>
      </w:r>
      <w:r>
        <w:rPr>
          <w:rFonts w:hint="eastAsia" w:ascii="仿宋_GB2312" w:hAnsi="宋体" w:eastAsia="仿宋_GB2312" w:cs="宋体"/>
          <w:color w:val="auto"/>
          <w:kern w:val="0"/>
          <w:sz w:val="32"/>
          <w:szCs w:val="32"/>
          <w:lang w:eastAsia="zh-CN"/>
        </w:rPr>
        <w:t>实事项目</w:t>
      </w:r>
      <w:r>
        <w:rPr>
          <w:rFonts w:hint="eastAsia" w:ascii="仿宋_GB2312" w:hAnsi="宋体" w:eastAsia="仿宋_GB2312" w:cs="宋体"/>
          <w:color w:val="auto"/>
          <w:kern w:val="0"/>
          <w:sz w:val="32"/>
          <w:szCs w:val="32"/>
        </w:rPr>
        <w:t>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黑体" w:hAnsi="黑体" w:eastAsia="黑体" w:cs="黑体"/>
          <w:i w:val="0"/>
          <w:caps w:val="0"/>
          <w:color w:val="auto"/>
          <w:spacing w:val="0"/>
          <w:sz w:val="31"/>
          <w:szCs w:val="31"/>
        </w:rPr>
        <w:t>五、部门整体支出绩效情况</w:t>
      </w:r>
      <w:r>
        <w:rPr>
          <w:rFonts w:hint="eastAsia" w:ascii="仿宋_GB2312" w:hAnsi="宋体" w:eastAsia="仿宋_GB2312" w:cs="仿宋_GB2312"/>
          <w:i w:val="0"/>
          <w:caps w:val="0"/>
          <w:color w:val="auto"/>
          <w:spacing w:val="0"/>
          <w:sz w:val="31"/>
          <w:szCs w:val="31"/>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一）全力做好康复救助项目。投入940多万元，开展“0-17”岁残疾儿童抢救性康复项目，共为514名残疾儿童提供了康复训练服务，实现了残疾儿童康复救助全覆盖，项目实施规范，训练效果显好率95%以上；投入24.8万元，实施“光明·关爱”工程，组织专业人员深入学校、幼儿园、社区（村）免费对视力患者进行筛查，共为242名视力患者提供了白内障手术、配发了助视器，受助对象有效率100%；依托贝尔耳鼻喉专科医院开展成人助听器适配服务，免费为听障残疾人适配普及型助听器100台；依托中医医院开展“义肢助残”项目，免费为87名下肢截肢者装配假肢90例；开展辅具适配进家庭项目，免费为1390户残疾人家庭配备坐便椅、轮椅等辅助器具1464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二）认真落实社会保障政策。积极配合市民政局做好重度残疾人护理补贴和困难残疾人生活补贴审核工作，受益对象1.6万余人；落实残疾人高中生、大学生和残疾人家庭子女高中生、大学生教育资助政策，共为1869名符合条件对象发放补助392.26万元；全面落实残疾人参保优惠政策，为所有持证残疾人参加城乡居民医疗保险个人部分和1.3万余名重度残疾人参加城乡居民养老保险实行政府代缴；落实危房改造残疾人户补贴政策，为33户残疾人家庭补助资金13.2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三）加大就业创业扶持力度。依托10个乡镇，开展“阳光增收”脱贫项目，为250名残疾人提供了技术培训、生产资料扶持、生产服务指导等；依托乡镇、机构开展残疾人农村实用技术与职业技能培训300余人次；扶持残疾人自主创业55户，共计发放扶持资金55.45万元</w:t>
      </w:r>
      <w:r>
        <w:rPr>
          <w:rFonts w:hint="eastAsia" w:ascii="仿宋_GB2312" w:hAnsi="宋体" w:eastAsia="仿宋_GB2312" w:cs="仿宋_GB2312"/>
          <w:i w:val="0"/>
          <w:caps w:val="0"/>
          <w:color w:val="auto"/>
          <w:spacing w:val="0"/>
          <w:sz w:val="31"/>
          <w:szCs w:val="31"/>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四）积极履行权益维护职责。认真开展领导信访接待日活动，全年共接待来信来访残疾人100余人次；与司法局法律救助中心和浏河律师事务所合作开展残疾人维权服务，共为1500余名残疾人免费提供了法律咨询和法律救助；12345市民热线进一步畅通了残疾人诉求反映渠道，协调解决了16起残疾人关注的事件；加强矛盾排查，及时化解纠纷，全年没有发生越级群访和涉残事件；实施残疾人家庭无障碍改造项目，投入155万余元，对225户残疾人家庭的灶台、卫生间、楼道扶手、入户地面等设施和枨冲镇青草社区进行了无障碍环境改造，获评省、长沙市重点民生实事项目优秀等次；全力推进第三代智能化残疾人证换证工作，已换证3万余人次，残疾人合法权益得到有效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五）持续浓厚扶残助残氛围。推介扶残助残先进典型张恒、基层残疾人工作者胡亿、残疾人自强模范彭志其、万众学雷锋志愿服务大队，获评2021年度长沙市新时代学雷锋扶残助残“善行四十佳”；在全市机关事业单位倡导“一日工资助残”活动，收到捐款</w:t>
      </w:r>
      <w:r>
        <w:rPr>
          <w:rFonts w:hint="eastAsia" w:ascii="仿宋_GB2312" w:hAnsi="宋体" w:eastAsia="仿宋_GB2312" w:cs="仿宋_GB2312"/>
          <w:i w:val="0"/>
          <w:caps w:val="0"/>
          <w:color w:val="auto"/>
          <w:spacing w:val="0"/>
          <w:sz w:val="31"/>
          <w:szCs w:val="31"/>
          <w:lang w:val="en-US" w:eastAsia="zh-CN"/>
        </w:rPr>
        <w:t>4</w:t>
      </w:r>
      <w:r>
        <w:rPr>
          <w:rFonts w:hint="eastAsia" w:ascii="仿宋_GB2312" w:hAnsi="宋体" w:eastAsia="仿宋_GB2312" w:cs="仿宋_GB2312"/>
          <w:i w:val="0"/>
          <w:caps w:val="0"/>
          <w:color w:val="auto"/>
          <w:spacing w:val="0"/>
          <w:sz w:val="31"/>
          <w:szCs w:val="31"/>
        </w:rPr>
        <w:t>0多万元，将有效解决部分贫困残疾人的实际困难。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黑体" w:hAnsi="黑体" w:eastAsia="黑体" w:cs="黑体"/>
          <w:i w:val="0"/>
          <w:caps w:val="0"/>
          <w:color w:val="auto"/>
          <w:spacing w:val="0"/>
          <w:sz w:val="31"/>
          <w:szCs w:val="31"/>
        </w:rPr>
      </w:pPr>
      <w:r>
        <w:rPr>
          <w:rFonts w:hint="eastAsia" w:ascii="黑体" w:hAnsi="黑体" w:eastAsia="黑体" w:cs="黑体"/>
          <w:i w:val="0"/>
          <w:caps w:val="0"/>
          <w:color w:val="auto"/>
          <w:spacing w:val="0"/>
          <w:sz w:val="31"/>
          <w:szCs w:val="31"/>
        </w:rPr>
        <w:t xml:space="preserve">六、存在的主要问题 </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残疾人实事项目的实施，有效改善了残疾人生活环境，提高了残疾人生活质量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让残疾人群体得到了实惠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但因资金有限，制约了项目的全面开展，难以满足残疾人的需求。</w:t>
      </w:r>
    </w:p>
    <w:p>
      <w:pPr>
        <w:spacing w:line="568"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 xml:space="preserve">七、改进措施和有关建议 </w:t>
      </w:r>
    </w:p>
    <w:p>
      <w:pPr>
        <w:tabs>
          <w:tab w:val="left" w:pos="627"/>
        </w:tabs>
        <w:spacing w:line="568"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ab/>
      </w:r>
      <w:r>
        <w:rPr>
          <w:rFonts w:hint="eastAsia" w:ascii="Times New Roman" w:hAnsi="Times New Roman" w:eastAsia="仿宋_GB2312"/>
          <w:color w:val="auto"/>
          <w:sz w:val="32"/>
          <w:szCs w:val="32"/>
          <w:lang w:eastAsia="zh-CN"/>
        </w:rPr>
        <w:t>今后将加强预算管理，进一步规范资金使用，加强资金监管，提升资金使用绩效。</w:t>
      </w:r>
    </w:p>
    <w:p>
      <w:pPr>
        <w:tabs>
          <w:tab w:val="left" w:pos="627"/>
        </w:tabs>
        <w:spacing w:line="568" w:lineRule="exact"/>
        <w:ind w:firstLine="640" w:firstLineChars="200"/>
        <w:rPr>
          <w:rFonts w:hint="eastAsia" w:ascii="Times New Roman" w:hAnsi="Times New Roman" w:eastAsia="黑体"/>
          <w:bCs/>
          <w:color w:val="auto"/>
          <w:sz w:val="32"/>
          <w:szCs w:val="32"/>
          <w:lang w:eastAsia="zh-CN"/>
        </w:rPr>
      </w:pPr>
      <w:r>
        <w:rPr>
          <w:rFonts w:hint="eastAsia" w:ascii="Times New Roman" w:hAnsi="Times New Roman" w:eastAsia="黑体"/>
          <w:bCs/>
          <w:color w:val="auto"/>
          <w:sz w:val="32"/>
          <w:szCs w:val="32"/>
          <w:lang w:eastAsia="zh-CN"/>
        </w:rPr>
        <w:t>八、</w:t>
      </w:r>
      <w:r>
        <w:rPr>
          <w:rFonts w:ascii="Times New Roman" w:hAnsi="Times New Roman" w:eastAsia="黑体"/>
          <w:bCs/>
          <w:color w:val="auto"/>
          <w:sz w:val="32"/>
          <w:szCs w:val="32"/>
        </w:rPr>
        <w:t>单位在资金管理、项目管理等方面的先进经验及做法</w:t>
      </w:r>
      <w:r>
        <w:rPr>
          <w:rFonts w:hint="eastAsia" w:ascii="Times New Roman" w:hAnsi="Times New Roman" w:eastAsia="黑体"/>
          <w:bCs/>
          <w:color w:val="auto"/>
          <w:sz w:val="32"/>
          <w:szCs w:val="32"/>
          <w:lang w:eastAsia="zh-CN"/>
        </w:rPr>
        <w:tab/>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（一）完善机制，规范管理。</w:t>
      </w:r>
      <w:r>
        <w:rPr>
          <w:rFonts w:hint="eastAsia" w:ascii="仿宋" w:hAnsi="仿宋" w:eastAsia="仿宋"/>
          <w:color w:val="auto"/>
          <w:sz w:val="32"/>
          <w:szCs w:val="32"/>
        </w:rPr>
        <w:t>为进一步加强残疾人事业专项资金管理，提高资金使用效益，市残联制定了相关政策措施，对残疾人康复、就业、教育、扶贫、社会保障等实施全覆盖，做到资金预算申请依据充分，资金使用范围明确、管理规范。</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（二）规范使用，严格把关。</w:t>
      </w:r>
      <w:r>
        <w:rPr>
          <w:rFonts w:hint="eastAsia" w:ascii="仿宋" w:hAnsi="仿宋" w:eastAsia="仿宋"/>
          <w:color w:val="auto"/>
          <w:sz w:val="32"/>
          <w:szCs w:val="32"/>
        </w:rPr>
        <w:t>各专项资金严格按照相关文件规定要求，按照统筹安排、专款专用的原则进行科学管理和使用。资金申请程序科学、严密，审核拨付程序阳光、透明。部门负责人、分管领导、主管领导分级负责，逐级把关。属于 “三重一大”范围的项目，一律按规定程序上会研究。</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（三）突出重点，注重绩效。</w:t>
      </w:r>
      <w:r>
        <w:rPr>
          <w:rFonts w:hint="eastAsia" w:ascii="仿宋" w:hAnsi="仿宋" w:eastAsia="仿宋"/>
          <w:color w:val="auto"/>
          <w:sz w:val="32"/>
          <w:szCs w:val="32"/>
        </w:rPr>
        <w:t>重点做好残疾人康复、就业、教育、扶贫、社会保障等领域的资金保障。根据残疾人需求，结合我市经济社会发展状况，逐步加大残疾人事业资金投入，提高残疾人社会保障水平。</w:t>
      </w:r>
    </w:p>
    <w:p>
      <w:pPr>
        <w:tabs>
          <w:tab w:val="left" w:pos="912"/>
        </w:tabs>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九、部门整体支出绩效评价等级</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根据部门整体支出绩效评价参考指标，我单位此次评价</w:t>
      </w:r>
      <w:r>
        <w:rPr>
          <w:rFonts w:hint="eastAsia" w:ascii="Times New Roman" w:hAnsi="Times New Roman" w:eastAsia="仿宋_GB2312"/>
          <w:color w:val="auto"/>
          <w:sz w:val="32"/>
          <w:szCs w:val="32"/>
          <w:lang w:eastAsia="zh-CN"/>
        </w:rPr>
        <w:t>分为</w:t>
      </w:r>
      <w:r>
        <w:rPr>
          <w:rFonts w:hint="eastAsia" w:ascii="Times New Roman" w:hAnsi="Times New Roman" w:eastAsia="仿宋_GB2312"/>
          <w:color w:val="auto"/>
          <w:sz w:val="32"/>
          <w:szCs w:val="32"/>
          <w:lang w:val="en-US" w:eastAsia="zh-CN"/>
        </w:rPr>
        <w:t>96分，</w:t>
      </w:r>
      <w:r>
        <w:rPr>
          <w:rFonts w:hint="eastAsia" w:ascii="Times New Roman" w:hAnsi="Times New Roman" w:eastAsia="仿宋_GB2312"/>
          <w:color w:val="auto"/>
          <w:sz w:val="32"/>
          <w:szCs w:val="32"/>
        </w:rPr>
        <w:t>等级为优，具体评价情况见附件1、2。</w:t>
      </w:r>
    </w:p>
    <w:p>
      <w:pPr>
        <w:spacing w:line="568" w:lineRule="exact"/>
        <w:ind w:firstLine="640" w:firstLineChars="200"/>
        <w:rPr>
          <w:rFonts w:ascii="Times New Roman" w:hAnsi="Times New Roman" w:eastAsia="仿宋_GB2312"/>
          <w:color w:val="auto"/>
          <w:sz w:val="32"/>
          <w:szCs w:val="32"/>
        </w:rPr>
      </w:pPr>
    </w:p>
    <w:p>
      <w:pPr>
        <w:keepNext w:val="0"/>
        <w:keepLines w:val="0"/>
        <w:pageBreakBefore w:val="0"/>
        <w:widowControl w:val="0"/>
        <w:tabs>
          <w:tab w:val="left" w:pos="6477"/>
        </w:tabs>
        <w:kinsoku/>
        <w:wordWrap/>
        <w:overflowPunct/>
        <w:topLinePunct w:val="0"/>
        <w:autoSpaceDE/>
        <w:autoSpaceDN/>
        <w:bidi w:val="0"/>
        <w:adjustRightInd/>
        <w:snapToGrid/>
        <w:spacing w:line="568" w:lineRule="exact"/>
        <w:ind w:firstLine="5440" w:firstLineChars="17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浏阳市残疾人联合会</w:t>
      </w:r>
    </w:p>
    <w:p>
      <w:pPr>
        <w:bidi w:val="0"/>
        <w:rPr>
          <w:rFonts w:ascii="Calibri" w:hAnsi="Calibri" w:eastAsia="宋体" w:cs="Times New Roman"/>
          <w:kern w:val="2"/>
          <w:sz w:val="21"/>
          <w:szCs w:val="21"/>
          <w:lang w:val="en-US" w:eastAsia="zh-CN" w:bidi="ar-SA"/>
        </w:rPr>
      </w:pPr>
    </w:p>
    <w:p>
      <w:pPr>
        <w:tabs>
          <w:tab w:val="left" w:pos="6432"/>
        </w:tabs>
        <w:bidi w:val="0"/>
        <w:ind w:firstLine="5760" w:firstLineChars="1800"/>
        <w:jc w:val="left"/>
        <w:rPr>
          <w:rFonts w:hint="eastAsia"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701" w:right="1531" w:bottom="1418" w:left="1531"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_GB2312" w:hAnsi="仿宋_GB2312" w:eastAsia="仿宋_GB2312" w:cs="仿宋_GB2312"/>
          <w:sz w:val="32"/>
          <w:szCs w:val="32"/>
          <w:lang w:val="en-US" w:eastAsia="zh-CN"/>
        </w:rPr>
        <w:t>2022年4月15日</w:t>
      </w: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1</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w:t>
      </w:r>
      <w:r>
        <w:rPr>
          <w:rFonts w:hint="eastAsia" w:ascii="Times New Roman" w:hAnsi="Times New Roman" w:eastAsia="方正小标宋简体"/>
          <w:color w:val="000000"/>
          <w:kern w:val="0"/>
          <w:sz w:val="44"/>
          <w:szCs w:val="44"/>
        </w:rPr>
        <w:t>自评</w:t>
      </w:r>
      <w:r>
        <w:rPr>
          <w:rFonts w:ascii="Times New Roman" w:hAnsi="Times New Roman" w:eastAsia="方正小标宋简体"/>
          <w:color w:val="000000"/>
          <w:kern w:val="0"/>
          <w:sz w:val="44"/>
          <w:szCs w:val="44"/>
        </w:rPr>
        <w:t>基础数据表</w:t>
      </w:r>
    </w:p>
    <w:p>
      <w:pPr>
        <w:tabs>
          <w:tab w:val="left" w:pos="838"/>
          <w:tab w:val="left" w:pos="4791"/>
          <w:tab w:val="left" w:pos="7071"/>
          <w:tab w:val="left" w:pos="9311"/>
        </w:tabs>
        <w:spacing w:line="36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eastAsia="zh-CN"/>
        </w:rPr>
        <w:tab/>
      </w: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lang w:eastAsia="zh-CN"/>
        </w:rPr>
        <w:t>残联</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11</w:t>
            </w:r>
          </w:p>
        </w:tc>
        <w:tc>
          <w:tcPr>
            <w:tcW w:w="2061"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11</w:t>
            </w:r>
          </w:p>
        </w:tc>
        <w:tc>
          <w:tcPr>
            <w:tcW w:w="1748"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p>
        </w:tc>
        <w:tc>
          <w:tcPr>
            <w:tcW w:w="2061"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lang w:val="en-US" w:eastAsia="zh-CN"/>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3.4</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1.27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1.7</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2061.69</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1548.31</w:t>
            </w:r>
          </w:p>
        </w:tc>
        <w:tc>
          <w:tcPr>
            <w:tcW w:w="1748"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2262.22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2008.23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2207.1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53.46</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55.12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364"/>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14.98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11</w:t>
            </w:r>
          </w:p>
        </w:tc>
        <w:tc>
          <w:tcPr>
            <w:tcW w:w="1748" w:type="dxa"/>
            <w:tcBorders>
              <w:top w:val="single" w:color="auto" w:sz="4" w:space="0"/>
              <w:left w:val="nil"/>
              <w:bottom w:val="single" w:color="auto" w:sz="4" w:space="0"/>
              <w:right w:val="single" w:color="000000" w:sz="4" w:space="0"/>
            </w:tcBorders>
            <w:noWrap w:val="0"/>
            <w:vAlign w:val="center"/>
          </w:tcPr>
          <w:p>
            <w:pPr>
              <w:tabs>
                <w:tab w:val="left" w:pos="364"/>
                <w:tab w:val="left" w:pos="499"/>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4.19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其中：</w:t>
            </w:r>
            <w:r>
              <w:rPr>
                <w:rFonts w:hint="eastAsia" w:ascii="Times New Roman" w:hAnsi="Times New Roman" w:eastAsia="仿宋_GB2312"/>
                <w:color w:val="000000"/>
                <w:kern w:val="0"/>
                <w:sz w:val="24"/>
                <w:lang w:eastAsia="zh-CN"/>
              </w:rPr>
              <w:t>工会</w:t>
            </w:r>
            <w:r>
              <w:rPr>
                <w:rFonts w:ascii="Times New Roman" w:hAnsi="Times New Roman" w:eastAsia="仿宋_GB2312"/>
                <w:color w:val="000000"/>
                <w:kern w:val="0"/>
                <w:sz w:val="24"/>
              </w:rPr>
              <w:t>经费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815"/>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s="Times New Roman"/>
                <w:color w:val="000000"/>
                <w:kern w:val="0"/>
                <w:sz w:val="24"/>
                <w:szCs w:val="21"/>
                <w:lang w:val="en-US" w:eastAsia="zh-CN" w:bidi="ar-SA"/>
              </w:rPr>
              <w:t>5.65</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2.65</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w:t>
            </w:r>
            <w:r>
              <w:rPr>
                <w:rFonts w:hint="eastAsia" w:ascii="Times New Roman" w:hAnsi="Times New Roman" w:eastAsia="仿宋_GB2312"/>
                <w:color w:val="000000"/>
                <w:kern w:val="0"/>
                <w:sz w:val="24"/>
                <w:lang w:eastAsia="zh-CN"/>
              </w:rPr>
              <w:t>福利费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0.74</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0.87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0.14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其他交通</w:t>
            </w:r>
            <w:r>
              <w:rPr>
                <w:rFonts w:ascii="Times New Roman" w:hAnsi="Times New Roman" w:eastAsia="仿宋_GB2312"/>
                <w:color w:val="000000"/>
                <w:kern w:val="0"/>
                <w:sz w:val="24"/>
              </w:rPr>
              <w:t>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274"/>
                <w:tab w:val="center" w:pos="946"/>
              </w:tabs>
              <w:spacing w:line="320" w:lineRule="exact"/>
              <w:ind w:firstLine="480" w:firstLineChars="200"/>
              <w:jc w:val="left"/>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7.93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4.82</w:t>
            </w:r>
          </w:p>
        </w:tc>
        <w:tc>
          <w:tcPr>
            <w:tcW w:w="1748" w:type="dxa"/>
            <w:tcBorders>
              <w:top w:val="single" w:color="auto" w:sz="4" w:space="0"/>
              <w:left w:val="nil"/>
              <w:bottom w:val="single" w:color="auto" w:sz="4" w:space="0"/>
              <w:right w:val="single" w:color="000000" w:sz="4" w:space="0"/>
            </w:tcBorders>
            <w:noWrap w:val="0"/>
            <w:vAlign w:val="center"/>
          </w:tcPr>
          <w:p>
            <w:pPr>
              <w:tabs>
                <w:tab w:val="left" w:pos="274"/>
                <w:tab w:val="left" w:pos="424"/>
              </w:tabs>
              <w:spacing w:line="320" w:lineRule="exact"/>
              <w:ind w:firstLine="480" w:firstLineChars="200"/>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其他商品和服务支出</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0.66</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2.65</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60</w:t>
            </w: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52.01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1730.19</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 w:val="center" w:pos="826"/>
                <w:tab w:val="right" w:pos="1532"/>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2563.25</w:t>
            </w:r>
          </w:p>
        </w:tc>
      </w:tr>
      <w:tr>
        <w:tblPrEx>
          <w:tblCellMar>
            <w:top w:w="0" w:type="dxa"/>
            <w:left w:w="108" w:type="dxa"/>
            <w:bottom w:w="0" w:type="dxa"/>
            <w:right w:w="108" w:type="dxa"/>
          </w:tblCellMar>
        </w:tblPrEx>
        <w:trPr>
          <w:trHeight w:val="1693"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eastAsia="仿宋_GB2312"/>
                <w:color w:val="000000"/>
                <w:kern w:val="0"/>
                <w:sz w:val="24"/>
              </w:rPr>
              <w:t>健全了相关制定，严格按照要求执行</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w:t>
      </w:r>
      <w:r>
        <w:rPr>
          <w:rFonts w:hint="eastAsia" w:ascii="Times New Roman" w:hAnsi="Times New Roman" w:eastAsia="仿宋_GB2312"/>
          <w:color w:val="000000"/>
          <w:kern w:val="0"/>
          <w:sz w:val="24"/>
        </w:rPr>
        <w:t>公共</w:t>
      </w:r>
      <w:r>
        <w:rPr>
          <w:rFonts w:ascii="Times New Roman" w:hAnsi="Times New Roman" w:eastAsia="仿宋_GB2312"/>
          <w:color w:val="000000"/>
          <w:kern w:val="0"/>
          <w:sz w:val="24"/>
        </w:rPr>
        <w:t>专项资金和基本支出以外的所有项目情况，包括业务工作项目、运行维护项目等；“公用经费”填报基本支出中的一般商品和服务支出。</w:t>
      </w:r>
    </w:p>
    <w:p>
      <w:pPr>
        <w:adjustRightInd w:val="0"/>
        <w:snapToGrid w:val="0"/>
        <w:spacing w:line="600" w:lineRule="exact"/>
        <w:rPr>
          <w:rFonts w:eastAsia="黑体"/>
          <w:sz w:val="32"/>
          <w:szCs w:val="32"/>
        </w:rPr>
      </w:pPr>
    </w:p>
    <w:p>
      <w:pPr>
        <w:adjustRightInd w:val="0"/>
        <w:snapToGrid w:val="0"/>
        <w:spacing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adjustRightInd w:val="0"/>
        <w:snapToGrid w:val="0"/>
        <w:spacing w:line="60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lang w:eastAsia="zh-CN"/>
        </w:rPr>
        <w:t>2021年</w:t>
      </w:r>
      <w:r>
        <w:rPr>
          <w:rFonts w:ascii="Times New Roman" w:hAnsi="Times New Roman" w:eastAsia="方正小标宋简体"/>
          <w:color w:val="000000"/>
          <w:kern w:val="0"/>
          <w:sz w:val="44"/>
          <w:szCs w:val="44"/>
        </w:rPr>
        <w:t>部门整体支出绩效自评表</w:t>
      </w:r>
    </w:p>
    <w:tbl>
      <w:tblPr>
        <w:tblStyle w:val="5"/>
        <w:tblW w:w="937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71"/>
        <w:gridCol w:w="580"/>
        <w:gridCol w:w="2112"/>
        <w:gridCol w:w="1760"/>
        <w:gridCol w:w="1252"/>
        <w:gridCol w:w="227"/>
        <w:gridCol w:w="878"/>
        <w:gridCol w:w="560"/>
        <w:gridCol w:w="9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1651"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部门（单位）名称</w:t>
            </w:r>
          </w:p>
        </w:tc>
        <w:tc>
          <w:tcPr>
            <w:tcW w:w="7728" w:type="dxa"/>
            <w:gridSpan w:val="7"/>
            <w:noWrap w:val="0"/>
            <w:tcMar>
              <w:top w:w="15" w:type="dxa"/>
              <w:left w:w="15" w:type="dxa"/>
              <w:bottom w:w="0" w:type="dxa"/>
              <w:right w:w="15" w:type="dxa"/>
            </w:tcMar>
            <w:vAlign w:val="center"/>
          </w:tcPr>
          <w:p>
            <w:pPr>
              <w:tabs>
                <w:tab w:val="left" w:pos="960"/>
                <w:tab w:val="center" w:pos="4084"/>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eastAsia="zh-CN"/>
              </w:rPr>
              <w:t>残联</w:t>
            </w:r>
            <w:r>
              <w:rPr>
                <w:rFonts w:hint="eastAsia"/>
                <w:color w:val="000000"/>
                <w:sz w:val="18"/>
                <w:szCs w:val="18"/>
                <w:lang w:eastAsia="zh-CN"/>
              </w:rPr>
              <w:tab/>
            </w: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整体支出规模</w:t>
            </w: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全年预算数</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全年执行数</w:t>
            </w:r>
          </w:p>
        </w:tc>
        <w:tc>
          <w:tcPr>
            <w:tcW w:w="939"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资金来源：（1）财政拨款</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1730.19</w:t>
            </w:r>
            <w:r>
              <w:rPr>
                <w:color w:val="000000"/>
                <w:sz w:val="18"/>
                <w:szCs w:val="18"/>
              </w:rPr>
              <w:t>　</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2037.2</w:t>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ind w:firstLine="180" w:firstLineChars="100"/>
              <w:rPr>
                <w:rFonts w:hint="default" w:eastAsia="宋体"/>
                <w:color w:val="000000"/>
                <w:sz w:val="18"/>
                <w:szCs w:val="18"/>
                <w:lang w:val="en-US" w:eastAsia="zh-CN"/>
              </w:rPr>
            </w:pPr>
            <w:r>
              <w:rPr>
                <w:rFonts w:hint="eastAsia"/>
                <w:color w:val="000000"/>
                <w:sz w:val="18"/>
                <w:szCs w:val="18"/>
                <w:lang w:val="en-US" w:eastAsia="zh-CN"/>
              </w:rPr>
              <w:t>117.74%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（2）其他资金</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1665" w:type="dxa"/>
            <w:gridSpan w:val="3"/>
            <w:noWrap w:val="0"/>
            <w:tcMar>
              <w:top w:w="15" w:type="dxa"/>
              <w:left w:w="15" w:type="dxa"/>
              <w:bottom w:w="0" w:type="dxa"/>
              <w:right w:w="15" w:type="dxa"/>
            </w:tcMar>
            <w:vAlign w:val="center"/>
          </w:tcPr>
          <w:p>
            <w:pPr>
              <w:tabs>
                <w:tab w:val="left" w:pos="540"/>
                <w:tab w:val="center" w:pos="997"/>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val="en-US" w:eastAsia="zh-CN"/>
              </w:rPr>
              <w:t>526.05</w:t>
            </w:r>
            <w:r>
              <w:rPr>
                <w:rFonts w:hint="eastAsia"/>
                <w:color w:val="000000"/>
                <w:sz w:val="18"/>
                <w:szCs w:val="18"/>
                <w:lang w:eastAsia="zh-CN"/>
              </w:rPr>
              <w:tab/>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资金结构：（1）基本支出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181.88</w:t>
            </w:r>
          </w:p>
        </w:tc>
        <w:tc>
          <w:tcPr>
            <w:tcW w:w="1665" w:type="dxa"/>
            <w:gridSpan w:val="3"/>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201.03</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110.53%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（2）项目支出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1548.31</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2262.22</w:t>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146.11%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年度总</w:t>
            </w:r>
          </w:p>
          <w:p>
            <w:pPr>
              <w:spacing w:line="250" w:lineRule="exact"/>
              <w:jc w:val="center"/>
              <w:rPr>
                <w:color w:val="000000"/>
                <w:sz w:val="18"/>
                <w:szCs w:val="18"/>
              </w:rPr>
            </w:pPr>
            <w:r>
              <w:rPr>
                <w:color w:val="000000"/>
                <w:sz w:val="18"/>
                <w:szCs w:val="18"/>
              </w:rPr>
              <w:t>体目标</w:t>
            </w: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年初设定目标</w:t>
            </w:r>
          </w:p>
        </w:tc>
        <w:tc>
          <w:tcPr>
            <w:tcW w:w="3856" w:type="dxa"/>
            <w:gridSpan w:val="5"/>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856" w:type="dxa"/>
            <w:gridSpan w:val="5"/>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全面完成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9379" w:type="dxa"/>
            <w:gridSpan w:val="9"/>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一级指标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二级指标</w:t>
            </w:r>
          </w:p>
        </w:tc>
        <w:tc>
          <w:tcPr>
            <w:tcW w:w="1760"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三级指标</w:t>
            </w:r>
          </w:p>
        </w:tc>
        <w:tc>
          <w:tcPr>
            <w:tcW w:w="1479"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年度指标值</w:t>
            </w:r>
          </w:p>
        </w:tc>
        <w:tc>
          <w:tcPr>
            <w:tcW w:w="878"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w:t>
            </w:r>
            <w:r>
              <w:rPr>
                <w:rFonts w:hint="eastAsia"/>
                <w:color w:val="000000"/>
                <w:sz w:val="18"/>
                <w:szCs w:val="18"/>
              </w:rPr>
              <w:t xml:space="preserve">  </w:t>
            </w:r>
            <w:r>
              <w:rPr>
                <w:color w:val="000000"/>
                <w:sz w:val="18"/>
                <w:szCs w:val="18"/>
              </w:rPr>
              <w:t>年</w:t>
            </w:r>
          </w:p>
          <w:p>
            <w:pPr>
              <w:spacing w:line="250" w:lineRule="exact"/>
              <w:jc w:val="center"/>
              <w:rPr>
                <w:color w:val="000000"/>
                <w:sz w:val="18"/>
                <w:szCs w:val="18"/>
              </w:rPr>
            </w:pPr>
            <w:r>
              <w:rPr>
                <w:color w:val="000000"/>
                <w:sz w:val="18"/>
                <w:szCs w:val="18"/>
              </w:rPr>
              <w:t>完成值</w:t>
            </w:r>
          </w:p>
        </w:tc>
        <w:tc>
          <w:tcPr>
            <w:tcW w:w="560" w:type="dxa"/>
            <w:vMerge w:val="restart"/>
            <w:noWrap w:val="0"/>
            <w:vAlign w:val="center"/>
          </w:tcPr>
          <w:p>
            <w:pPr>
              <w:spacing w:line="250" w:lineRule="exact"/>
              <w:jc w:val="center"/>
              <w:rPr>
                <w:color w:val="000000"/>
                <w:sz w:val="18"/>
                <w:szCs w:val="18"/>
              </w:rPr>
            </w:pPr>
            <w:r>
              <w:rPr>
                <w:color w:val="000000"/>
                <w:sz w:val="18"/>
                <w:szCs w:val="18"/>
              </w:rPr>
              <w:t>自评</w:t>
            </w:r>
          </w:p>
          <w:p>
            <w:pPr>
              <w:spacing w:line="250" w:lineRule="exact"/>
              <w:jc w:val="center"/>
              <w:rPr>
                <w:color w:val="000000"/>
                <w:sz w:val="18"/>
                <w:szCs w:val="18"/>
              </w:rPr>
            </w:pPr>
            <w:r>
              <w:rPr>
                <w:color w:val="000000"/>
                <w:sz w:val="18"/>
                <w:szCs w:val="18"/>
              </w:rPr>
              <w:t>得分</w:t>
            </w:r>
          </w:p>
        </w:tc>
        <w:tc>
          <w:tcPr>
            <w:tcW w:w="939"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偏差及</w:t>
            </w:r>
          </w:p>
          <w:p>
            <w:pPr>
              <w:spacing w:line="250" w:lineRule="exact"/>
              <w:jc w:val="center"/>
              <w:rPr>
                <w:color w:val="000000"/>
                <w:sz w:val="18"/>
                <w:szCs w:val="18"/>
              </w:rPr>
            </w:pPr>
            <w:r>
              <w:rPr>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3"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vMerge w:val="continue"/>
            <w:noWrap w:val="0"/>
            <w:vAlign w:val="center"/>
          </w:tcPr>
          <w:p>
            <w:pPr>
              <w:spacing w:line="250" w:lineRule="exact"/>
              <w:rPr>
                <w:color w:val="000000"/>
                <w:sz w:val="18"/>
                <w:szCs w:val="18"/>
              </w:rPr>
            </w:pPr>
          </w:p>
        </w:tc>
        <w:tc>
          <w:tcPr>
            <w:tcW w:w="1479" w:type="dxa"/>
            <w:gridSpan w:val="2"/>
            <w:vMerge w:val="continue"/>
            <w:noWrap w:val="0"/>
            <w:vAlign w:val="center"/>
          </w:tcPr>
          <w:p>
            <w:pPr>
              <w:spacing w:line="250" w:lineRule="exact"/>
              <w:rPr>
                <w:color w:val="000000"/>
                <w:sz w:val="18"/>
                <w:szCs w:val="18"/>
              </w:rPr>
            </w:pPr>
          </w:p>
        </w:tc>
        <w:tc>
          <w:tcPr>
            <w:tcW w:w="878" w:type="dxa"/>
            <w:vMerge w:val="continue"/>
            <w:noWrap w:val="0"/>
            <w:vAlign w:val="center"/>
          </w:tcPr>
          <w:p>
            <w:pPr>
              <w:spacing w:line="250" w:lineRule="exact"/>
              <w:rPr>
                <w:color w:val="000000"/>
                <w:sz w:val="18"/>
                <w:szCs w:val="18"/>
              </w:rPr>
            </w:pPr>
          </w:p>
        </w:tc>
        <w:tc>
          <w:tcPr>
            <w:tcW w:w="560" w:type="dxa"/>
            <w:vMerge w:val="continue"/>
            <w:noWrap w:val="0"/>
            <w:vAlign w:val="center"/>
          </w:tcPr>
          <w:p>
            <w:pPr>
              <w:spacing w:line="250" w:lineRule="exact"/>
              <w:rPr>
                <w:color w:val="000000"/>
                <w:sz w:val="18"/>
                <w:szCs w:val="18"/>
              </w:rPr>
            </w:pPr>
          </w:p>
        </w:tc>
        <w:tc>
          <w:tcPr>
            <w:tcW w:w="939" w:type="dxa"/>
            <w:vMerge w:val="continue"/>
            <w:noWrap w:val="0"/>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预算执行管理</w:t>
            </w:r>
            <w:r>
              <w:rPr>
                <w:rFonts w:hint="eastAsia"/>
                <w:color w:val="000000"/>
                <w:sz w:val="18"/>
                <w:szCs w:val="18"/>
              </w:rPr>
              <w:t>（4）</w:t>
            </w:r>
          </w:p>
        </w:tc>
        <w:tc>
          <w:tcPr>
            <w:tcW w:w="3239" w:type="dxa"/>
            <w:gridSpan w:val="3"/>
            <w:vMerge w:val="restart"/>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2</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部门结转结余资金管理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预算绩效管理</w:t>
            </w:r>
            <w:r>
              <w:rPr>
                <w:rFonts w:hint="eastAsia"/>
                <w:color w:val="000000"/>
                <w:sz w:val="18"/>
                <w:szCs w:val="18"/>
              </w:rPr>
              <w:t>（5）</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预决算信息公开管理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财政监督管理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政府采购管理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资产管理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产出指标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40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数量指标</w:t>
            </w:r>
            <w:r>
              <w:rPr>
                <w:rFonts w:hint="eastAsia"/>
                <w:color w:val="000000"/>
                <w:sz w:val="18"/>
                <w:szCs w:val="18"/>
              </w:rPr>
              <w:t>（</w:t>
            </w:r>
            <w:r>
              <w:rPr>
                <w:rFonts w:hint="eastAsia"/>
                <w:color w:val="000000"/>
                <w:sz w:val="18"/>
                <w:szCs w:val="18"/>
                <w:lang w:val="en-US" w:eastAsia="zh-CN"/>
              </w:rPr>
              <w:t>20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残疾儿童康复人数</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360</w:t>
            </w:r>
          </w:p>
        </w:tc>
        <w:tc>
          <w:tcPr>
            <w:tcW w:w="878" w:type="dxa"/>
            <w:noWrap w:val="0"/>
            <w:tcMar>
              <w:top w:w="15" w:type="dxa"/>
              <w:left w:w="15" w:type="dxa"/>
              <w:bottom w:w="0" w:type="dxa"/>
              <w:right w:w="15" w:type="dxa"/>
            </w:tcMar>
            <w:vAlign w:val="center"/>
          </w:tcPr>
          <w:p>
            <w:pPr>
              <w:tabs>
                <w:tab w:val="left" w:pos="40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445</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7</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残疾人培训</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340</w:t>
            </w:r>
          </w:p>
        </w:tc>
        <w:tc>
          <w:tcPr>
            <w:tcW w:w="878" w:type="dxa"/>
            <w:noWrap w:val="0"/>
            <w:tcMar>
              <w:top w:w="15" w:type="dxa"/>
              <w:left w:w="15" w:type="dxa"/>
              <w:bottom w:w="0" w:type="dxa"/>
              <w:right w:w="15" w:type="dxa"/>
            </w:tcMar>
            <w:vAlign w:val="center"/>
          </w:tcPr>
          <w:p>
            <w:pPr>
              <w:tabs>
                <w:tab w:val="center" w:pos="435"/>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340</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rPr>
              <w:t>托养服务人</w:t>
            </w:r>
            <w:r>
              <w:rPr>
                <w:rFonts w:hint="eastAsia"/>
                <w:color w:val="000000"/>
                <w:sz w:val="18"/>
                <w:szCs w:val="18"/>
                <w:lang w:eastAsia="zh-CN"/>
              </w:rPr>
              <w:t>数</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280</w:t>
            </w:r>
            <w:r>
              <w:rPr>
                <w:color w:val="000000"/>
                <w:sz w:val="18"/>
                <w:szCs w:val="18"/>
              </w:rPr>
              <w:t>　</w:t>
            </w:r>
          </w:p>
        </w:tc>
        <w:tc>
          <w:tcPr>
            <w:tcW w:w="878" w:type="dxa"/>
            <w:noWrap w:val="0"/>
            <w:tcMar>
              <w:top w:w="15" w:type="dxa"/>
              <w:left w:w="15" w:type="dxa"/>
              <w:bottom w:w="0" w:type="dxa"/>
              <w:right w:w="15" w:type="dxa"/>
            </w:tcMar>
            <w:vAlign w:val="center"/>
          </w:tcPr>
          <w:p>
            <w:pPr>
              <w:tabs>
                <w:tab w:val="left" w:pos="301"/>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286</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质量指标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康复训练有效率</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85%</w:t>
            </w:r>
          </w:p>
        </w:tc>
        <w:tc>
          <w:tcPr>
            <w:tcW w:w="878" w:type="dxa"/>
            <w:noWrap w:val="0"/>
            <w:tcMar>
              <w:top w:w="15" w:type="dxa"/>
              <w:left w:w="15" w:type="dxa"/>
              <w:bottom w:w="0" w:type="dxa"/>
              <w:right w:w="15" w:type="dxa"/>
            </w:tcMar>
            <w:vAlign w:val="center"/>
          </w:tcPr>
          <w:p>
            <w:pPr>
              <w:tabs>
                <w:tab w:val="left" w:pos="45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95%</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kern w:val="0"/>
                <w:sz w:val="18"/>
                <w:szCs w:val="18"/>
                <w:lang w:eastAsia="zh-CN"/>
              </w:rPr>
              <w:t>辅助器具合格率</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95%</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98%</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时效指标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无障碍改造完成时间</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10月底</w:t>
            </w:r>
          </w:p>
        </w:tc>
        <w:tc>
          <w:tcPr>
            <w:tcW w:w="878" w:type="dxa"/>
            <w:noWrap w:val="0"/>
            <w:tcMar>
              <w:top w:w="15" w:type="dxa"/>
              <w:left w:w="15" w:type="dxa"/>
              <w:bottom w:w="0" w:type="dxa"/>
              <w:right w:w="15" w:type="dxa"/>
            </w:tcMar>
            <w:vAlign w:val="center"/>
          </w:tcPr>
          <w:p>
            <w:pPr>
              <w:tabs>
                <w:tab w:val="left" w:pos="316"/>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助学金按时发放</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11月底</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tcBorders>
              <w:bottom w:val="single" w:color="auto" w:sz="6" w:space="0"/>
            </w:tcBorders>
            <w:noWrap w:val="0"/>
            <w:vAlign w:val="center"/>
          </w:tcPr>
          <w:p>
            <w:pPr>
              <w:spacing w:line="250" w:lineRule="exact"/>
              <w:rPr>
                <w:color w:val="000000"/>
                <w:sz w:val="18"/>
                <w:szCs w:val="18"/>
              </w:rPr>
            </w:pPr>
          </w:p>
        </w:tc>
        <w:tc>
          <w:tcPr>
            <w:tcW w:w="580" w:type="dxa"/>
            <w:vMerge w:val="continue"/>
            <w:tcBorders>
              <w:bottom w:val="single" w:color="auto" w:sz="6" w:space="0"/>
            </w:tcBorders>
            <w:noWrap w:val="0"/>
            <w:vAlign w:val="center"/>
          </w:tcPr>
          <w:p>
            <w:pPr>
              <w:spacing w:line="250" w:lineRule="exact"/>
              <w:rPr>
                <w:color w:val="000000"/>
                <w:sz w:val="18"/>
                <w:szCs w:val="18"/>
              </w:rPr>
            </w:pPr>
          </w:p>
        </w:tc>
        <w:tc>
          <w:tcPr>
            <w:tcW w:w="2112" w:type="dxa"/>
            <w:vMerge w:val="continue"/>
            <w:tcBorders>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p>
        </w:tc>
        <w:tc>
          <w:tcPr>
            <w:tcW w:w="1760" w:type="dxa"/>
            <w:noWrap w:val="0"/>
            <w:tcMar>
              <w:top w:w="15" w:type="dxa"/>
              <w:left w:w="15" w:type="dxa"/>
              <w:bottom w:w="0" w:type="dxa"/>
              <w:right w:w="15" w:type="dxa"/>
            </w:tcMar>
            <w:vAlign w:val="center"/>
          </w:tcPr>
          <w:p>
            <w:pPr>
              <w:spacing w:line="250" w:lineRule="exact"/>
              <w:jc w:val="both"/>
              <w:rPr>
                <w:rFonts w:hint="default" w:eastAsia="宋体"/>
                <w:color w:val="000000"/>
                <w:kern w:val="0"/>
                <w:sz w:val="18"/>
                <w:szCs w:val="18"/>
                <w:lang w:val="en-US" w:eastAsia="zh-CN"/>
              </w:rPr>
            </w:pPr>
            <w:r>
              <w:rPr>
                <w:rFonts w:hint="eastAsia"/>
                <w:color w:val="000000"/>
                <w:kern w:val="0"/>
                <w:sz w:val="18"/>
                <w:szCs w:val="18"/>
                <w:lang w:val="en-US" w:eastAsia="zh-CN"/>
              </w:rPr>
              <w:t>康复补助按时发放</w:t>
            </w:r>
          </w:p>
        </w:tc>
        <w:tc>
          <w:tcPr>
            <w:tcW w:w="1479"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12月底</w:t>
            </w:r>
          </w:p>
        </w:tc>
        <w:tc>
          <w:tcPr>
            <w:tcW w:w="878" w:type="dxa"/>
            <w:noWrap w:val="0"/>
            <w:tcMar>
              <w:top w:w="15" w:type="dxa"/>
              <w:left w:w="15" w:type="dxa"/>
              <w:bottom w:w="0" w:type="dxa"/>
              <w:right w:w="15" w:type="dxa"/>
            </w:tcMar>
            <w:vAlign w:val="center"/>
          </w:tcPr>
          <w:p>
            <w:pPr>
              <w:tabs>
                <w:tab w:val="center" w:pos="437"/>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tcBorders>
              <w:top w:val="single" w:color="auto" w:sz="6" w:space="0"/>
              <w:left w:val="single" w:color="auto" w:sz="6" w:space="0"/>
              <w:right w:val="single" w:color="auto" w:sz="6" w:space="0"/>
            </w:tcBorders>
            <w:noWrap w:val="0"/>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效益指标</w:t>
            </w:r>
          </w:p>
        </w:tc>
        <w:tc>
          <w:tcPr>
            <w:tcW w:w="580" w:type="dxa"/>
            <w:vMerge w:val="restart"/>
            <w:tcBorders>
              <w:top w:val="single" w:color="auto" w:sz="6" w:space="0"/>
              <w:left w:val="single" w:color="auto" w:sz="6" w:space="0"/>
            </w:tcBorders>
            <w:noWrap w:val="0"/>
            <w:vAlign w:val="center"/>
          </w:tcPr>
          <w:p>
            <w:pPr>
              <w:tabs>
                <w:tab w:val="left" w:pos="217"/>
              </w:tabs>
              <w:spacing w:line="250" w:lineRule="exact"/>
              <w:jc w:val="left"/>
              <w:rPr>
                <w:rFonts w:hint="default" w:eastAsia="宋体"/>
                <w:color w:val="000000"/>
                <w:sz w:val="18"/>
                <w:szCs w:val="18"/>
                <w:lang w:val="en-US" w:eastAsia="zh-CN"/>
              </w:rPr>
            </w:pPr>
            <w:r>
              <w:rPr>
                <w:rFonts w:hint="eastAsia"/>
                <w:color w:val="000000"/>
                <w:sz w:val="18"/>
                <w:szCs w:val="18"/>
                <w:lang w:eastAsia="zh-CN"/>
              </w:rPr>
              <w:tab/>
            </w:r>
            <w:r>
              <w:rPr>
                <w:rFonts w:hint="eastAsia"/>
                <w:color w:val="000000"/>
                <w:sz w:val="18"/>
                <w:szCs w:val="18"/>
                <w:lang w:val="en-US" w:eastAsia="zh-CN"/>
              </w:rPr>
              <w:t>30</w:t>
            </w:r>
          </w:p>
        </w:tc>
        <w:tc>
          <w:tcPr>
            <w:tcW w:w="2112" w:type="dxa"/>
            <w:vMerge w:val="restart"/>
            <w:tcBorders>
              <w:top w:val="single" w:color="auto" w:sz="4" w:space="0"/>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社会效益指标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pPr>
            <w:r>
              <w:rPr>
                <w:rFonts w:hint="eastAsia"/>
                <w:color w:val="000000"/>
                <w:sz w:val="18"/>
                <w:szCs w:val="18"/>
                <w:lang w:eastAsia="zh-CN"/>
              </w:rPr>
              <w:t>残疾人就业能力提高</w:t>
            </w:r>
          </w:p>
        </w:tc>
        <w:tc>
          <w:tcPr>
            <w:tcW w:w="1479" w:type="dxa"/>
            <w:gridSpan w:val="2"/>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有所提高</w:t>
            </w:r>
          </w:p>
        </w:tc>
        <w:tc>
          <w:tcPr>
            <w:tcW w:w="878" w:type="dxa"/>
            <w:noWrap w:val="0"/>
            <w:tcMar>
              <w:top w:w="15" w:type="dxa"/>
              <w:left w:w="15" w:type="dxa"/>
              <w:bottom w:w="0" w:type="dxa"/>
              <w:right w:w="15" w:type="dxa"/>
            </w:tcMar>
            <w:vAlign w:val="center"/>
          </w:tcPr>
          <w:p>
            <w:pPr>
              <w:tabs>
                <w:tab w:val="left" w:pos="471"/>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val="0"/>
            <w:vAlign w:val="center"/>
          </w:tcPr>
          <w:p>
            <w:pPr>
              <w:spacing w:line="250" w:lineRule="exact"/>
              <w:jc w:val="center"/>
              <w:rPr>
                <w:color w:val="000000"/>
                <w:sz w:val="18"/>
                <w:szCs w:val="18"/>
              </w:rPr>
            </w:pPr>
          </w:p>
        </w:tc>
        <w:tc>
          <w:tcPr>
            <w:tcW w:w="580" w:type="dxa"/>
            <w:vMerge w:val="continue"/>
            <w:tcBorders>
              <w:left w:val="single" w:color="auto" w:sz="6" w:space="0"/>
            </w:tcBorders>
            <w:noWrap w:val="0"/>
            <w:vAlign w:val="center"/>
          </w:tcPr>
          <w:p>
            <w:pPr>
              <w:spacing w:line="250" w:lineRule="exact"/>
              <w:jc w:val="center"/>
              <w:rPr>
                <w:color w:val="000000"/>
                <w:sz w:val="18"/>
                <w:szCs w:val="18"/>
              </w:rPr>
            </w:pPr>
          </w:p>
        </w:tc>
        <w:tc>
          <w:tcPr>
            <w:tcW w:w="2112" w:type="dxa"/>
            <w:vMerge w:val="continue"/>
            <w:tcBorders>
              <w:top w:val="single" w:color="auto" w:sz="4" w:space="0"/>
              <w:bottom w:val="single" w:color="auto" w:sz="4" w:space="0"/>
            </w:tcBorders>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jc w:val="center"/>
            </w:pPr>
            <w:r>
              <w:rPr>
                <w:rFonts w:hint="eastAsia"/>
                <w:color w:val="000000"/>
                <w:sz w:val="18"/>
                <w:szCs w:val="18"/>
              </w:rPr>
              <w:t>出行便利程度</w:t>
            </w:r>
          </w:p>
        </w:tc>
        <w:tc>
          <w:tcPr>
            <w:tcW w:w="1479"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eastAsia="zh-CN"/>
              </w:rPr>
              <w:t>有所提高</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经济效益指标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tabs>
                <w:tab w:val="left" w:pos="597"/>
              </w:tabs>
              <w:jc w:val="left"/>
              <w:rPr>
                <w:rFonts w:hint="eastAsia" w:ascii="Calibri" w:hAnsi="Calibri" w:eastAsia="宋体" w:cs="Times New Roman"/>
                <w:color w:val="000000"/>
                <w:kern w:val="2"/>
                <w:sz w:val="18"/>
                <w:szCs w:val="18"/>
                <w:lang w:val="en-US" w:eastAsia="zh-CN" w:bidi="ar-SA"/>
              </w:rPr>
            </w:pPr>
            <w:r>
              <w:rPr>
                <w:rFonts w:hint="eastAsia"/>
                <w:color w:val="000000"/>
                <w:sz w:val="18"/>
                <w:szCs w:val="18"/>
                <w:lang w:eastAsia="zh-CN"/>
              </w:rPr>
              <w:t>残疾人生活水平</w:t>
            </w:r>
          </w:p>
        </w:tc>
        <w:tc>
          <w:tcPr>
            <w:tcW w:w="1479" w:type="dxa"/>
            <w:gridSpan w:val="2"/>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有所提高</w:t>
            </w:r>
          </w:p>
        </w:tc>
        <w:tc>
          <w:tcPr>
            <w:tcW w:w="878" w:type="dxa"/>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完成</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bottom w:val="nil"/>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满意度指标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rPr>
                <w:rFonts w:hint="eastAsia" w:ascii="Calibri" w:hAnsi="Calibri" w:eastAsia="宋体" w:cs="Times New Roman"/>
                <w:kern w:val="2"/>
                <w:sz w:val="21"/>
                <w:szCs w:val="21"/>
                <w:lang w:val="en-US" w:eastAsia="zh-CN" w:bidi="ar-SA"/>
              </w:rPr>
            </w:pPr>
            <w:r>
              <w:rPr>
                <w:rFonts w:hint="eastAsia"/>
                <w:color w:val="000000"/>
                <w:sz w:val="18"/>
                <w:szCs w:val="18"/>
                <w:lang w:eastAsia="zh-CN"/>
              </w:rPr>
              <w:t>残疾人满意度</w:t>
            </w:r>
          </w:p>
        </w:tc>
        <w:tc>
          <w:tcPr>
            <w:tcW w:w="1479" w:type="dxa"/>
            <w:gridSpan w:val="2"/>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90%</w:t>
            </w:r>
          </w:p>
        </w:tc>
        <w:tc>
          <w:tcPr>
            <w:tcW w:w="878" w:type="dxa"/>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92%</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763" w:type="dxa"/>
            <w:gridSpan w:val="3"/>
            <w:noWrap w:val="0"/>
            <w:vAlign w:val="center"/>
          </w:tcPr>
          <w:p>
            <w:pPr>
              <w:spacing w:line="250" w:lineRule="exact"/>
              <w:jc w:val="center"/>
              <w:rPr>
                <w:color w:val="000000"/>
                <w:sz w:val="18"/>
                <w:szCs w:val="18"/>
              </w:rPr>
            </w:pPr>
            <w:r>
              <w:rPr>
                <w:rFonts w:hint="eastAsia"/>
                <w:color w:val="000000"/>
                <w:sz w:val="18"/>
                <w:szCs w:val="18"/>
              </w:rPr>
              <w:t>总  分</w:t>
            </w:r>
          </w:p>
        </w:tc>
        <w:tc>
          <w:tcPr>
            <w:tcW w:w="4117" w:type="dxa"/>
            <w:gridSpan w:val="4"/>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100</w:t>
            </w:r>
          </w:p>
        </w:tc>
        <w:tc>
          <w:tcPr>
            <w:tcW w:w="560" w:type="dxa"/>
            <w:noWrap w:val="0"/>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bl>
    <w:p>
      <w:pPr>
        <w:bidi w:val="0"/>
        <w:ind w:firstLine="568" w:firstLineChars="0"/>
        <w:jc w:val="left"/>
        <w:rPr>
          <w:rFonts w:ascii="Calibri" w:hAnsi="Calibri" w:eastAsia="宋体" w:cs="Times New Roman"/>
          <w:kern w:val="2"/>
          <w:sz w:val="21"/>
          <w:szCs w:val="21"/>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eastAsia="仿宋_GB2312"/>
        <w:sz w:val="28"/>
        <w:szCs w:val="28"/>
      </w:rPr>
    </w:pPr>
    <w:r>
      <w:rPr>
        <w:rStyle w:val="9"/>
        <w:rFonts w:eastAsia="仿宋_GB2312"/>
        <w:sz w:val="28"/>
        <w:szCs w:val="28"/>
      </w:rPr>
      <w:t>—</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18</w:t>
    </w:r>
    <w:r>
      <w:rPr>
        <w:rFonts w:eastAsia="仿宋_GB2312"/>
        <w:sz w:val="28"/>
        <w:szCs w:val="28"/>
      </w:rPr>
      <w:fldChar w:fldCharType="end"/>
    </w:r>
    <w:r>
      <w:rPr>
        <w:rStyle w:val="9"/>
        <w:rFonts w:eastAsia="仿宋_GB2312"/>
        <w:sz w:val="28"/>
        <w:szCs w:val="28"/>
      </w:rPr>
      <w:t>—</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C2194"/>
    <w:multiLevelType w:val="singleLevel"/>
    <w:tmpl w:val="BF6C2194"/>
    <w:lvl w:ilvl="0" w:tentative="0">
      <w:start w:val="4"/>
      <w:numFmt w:val="chineseCounting"/>
      <w:suff w:val="space"/>
      <w:lvlText w:val="%1、"/>
      <w:lvlJc w:val="left"/>
      <w:rPr>
        <w:rFonts w:hint="eastAsia"/>
      </w:rPr>
    </w:lvl>
  </w:abstractNum>
  <w:abstractNum w:abstractNumId="1">
    <w:nsid w:val="1F1F5F5C"/>
    <w:multiLevelType w:val="singleLevel"/>
    <w:tmpl w:val="1F1F5F5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709B4"/>
    <w:rsid w:val="00883B9B"/>
    <w:rsid w:val="00BA2359"/>
    <w:rsid w:val="02927646"/>
    <w:rsid w:val="048E1B3E"/>
    <w:rsid w:val="05B27536"/>
    <w:rsid w:val="08D11B99"/>
    <w:rsid w:val="0906187B"/>
    <w:rsid w:val="093A7972"/>
    <w:rsid w:val="0A9D2F32"/>
    <w:rsid w:val="0BA33845"/>
    <w:rsid w:val="0BF94903"/>
    <w:rsid w:val="0DDF799A"/>
    <w:rsid w:val="0F8E67BE"/>
    <w:rsid w:val="103D2CA0"/>
    <w:rsid w:val="10710AB7"/>
    <w:rsid w:val="109B5A5E"/>
    <w:rsid w:val="12280DC8"/>
    <w:rsid w:val="12D66841"/>
    <w:rsid w:val="146E2B30"/>
    <w:rsid w:val="18F00D95"/>
    <w:rsid w:val="198E7334"/>
    <w:rsid w:val="1A5C2101"/>
    <w:rsid w:val="1B0D68CD"/>
    <w:rsid w:val="1CE44117"/>
    <w:rsid w:val="1E0A2899"/>
    <w:rsid w:val="1EF33CC8"/>
    <w:rsid w:val="1EFE3CBA"/>
    <w:rsid w:val="213A3E05"/>
    <w:rsid w:val="225C38A1"/>
    <w:rsid w:val="22F42CF3"/>
    <w:rsid w:val="23620507"/>
    <w:rsid w:val="25000F84"/>
    <w:rsid w:val="254422A1"/>
    <w:rsid w:val="25E606AF"/>
    <w:rsid w:val="27060F32"/>
    <w:rsid w:val="2773759C"/>
    <w:rsid w:val="283D5139"/>
    <w:rsid w:val="29436742"/>
    <w:rsid w:val="29A22FE8"/>
    <w:rsid w:val="29E074B5"/>
    <w:rsid w:val="2CE53217"/>
    <w:rsid w:val="2F43013B"/>
    <w:rsid w:val="311709B4"/>
    <w:rsid w:val="32AA3854"/>
    <w:rsid w:val="3516371C"/>
    <w:rsid w:val="356A1FCF"/>
    <w:rsid w:val="367E6E7E"/>
    <w:rsid w:val="37144D14"/>
    <w:rsid w:val="3A3457D4"/>
    <w:rsid w:val="3A4C735F"/>
    <w:rsid w:val="3ABB0B8F"/>
    <w:rsid w:val="3ACB2069"/>
    <w:rsid w:val="3AD1334A"/>
    <w:rsid w:val="3B5717C3"/>
    <w:rsid w:val="3BB605DF"/>
    <w:rsid w:val="3D760E4C"/>
    <w:rsid w:val="3FA175DF"/>
    <w:rsid w:val="3FA62913"/>
    <w:rsid w:val="400C1E93"/>
    <w:rsid w:val="40B06636"/>
    <w:rsid w:val="414840DD"/>
    <w:rsid w:val="41B23542"/>
    <w:rsid w:val="44B00772"/>
    <w:rsid w:val="44F80F52"/>
    <w:rsid w:val="47475F28"/>
    <w:rsid w:val="48DC0DD2"/>
    <w:rsid w:val="497D3644"/>
    <w:rsid w:val="4B942D57"/>
    <w:rsid w:val="4E8E098E"/>
    <w:rsid w:val="500E30E1"/>
    <w:rsid w:val="510B1A56"/>
    <w:rsid w:val="51A8180D"/>
    <w:rsid w:val="52EE610A"/>
    <w:rsid w:val="53260D39"/>
    <w:rsid w:val="547215A0"/>
    <w:rsid w:val="550646C1"/>
    <w:rsid w:val="55E60B92"/>
    <w:rsid w:val="56452F34"/>
    <w:rsid w:val="56A17EC6"/>
    <w:rsid w:val="571F77CE"/>
    <w:rsid w:val="5B324E7C"/>
    <w:rsid w:val="5BBE40FA"/>
    <w:rsid w:val="63EE02BE"/>
    <w:rsid w:val="64C3402E"/>
    <w:rsid w:val="65881C42"/>
    <w:rsid w:val="672B088E"/>
    <w:rsid w:val="68D5496B"/>
    <w:rsid w:val="6DDF784E"/>
    <w:rsid w:val="6F2E3795"/>
    <w:rsid w:val="6FF21F46"/>
    <w:rsid w:val="71542301"/>
    <w:rsid w:val="71645E83"/>
    <w:rsid w:val="71B85BF9"/>
    <w:rsid w:val="730120E7"/>
    <w:rsid w:val="75E82ED2"/>
    <w:rsid w:val="768C3636"/>
    <w:rsid w:val="77DB0B80"/>
    <w:rsid w:val="781B2436"/>
    <w:rsid w:val="7883784D"/>
    <w:rsid w:val="78961CD8"/>
    <w:rsid w:val="792A23A4"/>
    <w:rsid w:val="7CD91AB6"/>
    <w:rsid w:val="7D85293D"/>
    <w:rsid w:val="7DB24F01"/>
    <w:rsid w:val="7DEB372A"/>
    <w:rsid w:val="7ED6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widowControl/>
      <w:spacing w:before="240" w:after="240"/>
      <w:ind w:firstLine="480"/>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paragraph" w:customStyle="1" w:styleId="10">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7110</Words>
  <Characters>7607</Characters>
  <Lines>0</Lines>
  <Paragraphs>0</Paragraphs>
  <TotalTime>42</TotalTime>
  <ScaleCrop>false</ScaleCrop>
  <LinksUpToDate>false</LinksUpToDate>
  <CharactersWithSpaces>7802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2021-04-07T07:09:00Z</dcterms:created>
  <dc:creator>Administrator</dc:creator>
  <cp:lastModifiedBy>陈淑梅</cp:lastModifiedBy>
  <dcterms:modified xsi:type="dcterms:W3CDTF">2022-04-15T03:15:37Z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B587A9D39D21482AB671FE2390059B45</vt:lpwstr>
  </property>
</Properties>
</file>