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r>
        <w:rPr>
          <w:rFonts w:hint="eastAsia" w:ascii="方正小标宋简体" w:hAnsi="方正小标宋简体" w:eastAsia="方正小标宋简体" w:cs="方正小标宋简体"/>
          <w:color w:val="000000"/>
          <w:sz w:val="48"/>
          <w:szCs w:val="48"/>
          <w:lang w:eastAsia="zh-CN"/>
        </w:rPr>
        <w:t>2022年</w:t>
      </w:r>
      <w:r>
        <w:rPr>
          <w:rFonts w:hint="eastAsia" w:ascii="方正小标宋简体" w:hAnsi="方正小标宋简体" w:eastAsia="方正小标宋简体" w:cs="方正小标宋简体"/>
          <w:color w:val="000000"/>
          <w:sz w:val="48"/>
          <w:szCs w:val="48"/>
        </w:rPr>
        <w:t>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tabs>
          <w:tab w:val="left" w:pos="6935"/>
        </w:tabs>
        <w:jc w:val="left"/>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ab/>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tabs>
          <w:tab w:val="left" w:pos="7092"/>
        </w:tabs>
        <w:jc w:val="left"/>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ab/>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44"/>
          <w:szCs w:val="44"/>
          <w:lang w:val="en-US" w:eastAsia="zh-CN"/>
        </w:rPr>
      </w:pPr>
      <w:r>
        <w:rPr>
          <w:rFonts w:hint="eastAsia" w:ascii="Times New Roman" w:hAnsi="Times New Roman" w:eastAsia="黑体"/>
          <w:color w:val="000000"/>
          <w:sz w:val="44"/>
          <w:szCs w:val="44"/>
          <w:lang w:val="en-US" w:eastAsia="zh-CN"/>
        </w:rPr>
        <w:t>浏阳市残疾人联合会</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w:t>
      </w:r>
      <w:r>
        <w:rPr>
          <w:rFonts w:hint="eastAsia" w:ascii="Times New Roman" w:hAnsi="Times New Roman" w:eastAsia="仿宋_GB2312"/>
          <w:color w:val="000000"/>
          <w:sz w:val="36"/>
          <w:szCs w:val="36"/>
          <w:lang w:val="en-US" w:eastAsia="zh-CN"/>
        </w:rPr>
        <w:t>二三</w:t>
      </w:r>
      <w:r>
        <w:rPr>
          <w:rFonts w:ascii="Times New Roman" w:hAnsi="Times New Roman" w:eastAsia="仿宋_GB2312"/>
          <w:color w:val="000000"/>
          <w:sz w:val="36"/>
          <w:szCs w:val="36"/>
        </w:rPr>
        <w:t>年</w:t>
      </w:r>
      <w:r>
        <w:rPr>
          <w:rFonts w:hint="eastAsia" w:ascii="Times New Roman" w:hAnsi="Times New Roman" w:eastAsia="仿宋_GB2312"/>
          <w:color w:val="000000"/>
          <w:sz w:val="36"/>
          <w:szCs w:val="36"/>
          <w:lang w:eastAsia="zh-CN"/>
        </w:rPr>
        <w:t>九</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eastAsia="zh-CN"/>
        </w:rPr>
        <w:t>二十五</w:t>
      </w:r>
      <w:r>
        <w:rPr>
          <w:rFonts w:ascii="Times New Roman" w:hAnsi="Times New Roman" w:eastAsia="仿宋_GB2312"/>
          <w:color w:val="000000"/>
          <w:sz w:val="36"/>
          <w:szCs w:val="36"/>
        </w:rPr>
        <w:t>日</w:t>
      </w:r>
    </w:p>
    <w:p>
      <w:pPr>
        <w:pStyle w:val="11"/>
        <w:widowControl/>
        <w:spacing w:line="596" w:lineRule="exact"/>
        <w:ind w:firstLine="579" w:firstLineChars="181"/>
        <w:rPr>
          <w:rFonts w:ascii="Times New Roman" w:hAnsi="Times New Roman" w:eastAsia="黑体"/>
          <w:color w:val="auto"/>
          <w:kern w:val="0"/>
          <w:sz w:val="32"/>
          <w:szCs w:val="32"/>
        </w:rPr>
      </w:pPr>
      <w:r>
        <w:rPr>
          <w:rFonts w:ascii="Times New Roman" w:hAnsi="Times New Roman" w:eastAsia="黑体"/>
          <w:color w:val="000000"/>
          <w:sz w:val="32"/>
          <w:szCs w:val="32"/>
        </w:rPr>
        <w:br w:type="page"/>
      </w:r>
      <w:r>
        <w:rPr>
          <w:rFonts w:ascii="Times New Roman" w:hAnsi="Times New Roman" w:eastAsia="黑体"/>
          <w:color w:val="auto"/>
          <w:kern w:val="0"/>
          <w:sz w:val="32"/>
          <w:szCs w:val="32"/>
        </w:rPr>
        <w:t>一、部门概况</w:t>
      </w:r>
    </w:p>
    <w:p>
      <w:pPr>
        <w:spacing w:line="596"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（一）部门职能概述</w:t>
      </w:r>
    </w:p>
    <w:p>
      <w:pPr>
        <w:widowControl/>
        <w:spacing w:line="580" w:lineRule="exact"/>
        <w:ind w:firstLine="482"/>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贯彻执行《中华人民共和国残疾人保障法》，代表残疾人的共同利益，维护残疾人的合法权益。团结教育残疾人遵纪守法，履行应尽义务，发扬乐观进取精神。履行政府赋予的职责，管理和发展残疾人事业，为残疾人服务，开展和促进残疾人康复、教育、劳动就业、文化生活、福利、社会服务和残疾预防工作；改善残疾人参与社会生活的环境和条件；管理和发放《中华人民共和国残疾人证》。沟通政府、社会与残疾人之间的联系，宣传残疾人事业，倡导社会理解、尊重、关心、帮助残疾人。联系、指导各残疾人群众组织。承办市委、市人民政府交办的其他事项。</w:t>
      </w:r>
    </w:p>
    <w:p>
      <w:pPr>
        <w:tabs>
          <w:tab w:val="left" w:pos="5885"/>
        </w:tabs>
        <w:spacing w:line="596" w:lineRule="exact"/>
        <w:ind w:firstLine="640" w:firstLineChars="200"/>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（二）部门组织机构及人员情况</w:t>
      </w:r>
      <w:r>
        <w:rPr>
          <w:rFonts w:hint="eastAsia" w:ascii="Times New Roman" w:hAnsi="Times New Roman" w:eastAsia="仿宋_GB2312"/>
          <w:color w:val="auto"/>
          <w:kern w:val="0"/>
          <w:sz w:val="32"/>
          <w:szCs w:val="32"/>
          <w:lang w:eastAsia="zh-CN"/>
        </w:rPr>
        <w:tab/>
      </w:r>
    </w:p>
    <w:p>
      <w:pPr>
        <w:widowControl/>
        <w:spacing w:line="580" w:lineRule="exact"/>
        <w:ind w:firstLine="482"/>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．机构情况：浏阳市残疾人联合会成立于</w:t>
      </w:r>
      <w:r>
        <w:rPr>
          <w:rFonts w:ascii="仿宋_GB2312" w:hAnsi="宋体" w:eastAsia="仿宋_GB2312" w:cs="宋体"/>
          <w:color w:val="auto"/>
          <w:kern w:val="0"/>
          <w:sz w:val="32"/>
          <w:szCs w:val="32"/>
        </w:rPr>
        <w:t>1990</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12</w:t>
      </w:r>
      <w:r>
        <w:rPr>
          <w:rFonts w:hint="eastAsia" w:ascii="仿宋_GB2312" w:hAnsi="宋体" w:eastAsia="仿宋_GB2312" w:cs="宋体"/>
          <w:color w:val="auto"/>
          <w:kern w:val="0"/>
          <w:sz w:val="32"/>
          <w:szCs w:val="32"/>
        </w:rPr>
        <w:t>月，</w:t>
      </w:r>
      <w:r>
        <w:rPr>
          <w:rFonts w:ascii="仿宋_GB2312" w:hAnsi="宋体" w:eastAsia="仿宋_GB2312" w:cs="宋体"/>
          <w:color w:val="auto"/>
          <w:kern w:val="0"/>
          <w:sz w:val="32"/>
          <w:szCs w:val="32"/>
        </w:rPr>
        <w:t xml:space="preserve"> 2002</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月明确为市人民政府管理的全市性残疾人事业团体。现设有办公室、</w:t>
      </w:r>
      <w:r>
        <w:rPr>
          <w:rFonts w:hint="eastAsia" w:ascii="仿宋_GB2312" w:hAnsi="宋体" w:eastAsia="仿宋_GB2312" w:cs="宋体"/>
          <w:color w:val="auto"/>
          <w:kern w:val="0"/>
          <w:sz w:val="32"/>
          <w:szCs w:val="32"/>
          <w:lang w:eastAsia="zh-CN"/>
        </w:rPr>
        <w:t>残疾人</w:t>
      </w:r>
      <w:r>
        <w:rPr>
          <w:rFonts w:hint="eastAsia" w:ascii="仿宋_GB2312" w:hAnsi="宋体" w:eastAsia="仿宋_GB2312" w:cs="宋体"/>
          <w:color w:val="auto"/>
          <w:kern w:val="0"/>
          <w:sz w:val="32"/>
          <w:szCs w:val="32"/>
        </w:rPr>
        <w:t>就业服务中心，残疾人就业服务中心于</w:t>
      </w:r>
      <w:r>
        <w:rPr>
          <w:rFonts w:ascii="仿宋_GB2312" w:hAnsi="宋体" w:eastAsia="仿宋_GB2312" w:cs="宋体"/>
          <w:color w:val="auto"/>
          <w:kern w:val="0"/>
          <w:sz w:val="32"/>
          <w:szCs w:val="32"/>
        </w:rPr>
        <w:t>2003</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月批准成立，为浏阳市残疾人联合会管理的事业单位。其业务范围是：综合管理辖区内残疾人劳动就业服务工作，掌握残疾人劳动力资源状况和用人单位需求；开展职业培训；具体运筹按比例就业，收放、管理残疾人就业保障金；扶持残疾人个体、集体从业。</w:t>
      </w:r>
    </w:p>
    <w:p>
      <w:pPr>
        <w:widowControl/>
        <w:spacing w:line="580" w:lineRule="exact"/>
        <w:ind w:firstLine="482"/>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．人员情况，我会</w:t>
      </w:r>
      <w:r>
        <w:rPr>
          <w:rFonts w:hint="eastAsia" w:ascii="仿宋_GB2312" w:hAnsi="宋体" w:eastAsia="仿宋_GB2312" w:cs="宋体"/>
          <w:color w:val="auto"/>
          <w:kern w:val="0"/>
          <w:sz w:val="32"/>
          <w:szCs w:val="32"/>
          <w:lang w:eastAsia="zh-CN"/>
        </w:rPr>
        <w:t>2022年</w:t>
      </w:r>
      <w:r>
        <w:rPr>
          <w:rFonts w:hint="eastAsia" w:ascii="仿宋_GB2312" w:hAnsi="宋体" w:eastAsia="仿宋_GB2312" w:cs="宋体"/>
          <w:color w:val="auto"/>
          <w:kern w:val="0"/>
          <w:sz w:val="32"/>
          <w:szCs w:val="32"/>
        </w:rPr>
        <w:t>年末在职人员</w:t>
      </w: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人，退休人员</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人。</w:t>
      </w:r>
    </w:p>
    <w:p>
      <w:pPr>
        <w:tabs>
          <w:tab w:val="left" w:pos="5885"/>
        </w:tabs>
        <w:spacing w:line="596" w:lineRule="exact"/>
        <w:ind w:firstLine="640" w:firstLineChars="200"/>
        <w:rPr>
          <w:rFonts w:hint="eastAsia" w:ascii="Times New Roman" w:hAnsi="Times New Roman" w:eastAsia="仿宋_GB2312"/>
          <w:color w:val="auto"/>
          <w:kern w:val="0"/>
          <w:sz w:val="32"/>
          <w:szCs w:val="32"/>
          <w:lang w:eastAsia="zh-CN"/>
        </w:rPr>
      </w:pPr>
    </w:p>
    <w:p>
      <w:pPr>
        <w:numPr>
          <w:ilvl w:val="0"/>
          <w:numId w:val="1"/>
        </w:numPr>
        <w:tabs>
          <w:tab w:val="center" w:pos="4422"/>
        </w:tabs>
        <w:spacing w:line="596" w:lineRule="exact"/>
        <w:ind w:firstLine="640" w:firstLineChars="200"/>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年度重点工作计划</w:t>
      </w:r>
      <w:r>
        <w:rPr>
          <w:rFonts w:hint="eastAsia" w:ascii="Times New Roman" w:hAnsi="Times New Roman" w:eastAsia="仿宋_GB2312"/>
          <w:color w:val="auto"/>
          <w:kern w:val="0"/>
          <w:sz w:val="32"/>
          <w:szCs w:val="32"/>
          <w:lang w:eastAsia="zh-CN"/>
        </w:rPr>
        <w:tab/>
      </w:r>
    </w:p>
    <w:p>
      <w:pPr>
        <w:widowControl/>
        <w:spacing w:line="580" w:lineRule="exact"/>
        <w:ind w:firstLine="482"/>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lang w:eastAsia="zh-CN"/>
        </w:rPr>
        <w:t>．实施精准康复服务行动。</w:t>
      </w:r>
      <w:r>
        <w:rPr>
          <w:rFonts w:hint="eastAsia" w:ascii="仿宋_GB2312" w:hAnsi="宋体" w:eastAsia="仿宋_GB2312" w:cs="宋体"/>
          <w:color w:val="auto"/>
          <w:kern w:val="0"/>
          <w:sz w:val="32"/>
          <w:szCs w:val="32"/>
        </w:rPr>
        <w:t>实施精准康复。帮助</w:t>
      </w:r>
      <w:r>
        <w:rPr>
          <w:rFonts w:hint="eastAsia" w:ascii="仿宋_GB2312" w:hAnsi="宋体" w:eastAsia="仿宋_GB2312" w:cs="宋体"/>
          <w:color w:val="auto"/>
          <w:kern w:val="0"/>
          <w:sz w:val="32"/>
          <w:szCs w:val="32"/>
          <w:lang w:val="en-US" w:eastAsia="zh-CN"/>
        </w:rPr>
        <w:t>240</w:t>
      </w:r>
      <w:r>
        <w:rPr>
          <w:rFonts w:hint="eastAsia" w:ascii="仿宋_GB2312" w:hAnsi="宋体" w:eastAsia="仿宋_GB2312" w:cs="宋体"/>
          <w:color w:val="auto"/>
          <w:kern w:val="0"/>
          <w:sz w:val="32"/>
          <w:szCs w:val="32"/>
        </w:rPr>
        <w:t>名有康复需求和适应指征的听力、言语、肢体、智力残疾儿童和孤</w:t>
      </w:r>
      <w:r>
        <w:rPr>
          <w:rFonts w:hint="eastAsia" w:ascii="仿宋_GB2312" w:hAnsi="宋体" w:eastAsia="仿宋_GB2312" w:cs="宋体"/>
          <w:color w:val="auto"/>
          <w:kern w:val="0"/>
          <w:sz w:val="32"/>
          <w:szCs w:val="32"/>
          <w:lang w:eastAsia="zh-CN"/>
        </w:rPr>
        <w:t>独</w:t>
      </w:r>
      <w:r>
        <w:rPr>
          <w:rFonts w:hint="eastAsia" w:ascii="仿宋_GB2312" w:hAnsi="宋体" w:eastAsia="仿宋_GB2312" w:cs="宋体"/>
          <w:color w:val="auto"/>
          <w:kern w:val="0"/>
          <w:sz w:val="32"/>
          <w:szCs w:val="32"/>
        </w:rPr>
        <w:t>症儿童在机构接受康复训练，落实残疾儿童康复救助制度，推动残疾儿童普遍享有基本康复服务</w:t>
      </w:r>
      <w:r>
        <w:rPr>
          <w:rFonts w:hint="eastAsia" w:ascii="仿宋_GB2312" w:hAnsi="宋体" w:eastAsia="仿宋_GB2312" w:cs="宋体"/>
          <w:color w:val="auto"/>
          <w:kern w:val="0"/>
          <w:sz w:val="32"/>
          <w:szCs w:val="32"/>
          <w:lang w:eastAsia="zh-CN"/>
        </w:rPr>
        <w:t>。结合实施乡村振兴战略，着力实施</w:t>
      </w:r>
      <w:r>
        <w:rPr>
          <w:rFonts w:hint="eastAsia" w:ascii="仿宋_GB2312" w:hAnsi="宋体" w:eastAsia="仿宋_GB2312" w:cs="宋体"/>
          <w:color w:val="auto"/>
          <w:kern w:val="0"/>
          <w:sz w:val="32"/>
          <w:szCs w:val="32"/>
        </w:rPr>
        <w:t>“光明关爱”项目，为</w:t>
      </w:r>
      <w:r>
        <w:rPr>
          <w:rFonts w:hint="eastAsia" w:ascii="仿宋_GB2312" w:hAnsi="宋体" w:eastAsia="仿宋_GB2312" w:cs="宋体"/>
          <w:color w:val="auto"/>
          <w:kern w:val="0"/>
          <w:sz w:val="32"/>
          <w:szCs w:val="32"/>
          <w:lang w:val="en-US" w:eastAsia="zh-CN"/>
        </w:rPr>
        <w:t>240</w:t>
      </w:r>
      <w:r>
        <w:rPr>
          <w:rFonts w:hint="eastAsia" w:ascii="仿宋_GB2312" w:hAnsi="宋体" w:eastAsia="仿宋_GB2312" w:cs="宋体"/>
          <w:color w:val="auto"/>
          <w:kern w:val="0"/>
          <w:sz w:val="32"/>
          <w:szCs w:val="32"/>
        </w:rPr>
        <w:t>名低视力和白内障患者提供康复服务；</w:t>
      </w:r>
      <w:r>
        <w:rPr>
          <w:rFonts w:hint="eastAsia" w:ascii="仿宋_GB2312" w:hAnsi="宋体" w:eastAsia="仿宋_GB2312" w:cs="宋体"/>
          <w:color w:val="auto"/>
          <w:kern w:val="0"/>
          <w:sz w:val="32"/>
          <w:szCs w:val="32"/>
          <w:lang w:eastAsia="zh-CN"/>
        </w:rPr>
        <w:t>落实</w:t>
      </w:r>
      <w:r>
        <w:rPr>
          <w:rFonts w:hint="eastAsia" w:ascii="仿宋_GB2312" w:hAnsi="宋体" w:eastAsia="仿宋_GB2312" w:cs="宋体"/>
          <w:color w:val="auto"/>
          <w:kern w:val="0"/>
          <w:sz w:val="32"/>
          <w:szCs w:val="32"/>
        </w:rPr>
        <w:t>残疾人辅助器具适配</w:t>
      </w:r>
      <w:r>
        <w:rPr>
          <w:rFonts w:hint="eastAsia" w:ascii="仿宋_GB2312" w:hAnsi="宋体" w:eastAsia="仿宋_GB2312" w:cs="宋体"/>
          <w:color w:val="auto"/>
          <w:kern w:val="0"/>
          <w:sz w:val="32"/>
          <w:szCs w:val="32"/>
          <w:lang w:eastAsia="zh-CN"/>
        </w:rPr>
        <w:t>补贴制度</w:t>
      </w:r>
      <w:r>
        <w:rPr>
          <w:rFonts w:hint="eastAsia" w:ascii="仿宋_GB2312" w:hAnsi="宋体" w:eastAsia="仿宋_GB2312" w:cs="宋体"/>
          <w:color w:val="auto"/>
          <w:kern w:val="0"/>
          <w:sz w:val="32"/>
          <w:szCs w:val="32"/>
        </w:rPr>
        <w:t>，为</w:t>
      </w:r>
      <w:r>
        <w:rPr>
          <w:rFonts w:hint="eastAsia" w:ascii="仿宋_GB2312" w:hAnsi="宋体" w:eastAsia="仿宋_GB2312" w:cs="宋体"/>
          <w:color w:val="auto"/>
          <w:kern w:val="0"/>
          <w:sz w:val="32"/>
          <w:szCs w:val="32"/>
          <w:lang w:val="en-US" w:eastAsia="zh-CN"/>
        </w:rPr>
        <w:t>1200</w:t>
      </w:r>
      <w:r>
        <w:rPr>
          <w:rFonts w:hint="eastAsia" w:ascii="仿宋_GB2312" w:hAnsi="宋体" w:eastAsia="仿宋_GB2312" w:cs="宋体"/>
          <w:color w:val="auto"/>
          <w:kern w:val="0"/>
          <w:sz w:val="32"/>
          <w:szCs w:val="32"/>
        </w:rPr>
        <w:t>名残疾人适配辅助器具</w:t>
      </w:r>
      <w:r>
        <w:rPr>
          <w:rFonts w:hint="eastAsia" w:ascii="仿宋_GB2312" w:hAnsi="宋体" w:eastAsia="仿宋_GB2312" w:cs="宋体"/>
          <w:color w:val="auto"/>
          <w:kern w:val="0"/>
          <w:sz w:val="32"/>
          <w:szCs w:val="32"/>
          <w:lang w:eastAsia="zh-CN"/>
        </w:rPr>
        <w:t>提供补贴支持</w:t>
      </w:r>
      <w:r>
        <w:rPr>
          <w:rFonts w:hint="eastAsia" w:ascii="仿宋_GB2312" w:hAnsi="宋体" w:eastAsia="仿宋_GB2312" w:cs="宋体"/>
          <w:color w:val="auto"/>
          <w:kern w:val="0"/>
          <w:sz w:val="32"/>
          <w:szCs w:val="32"/>
        </w:rPr>
        <w:t>。</w:t>
      </w:r>
    </w:p>
    <w:p>
      <w:pPr>
        <w:widowControl/>
        <w:spacing w:line="580" w:lineRule="exact"/>
        <w:ind w:firstLine="482"/>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．积极开展教育培训。</w:t>
      </w:r>
      <w:r>
        <w:rPr>
          <w:rFonts w:hint="eastAsia" w:ascii="仿宋_GB2312" w:hAnsi="宋体" w:eastAsia="仿宋_GB2312" w:cs="宋体"/>
          <w:color w:val="auto"/>
          <w:kern w:val="0"/>
          <w:sz w:val="32"/>
          <w:szCs w:val="32"/>
          <w:lang w:val="zh-TW" w:eastAsia="zh-TW"/>
        </w:rPr>
        <w:t>及时更新</w:t>
      </w:r>
      <w:r>
        <w:rPr>
          <w:rFonts w:hint="eastAsia" w:ascii="仿宋_GB2312" w:hAnsi="宋体" w:eastAsia="仿宋_GB2312" w:cs="宋体"/>
          <w:color w:val="auto"/>
          <w:kern w:val="0"/>
          <w:sz w:val="32"/>
          <w:szCs w:val="32"/>
          <w:lang w:val="zh-TW" w:eastAsia="zh-CN"/>
        </w:rPr>
        <w:t>残疾儿童教育信息平台数据，将未入学对象名单移交教育部门采取措施，</w:t>
      </w:r>
      <w:r>
        <w:rPr>
          <w:rFonts w:hint="eastAsia" w:ascii="仿宋_GB2312" w:hAnsi="宋体" w:eastAsia="仿宋_GB2312" w:cs="宋体"/>
          <w:color w:val="auto"/>
          <w:kern w:val="0"/>
          <w:sz w:val="32"/>
          <w:szCs w:val="32"/>
          <w:lang w:val="zh-TW" w:eastAsia="zh-TW"/>
        </w:rPr>
        <w:t>保障残疾少年儿童受教育权利</w:t>
      </w:r>
      <w:r>
        <w:rPr>
          <w:rFonts w:hint="eastAsia" w:ascii="仿宋_GB2312" w:hAnsi="宋体" w:eastAsia="仿宋_GB2312" w:cs="宋体"/>
          <w:color w:val="auto"/>
          <w:kern w:val="0"/>
          <w:sz w:val="32"/>
          <w:szCs w:val="32"/>
          <w:lang w:val="zh-TW"/>
        </w:rPr>
        <w:t>；</w:t>
      </w:r>
      <w:r>
        <w:rPr>
          <w:rFonts w:hint="eastAsia" w:ascii="仿宋_GB2312" w:hAnsi="宋体" w:eastAsia="仿宋_GB2312" w:cs="宋体"/>
          <w:color w:val="auto"/>
          <w:kern w:val="0"/>
          <w:sz w:val="32"/>
          <w:szCs w:val="32"/>
          <w:lang w:val="zh-TW" w:eastAsia="zh-TW"/>
        </w:rPr>
        <w:t>落实</w:t>
      </w:r>
      <w:r>
        <w:rPr>
          <w:rFonts w:hint="eastAsia" w:ascii="仿宋_GB2312" w:hAnsi="宋体" w:eastAsia="仿宋_GB2312" w:cs="宋体"/>
          <w:color w:val="auto"/>
          <w:kern w:val="0"/>
          <w:sz w:val="32"/>
          <w:szCs w:val="32"/>
          <w:lang w:val="zh-TW"/>
        </w:rPr>
        <w:t>省、</w:t>
      </w:r>
      <w:r>
        <w:rPr>
          <w:rFonts w:hint="eastAsia" w:ascii="仿宋_GB2312" w:hAnsi="宋体" w:eastAsia="仿宋_GB2312" w:cs="宋体"/>
          <w:color w:val="auto"/>
          <w:kern w:val="0"/>
          <w:sz w:val="32"/>
          <w:szCs w:val="32"/>
          <w:lang w:val="zh-TW" w:eastAsia="zh-CN"/>
        </w:rPr>
        <w:t>长沙</w:t>
      </w:r>
      <w:r>
        <w:rPr>
          <w:rFonts w:hint="eastAsia" w:ascii="仿宋_GB2312" w:hAnsi="宋体" w:eastAsia="仿宋_GB2312" w:cs="宋体"/>
          <w:color w:val="auto"/>
          <w:kern w:val="0"/>
          <w:sz w:val="32"/>
          <w:szCs w:val="32"/>
          <w:lang w:val="zh-TW"/>
        </w:rPr>
        <w:t>市</w:t>
      </w:r>
      <w:r>
        <w:rPr>
          <w:rFonts w:hint="eastAsia" w:ascii="仿宋_GB2312" w:hAnsi="宋体" w:eastAsia="仿宋_GB2312" w:cs="宋体"/>
          <w:color w:val="auto"/>
          <w:kern w:val="0"/>
          <w:sz w:val="32"/>
          <w:szCs w:val="32"/>
          <w:lang w:val="zh-TW" w:eastAsia="zh-TW"/>
        </w:rPr>
        <w:t>关于残疾学生和</w:t>
      </w:r>
      <w:r>
        <w:rPr>
          <w:rFonts w:hint="eastAsia" w:ascii="仿宋_GB2312" w:hAnsi="宋体" w:eastAsia="仿宋_GB2312" w:cs="宋体"/>
          <w:color w:val="auto"/>
          <w:kern w:val="0"/>
          <w:sz w:val="32"/>
          <w:szCs w:val="32"/>
          <w:lang w:val="zh-TW"/>
        </w:rPr>
        <w:t>困难</w:t>
      </w:r>
      <w:r>
        <w:rPr>
          <w:rFonts w:hint="eastAsia" w:ascii="仿宋_GB2312" w:hAnsi="宋体" w:eastAsia="仿宋_GB2312" w:cs="宋体"/>
          <w:color w:val="auto"/>
          <w:kern w:val="0"/>
          <w:sz w:val="32"/>
          <w:szCs w:val="32"/>
          <w:lang w:val="zh-TW" w:eastAsia="zh-TW"/>
        </w:rPr>
        <w:t>残疾人家庭子女就学补助</w:t>
      </w:r>
      <w:r>
        <w:rPr>
          <w:rFonts w:hint="eastAsia" w:ascii="仿宋_GB2312" w:hAnsi="宋体" w:eastAsia="仿宋_GB2312" w:cs="宋体"/>
          <w:color w:val="auto"/>
          <w:kern w:val="0"/>
          <w:sz w:val="32"/>
          <w:szCs w:val="32"/>
          <w:lang w:val="zh-TW"/>
        </w:rPr>
        <w:t>政策</w:t>
      </w:r>
      <w:r>
        <w:rPr>
          <w:rFonts w:hint="eastAsia" w:ascii="仿宋_GB2312" w:hAnsi="宋体" w:eastAsia="仿宋_GB2312" w:cs="宋体"/>
          <w:color w:val="auto"/>
          <w:kern w:val="0"/>
          <w:sz w:val="32"/>
          <w:szCs w:val="32"/>
          <w:lang w:val="zh-TW" w:eastAsia="zh-TW"/>
        </w:rPr>
        <w:t>，</w:t>
      </w:r>
      <w:r>
        <w:rPr>
          <w:rFonts w:hint="eastAsia" w:ascii="仿宋_GB2312" w:hAnsi="宋体" w:eastAsia="仿宋_GB2312" w:cs="宋体"/>
          <w:color w:val="auto"/>
          <w:kern w:val="0"/>
          <w:sz w:val="32"/>
          <w:szCs w:val="32"/>
          <w:lang w:val="zh-TW"/>
        </w:rPr>
        <w:t>对</w:t>
      </w:r>
      <w:r>
        <w:rPr>
          <w:rFonts w:hint="eastAsia" w:ascii="仿宋_GB2312" w:hAnsi="宋体" w:eastAsia="仿宋_GB2312" w:cs="宋体"/>
          <w:color w:val="auto"/>
          <w:kern w:val="0"/>
          <w:sz w:val="32"/>
          <w:szCs w:val="32"/>
          <w:lang w:val="zh-TW" w:eastAsia="zh-TW"/>
        </w:rPr>
        <w:t>符合条件的残疾学生及</w:t>
      </w:r>
      <w:r>
        <w:rPr>
          <w:rFonts w:hint="eastAsia" w:ascii="仿宋_GB2312" w:hAnsi="宋体" w:eastAsia="仿宋_GB2312" w:cs="宋体"/>
          <w:color w:val="auto"/>
          <w:kern w:val="0"/>
          <w:sz w:val="32"/>
          <w:szCs w:val="32"/>
          <w:lang w:val="zh-TW"/>
        </w:rPr>
        <w:t>困难</w:t>
      </w:r>
      <w:r>
        <w:rPr>
          <w:rFonts w:hint="eastAsia" w:ascii="仿宋_GB2312" w:hAnsi="宋体" w:eastAsia="仿宋_GB2312" w:cs="宋体"/>
          <w:color w:val="auto"/>
          <w:kern w:val="0"/>
          <w:sz w:val="32"/>
          <w:szCs w:val="32"/>
          <w:lang w:val="zh-TW" w:eastAsia="zh-TW"/>
        </w:rPr>
        <w:t>残疾人家庭子女就学</w:t>
      </w:r>
      <w:r>
        <w:rPr>
          <w:rFonts w:hint="eastAsia" w:ascii="仿宋_GB2312" w:hAnsi="宋体" w:eastAsia="仿宋_GB2312" w:cs="宋体"/>
          <w:color w:val="auto"/>
          <w:kern w:val="0"/>
          <w:sz w:val="32"/>
          <w:szCs w:val="32"/>
          <w:lang w:val="zh-TW"/>
        </w:rPr>
        <w:t>做到应补尽补</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zh-TW"/>
        </w:rPr>
        <w:t>掌握本年度参加高考的残疾学生报考及录取情况，协助落实申请合理便利措施。</w:t>
      </w:r>
      <w:r>
        <w:rPr>
          <w:rFonts w:hint="eastAsia" w:ascii="仿宋_GB2312" w:hAnsi="宋体" w:eastAsia="仿宋_GB2312" w:cs="宋体"/>
          <w:color w:val="auto"/>
          <w:kern w:val="0"/>
          <w:sz w:val="32"/>
          <w:szCs w:val="32"/>
          <w:lang w:val="zh-TW" w:eastAsia="zh-CN"/>
        </w:rPr>
        <w:t>组织开展残疾人职业技能培训，</w:t>
      </w:r>
      <w:r>
        <w:rPr>
          <w:rFonts w:hint="eastAsia" w:ascii="仿宋_GB2312" w:hAnsi="宋体" w:eastAsia="仿宋_GB2312" w:cs="宋体"/>
          <w:color w:val="auto"/>
          <w:kern w:val="0"/>
          <w:sz w:val="32"/>
          <w:szCs w:val="32"/>
          <w:lang w:val="zh-TW"/>
        </w:rPr>
        <w:t>为</w:t>
      </w:r>
      <w:r>
        <w:rPr>
          <w:rFonts w:hint="eastAsia" w:ascii="仿宋_GB2312" w:hAnsi="宋体" w:eastAsia="仿宋_GB2312" w:cs="宋体"/>
          <w:color w:val="auto"/>
          <w:kern w:val="0"/>
          <w:sz w:val="32"/>
          <w:szCs w:val="32"/>
          <w:lang w:val="en-US" w:eastAsia="zh-CN"/>
        </w:rPr>
        <w:t>150</w:t>
      </w:r>
      <w:r>
        <w:rPr>
          <w:rFonts w:hint="eastAsia" w:ascii="仿宋_GB2312" w:hAnsi="宋体" w:eastAsia="仿宋_GB2312" w:cs="宋体"/>
          <w:color w:val="auto"/>
          <w:kern w:val="0"/>
          <w:sz w:val="32"/>
          <w:szCs w:val="32"/>
          <w:lang w:val="zh-TW"/>
        </w:rPr>
        <w:t>名有培训需求的残疾人</w:t>
      </w:r>
      <w:r>
        <w:rPr>
          <w:rFonts w:hint="eastAsia" w:ascii="仿宋_GB2312" w:hAnsi="宋体" w:eastAsia="仿宋_GB2312" w:cs="宋体"/>
          <w:color w:val="auto"/>
          <w:kern w:val="0"/>
          <w:sz w:val="32"/>
          <w:szCs w:val="32"/>
          <w:lang w:val="zh-TW" w:eastAsia="zh-CN"/>
        </w:rPr>
        <w:t>提升就业技能</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zh-TW"/>
        </w:rPr>
        <w:t>通过技术培训、生产资料扶持、结对帮扶、生产服务指导等，为</w:t>
      </w:r>
      <w:r>
        <w:rPr>
          <w:rFonts w:hint="eastAsia" w:ascii="仿宋_GB2312" w:hAnsi="宋体" w:eastAsia="仿宋_GB2312" w:cs="宋体"/>
          <w:color w:val="auto"/>
          <w:kern w:val="0"/>
          <w:sz w:val="32"/>
          <w:szCs w:val="32"/>
          <w:lang w:val="en-US" w:eastAsia="zh-CN"/>
        </w:rPr>
        <w:t>300</w:t>
      </w:r>
      <w:r>
        <w:rPr>
          <w:rFonts w:hint="eastAsia" w:ascii="仿宋_GB2312" w:hAnsi="宋体" w:eastAsia="仿宋_GB2312" w:cs="宋体"/>
          <w:color w:val="auto"/>
          <w:kern w:val="0"/>
          <w:sz w:val="32"/>
          <w:szCs w:val="32"/>
          <w:lang w:val="zh-TW"/>
        </w:rPr>
        <w:t>名残疾人开展农村残疾人实用技术培训。</w:t>
      </w:r>
    </w:p>
    <w:p>
      <w:pPr>
        <w:widowControl/>
        <w:spacing w:line="580" w:lineRule="exact"/>
        <w:ind w:firstLine="482"/>
        <w:jc w:val="left"/>
        <w:rPr>
          <w:rFonts w:hint="eastAsia" w:ascii="仿宋_GB2312" w:hAnsi="宋体" w:eastAsia="仿宋_GB2312" w:cs="宋体"/>
          <w:color w:val="auto"/>
          <w:kern w:val="0"/>
          <w:sz w:val="32"/>
          <w:szCs w:val="32"/>
          <w:lang w:val="zh-TW"/>
        </w:rPr>
      </w:pP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lang w:val="zh-TW"/>
        </w:rPr>
        <w:t>．大力扶持就业创业。加大按比例安排残疾人就业政策宣传力度，依法开展按比例安排残疾人就业</w:t>
      </w:r>
      <w:r>
        <w:rPr>
          <w:rFonts w:hint="eastAsia" w:ascii="仿宋_GB2312" w:hAnsi="宋体" w:eastAsia="仿宋_GB2312" w:cs="宋体"/>
          <w:color w:val="auto"/>
          <w:kern w:val="0"/>
          <w:sz w:val="32"/>
          <w:szCs w:val="32"/>
          <w:lang w:val="zh-TW" w:eastAsia="zh-CN"/>
        </w:rPr>
        <w:t>情况认证</w:t>
      </w:r>
      <w:r>
        <w:rPr>
          <w:rFonts w:hint="eastAsia" w:ascii="仿宋_GB2312" w:hAnsi="宋体" w:eastAsia="仿宋_GB2312" w:cs="宋体"/>
          <w:color w:val="auto"/>
          <w:kern w:val="0"/>
          <w:sz w:val="32"/>
          <w:szCs w:val="32"/>
          <w:lang w:val="zh-TW"/>
        </w:rPr>
        <w:t>、公示，配合财政、税务部门力争征收</w:t>
      </w:r>
      <w:r>
        <w:rPr>
          <w:rFonts w:hint="eastAsia" w:ascii="仿宋_GB2312" w:hAnsi="宋体" w:eastAsia="仿宋_GB2312" w:cs="宋体"/>
          <w:color w:val="auto"/>
          <w:kern w:val="0"/>
          <w:sz w:val="32"/>
          <w:szCs w:val="32"/>
          <w:lang w:val="zh-TW" w:eastAsia="zh-CN"/>
        </w:rPr>
        <w:t>残疾人就业保障金</w:t>
      </w:r>
      <w:r>
        <w:rPr>
          <w:rFonts w:hint="eastAsia" w:ascii="仿宋_GB2312" w:hAnsi="宋体" w:eastAsia="仿宋_GB2312" w:cs="宋体"/>
          <w:color w:val="auto"/>
          <w:kern w:val="0"/>
          <w:sz w:val="32"/>
          <w:szCs w:val="32"/>
          <w:lang w:val="zh-TW"/>
        </w:rPr>
        <w:t>达到</w:t>
      </w:r>
      <w:r>
        <w:rPr>
          <w:rFonts w:hint="eastAsia" w:ascii="仿宋_GB2312" w:hAnsi="宋体" w:eastAsia="仿宋_GB2312" w:cs="宋体"/>
          <w:color w:val="auto"/>
          <w:kern w:val="0"/>
          <w:sz w:val="32"/>
          <w:szCs w:val="32"/>
          <w:lang w:val="en-US" w:eastAsia="zh-CN"/>
        </w:rPr>
        <w:t>2000</w:t>
      </w:r>
      <w:r>
        <w:rPr>
          <w:rFonts w:hint="eastAsia" w:ascii="仿宋_GB2312" w:hAnsi="宋体" w:eastAsia="仿宋_GB2312" w:cs="宋体"/>
          <w:color w:val="auto"/>
          <w:kern w:val="0"/>
          <w:sz w:val="32"/>
          <w:szCs w:val="32"/>
          <w:lang w:val="zh-TW"/>
        </w:rPr>
        <w:t>万元以上；继续扶持符合条件的城乡残疾人自主创业，为残疾人实现就业增收提供服务；组织开展残疾人专场招聘会和就业援助月专项活动，重点围绕残疾人大学生、贫困残疾人、未就业残疾人切实做好职业指导、职业介绍等服务。</w:t>
      </w:r>
    </w:p>
    <w:p>
      <w:pPr>
        <w:widowControl/>
        <w:spacing w:line="580" w:lineRule="exact"/>
        <w:ind w:firstLine="482"/>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提升</w:t>
      </w:r>
      <w:r>
        <w:rPr>
          <w:rFonts w:hint="eastAsia" w:ascii="仿宋_GB2312" w:hAnsi="宋体" w:eastAsia="仿宋_GB2312" w:cs="宋体"/>
          <w:color w:val="auto"/>
          <w:kern w:val="0"/>
          <w:sz w:val="32"/>
          <w:szCs w:val="32"/>
        </w:rPr>
        <w:t>托养服务</w:t>
      </w:r>
      <w:r>
        <w:rPr>
          <w:rFonts w:hint="eastAsia" w:ascii="仿宋_GB2312" w:hAnsi="宋体" w:eastAsia="仿宋_GB2312" w:cs="宋体"/>
          <w:color w:val="auto"/>
          <w:kern w:val="0"/>
          <w:sz w:val="32"/>
          <w:szCs w:val="32"/>
          <w:lang w:eastAsia="zh-CN"/>
        </w:rPr>
        <w:t>水平</w:t>
      </w:r>
      <w:r>
        <w:rPr>
          <w:rFonts w:hint="eastAsia" w:ascii="仿宋_GB2312" w:hAnsi="宋体" w:eastAsia="仿宋_GB2312" w:cs="宋体"/>
          <w:color w:val="auto"/>
          <w:kern w:val="0"/>
          <w:sz w:val="32"/>
          <w:szCs w:val="32"/>
        </w:rPr>
        <w:t>。加强</w:t>
      </w:r>
      <w:r>
        <w:rPr>
          <w:rFonts w:hint="eastAsia" w:ascii="仿宋_GB2312" w:hAnsi="宋体" w:eastAsia="仿宋_GB2312" w:cs="宋体"/>
          <w:color w:val="auto"/>
          <w:kern w:val="0"/>
          <w:sz w:val="32"/>
          <w:szCs w:val="32"/>
          <w:lang w:eastAsia="zh-CN"/>
        </w:rPr>
        <w:t>对残疾人托养机构的监管，提高机构</w:t>
      </w:r>
      <w:r>
        <w:rPr>
          <w:rFonts w:hint="eastAsia" w:ascii="仿宋_GB2312" w:hAnsi="宋体" w:eastAsia="仿宋_GB2312" w:cs="宋体"/>
          <w:color w:val="auto"/>
          <w:kern w:val="0"/>
          <w:sz w:val="32"/>
          <w:szCs w:val="32"/>
        </w:rPr>
        <w:t>安全管理水平，为</w:t>
      </w:r>
      <w:r>
        <w:rPr>
          <w:rFonts w:hint="eastAsia" w:ascii="仿宋_GB2312" w:hAnsi="宋体" w:eastAsia="仿宋_GB2312" w:cs="宋体"/>
          <w:color w:val="auto"/>
          <w:kern w:val="0"/>
          <w:sz w:val="32"/>
          <w:szCs w:val="32"/>
          <w:lang w:val="en-US" w:eastAsia="zh-CN"/>
        </w:rPr>
        <w:t>200</w:t>
      </w:r>
      <w:r>
        <w:rPr>
          <w:rFonts w:hint="eastAsia" w:ascii="仿宋_GB2312" w:hAnsi="宋体" w:eastAsia="仿宋_GB2312" w:cs="宋体"/>
          <w:color w:val="auto"/>
          <w:kern w:val="0"/>
          <w:sz w:val="32"/>
          <w:szCs w:val="32"/>
        </w:rPr>
        <w:t>名残疾人提供日间照料、康复训练，辅助性就业服务；</w:t>
      </w:r>
      <w:r>
        <w:rPr>
          <w:rFonts w:hint="eastAsia" w:ascii="仿宋_GB2312" w:hAnsi="宋体" w:eastAsia="仿宋_GB2312" w:cs="宋体"/>
          <w:color w:val="auto"/>
          <w:kern w:val="0"/>
          <w:sz w:val="32"/>
          <w:szCs w:val="32"/>
          <w:lang w:eastAsia="zh-CN"/>
        </w:rPr>
        <w:t>指导托养机构</w:t>
      </w:r>
      <w:r>
        <w:rPr>
          <w:rFonts w:hint="eastAsia" w:ascii="仿宋_GB2312" w:hAnsi="宋体" w:eastAsia="仿宋_GB2312" w:cs="宋体"/>
          <w:color w:val="auto"/>
          <w:kern w:val="0"/>
          <w:sz w:val="32"/>
          <w:szCs w:val="32"/>
        </w:rPr>
        <w:t>加大辅助性就业工作开展力度，指导符合条件的新建机构开展申报和验收工作。实施“阳光家园”计划，积极购买服务，为</w:t>
      </w:r>
      <w:r>
        <w:rPr>
          <w:rFonts w:hint="eastAsia" w:ascii="仿宋_GB2312" w:hAnsi="宋体" w:eastAsia="仿宋_GB2312" w:cs="宋体"/>
          <w:color w:val="auto"/>
          <w:kern w:val="0"/>
          <w:sz w:val="32"/>
          <w:szCs w:val="32"/>
          <w:lang w:val="en-US" w:eastAsia="zh-CN"/>
        </w:rPr>
        <w:t>90</w:t>
      </w:r>
      <w:r>
        <w:rPr>
          <w:rFonts w:hint="eastAsia" w:ascii="仿宋_GB2312" w:hAnsi="宋体" w:eastAsia="仿宋_GB2312" w:cs="宋体"/>
          <w:color w:val="auto"/>
          <w:kern w:val="0"/>
          <w:sz w:val="32"/>
          <w:szCs w:val="32"/>
        </w:rPr>
        <w:t>名贫困残疾人上门提供居家托养服务</w:t>
      </w:r>
      <w:r>
        <w:rPr>
          <w:rFonts w:hint="eastAsia" w:ascii="仿宋_GB2312" w:hAnsi="宋体" w:eastAsia="仿宋_GB2312" w:cs="宋体"/>
          <w:color w:val="auto"/>
          <w:kern w:val="0"/>
          <w:sz w:val="32"/>
          <w:szCs w:val="32"/>
          <w:lang w:eastAsia="zh-CN"/>
        </w:rPr>
        <w:t>。</w:t>
      </w:r>
    </w:p>
    <w:p>
      <w:pPr>
        <w:widowControl/>
        <w:spacing w:line="580" w:lineRule="exact"/>
        <w:ind w:firstLine="482"/>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做好保障帮扶工作</w:t>
      </w:r>
      <w:r>
        <w:rPr>
          <w:rFonts w:hint="eastAsia" w:ascii="仿宋_GB2312" w:hAnsi="宋体" w:eastAsia="仿宋_GB2312" w:cs="宋体"/>
          <w:color w:val="auto"/>
          <w:kern w:val="0"/>
          <w:sz w:val="32"/>
          <w:szCs w:val="32"/>
        </w:rPr>
        <w:t>。加强与人社、医保部门的沟通协调，确保残疾人社会保险政府代缴工作的落实；</w:t>
      </w:r>
      <w:r>
        <w:rPr>
          <w:rFonts w:hint="eastAsia" w:ascii="仿宋_GB2312" w:hAnsi="宋体" w:eastAsia="仿宋_GB2312" w:cs="宋体"/>
          <w:color w:val="auto"/>
          <w:kern w:val="0"/>
          <w:sz w:val="32"/>
          <w:szCs w:val="32"/>
          <w:lang w:val="zh-TW" w:eastAsia="zh-TW"/>
        </w:rPr>
        <w:t>配合民政部门，</w:t>
      </w:r>
      <w:r>
        <w:rPr>
          <w:rFonts w:hint="eastAsia" w:ascii="仿宋_GB2312" w:hAnsi="宋体" w:eastAsia="仿宋_GB2312" w:cs="宋体"/>
          <w:color w:val="auto"/>
          <w:kern w:val="0"/>
          <w:sz w:val="32"/>
          <w:szCs w:val="32"/>
        </w:rPr>
        <w:t>做好残疾人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两项补贴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申报、审核工作</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eastAsia="zh-CN"/>
        </w:rPr>
        <w:t>继续</w:t>
      </w:r>
      <w:r>
        <w:rPr>
          <w:rFonts w:hint="eastAsia" w:ascii="仿宋_GB2312" w:hAnsi="宋体" w:eastAsia="仿宋_GB2312" w:cs="宋体"/>
          <w:color w:val="auto"/>
          <w:kern w:val="0"/>
          <w:sz w:val="32"/>
          <w:szCs w:val="32"/>
        </w:rPr>
        <w:t>开展“四帮四促”</w:t>
      </w:r>
      <w:r>
        <w:rPr>
          <w:rFonts w:hint="eastAsia" w:ascii="仿宋_GB2312" w:hAnsi="宋体" w:eastAsia="仿宋_GB2312" w:cs="宋体"/>
          <w:color w:val="auto"/>
          <w:kern w:val="0"/>
          <w:sz w:val="32"/>
          <w:szCs w:val="32"/>
          <w:lang w:eastAsia="zh-CN"/>
        </w:rPr>
        <w:t>联村帮扶活动，切实指导高坪镇向阳村推进乡村振兴工作</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按照省、长沙市残联要求，组织开展对口帮扶通道县残联工作。加强与市乡村振兴局等部门的联动，协同开展残疾人防返贫监测工作，确保残疾人群体不发生规模性返贫。继续开展救助慰问困难残疾人工作。</w:t>
      </w:r>
    </w:p>
    <w:p>
      <w:pPr>
        <w:widowControl/>
        <w:spacing w:line="580" w:lineRule="exact"/>
        <w:ind w:firstLine="482"/>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．加强信访维权。</w:t>
      </w:r>
      <w:r>
        <w:rPr>
          <w:rFonts w:hint="eastAsia" w:ascii="仿宋_GB2312" w:hAnsi="宋体" w:eastAsia="仿宋_GB2312" w:cs="宋体"/>
          <w:color w:val="auto"/>
          <w:kern w:val="0"/>
          <w:sz w:val="32"/>
          <w:szCs w:val="32"/>
          <w:lang w:eastAsia="zh-CN"/>
        </w:rPr>
        <w:t>加强</w:t>
      </w:r>
      <w:r>
        <w:rPr>
          <w:rFonts w:hint="eastAsia" w:ascii="仿宋_GB2312" w:hAnsi="宋体" w:eastAsia="仿宋_GB2312" w:cs="宋体"/>
          <w:color w:val="auto"/>
          <w:kern w:val="0"/>
          <w:sz w:val="32"/>
          <w:szCs w:val="32"/>
        </w:rPr>
        <w:t>残疾人法律救助站</w:t>
      </w:r>
      <w:r>
        <w:rPr>
          <w:rFonts w:hint="eastAsia" w:ascii="仿宋_GB2312" w:hAnsi="宋体" w:eastAsia="仿宋_GB2312" w:cs="宋体"/>
          <w:color w:val="auto"/>
          <w:kern w:val="0"/>
          <w:sz w:val="32"/>
          <w:szCs w:val="32"/>
          <w:lang w:eastAsia="zh-CN"/>
        </w:rPr>
        <w:t>规范化建设</w:t>
      </w:r>
      <w:r>
        <w:rPr>
          <w:rFonts w:hint="eastAsia" w:ascii="仿宋_GB2312" w:hAnsi="宋体" w:eastAsia="仿宋_GB2312" w:cs="宋体"/>
          <w:color w:val="auto"/>
          <w:kern w:val="0"/>
          <w:sz w:val="32"/>
          <w:szCs w:val="32"/>
        </w:rPr>
        <w:t>，积极做好残疾人法律问题解答和法律</w:t>
      </w:r>
      <w:r>
        <w:rPr>
          <w:rFonts w:hint="eastAsia" w:ascii="仿宋_GB2312" w:hAnsi="宋体" w:eastAsia="仿宋_GB2312" w:cs="宋体"/>
          <w:color w:val="auto"/>
          <w:kern w:val="0"/>
          <w:sz w:val="32"/>
          <w:szCs w:val="32"/>
          <w:lang w:eastAsia="zh-CN"/>
        </w:rPr>
        <w:t>救助</w:t>
      </w:r>
      <w:r>
        <w:rPr>
          <w:rFonts w:hint="eastAsia" w:ascii="仿宋_GB2312" w:hAnsi="宋体" w:eastAsia="仿宋_GB2312" w:cs="宋体"/>
          <w:color w:val="auto"/>
          <w:kern w:val="0"/>
          <w:sz w:val="32"/>
          <w:szCs w:val="32"/>
        </w:rPr>
        <w:t>助工作；及时办理 “12345”热线残疾人各类合理诉求，依法维护残疾人的合法权益；做好残疾人机动车燃油补贴申报、发放工作。</w:t>
      </w:r>
      <w:r>
        <w:rPr>
          <w:rFonts w:hint="eastAsia" w:ascii="仿宋_GB2312" w:hAnsi="宋体" w:eastAsia="仿宋_GB2312" w:cs="宋体"/>
          <w:color w:val="auto"/>
          <w:kern w:val="0"/>
          <w:sz w:val="32"/>
          <w:szCs w:val="32"/>
          <w:lang w:eastAsia="zh-CN"/>
        </w:rPr>
        <w:t>加强不稳定隐患排查，建立突发事件应急处置机制，维护残疾人群体稳定。</w:t>
      </w:r>
      <w:r>
        <w:rPr>
          <w:rFonts w:hint="eastAsia" w:ascii="仿宋_GB2312" w:hAnsi="宋体" w:eastAsia="仿宋_GB2312" w:cs="宋体"/>
          <w:color w:val="auto"/>
          <w:kern w:val="0"/>
          <w:sz w:val="32"/>
          <w:szCs w:val="32"/>
        </w:rPr>
        <w:t>推进无障碍环境建设，在全市开展</w:t>
      </w:r>
      <w:r>
        <w:rPr>
          <w:rFonts w:hint="eastAsia" w:ascii="仿宋_GB2312" w:hAnsi="宋体" w:eastAsia="仿宋_GB2312" w:cs="宋体"/>
          <w:color w:val="auto"/>
          <w:kern w:val="0"/>
          <w:sz w:val="32"/>
          <w:szCs w:val="32"/>
          <w:lang w:eastAsia="zh-CN"/>
        </w:rPr>
        <w:t>困难残疾人家庭和社区无障碍改造工作，全年</w:t>
      </w:r>
      <w:r>
        <w:rPr>
          <w:rFonts w:hint="eastAsia" w:ascii="仿宋_GB2312" w:hAnsi="宋体" w:eastAsia="仿宋_GB2312" w:cs="宋体"/>
          <w:color w:val="auto"/>
          <w:kern w:val="0"/>
          <w:sz w:val="32"/>
          <w:szCs w:val="32"/>
        </w:rPr>
        <w:t>完成</w:t>
      </w:r>
      <w:r>
        <w:rPr>
          <w:rFonts w:hint="eastAsia" w:ascii="仿宋_GB2312" w:hAnsi="宋体" w:eastAsia="仿宋_GB2312" w:cs="宋体"/>
          <w:color w:val="auto"/>
          <w:kern w:val="0"/>
          <w:sz w:val="32"/>
          <w:szCs w:val="32"/>
          <w:lang w:val="en-US" w:eastAsia="zh-CN"/>
        </w:rPr>
        <w:t>180</w:t>
      </w:r>
      <w:r>
        <w:rPr>
          <w:rFonts w:hint="eastAsia" w:ascii="仿宋_GB2312" w:hAnsi="宋体" w:eastAsia="仿宋_GB2312" w:cs="宋体"/>
          <w:color w:val="auto"/>
          <w:kern w:val="0"/>
          <w:sz w:val="32"/>
          <w:szCs w:val="32"/>
        </w:rPr>
        <w:t>户残疾人家庭和1个社区无障碍改造。</w:t>
      </w:r>
    </w:p>
    <w:p>
      <w:pPr>
        <w:widowControl/>
        <w:spacing w:line="580" w:lineRule="exact"/>
        <w:ind w:firstLine="482"/>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7</w:t>
      </w:r>
      <w:r>
        <w:rPr>
          <w:rFonts w:hint="eastAsia" w:ascii="仿宋_GB2312" w:hAnsi="宋体" w:eastAsia="仿宋_GB2312" w:cs="宋体"/>
          <w:color w:val="auto"/>
          <w:kern w:val="0"/>
          <w:sz w:val="32"/>
          <w:szCs w:val="32"/>
        </w:rPr>
        <w:t>. 加强基层建设。</w:t>
      </w:r>
      <w:r>
        <w:rPr>
          <w:rFonts w:hint="eastAsia" w:ascii="仿宋_GB2312" w:hAnsi="宋体" w:eastAsia="仿宋_GB2312" w:cs="宋体"/>
          <w:color w:val="auto"/>
          <w:kern w:val="0"/>
          <w:sz w:val="32"/>
          <w:szCs w:val="32"/>
          <w:lang w:eastAsia="zh-CN"/>
        </w:rPr>
        <w:t>落实《长沙市乡镇（街道）残联专职委员管理办法》，选聘和培训一批专职委员为基层残疾人群众提供服务</w:t>
      </w:r>
      <w:r>
        <w:rPr>
          <w:rFonts w:hint="eastAsia" w:ascii="仿宋_GB2312" w:hAnsi="宋体" w:eastAsia="仿宋_GB2312" w:cs="宋体"/>
          <w:color w:val="auto"/>
          <w:kern w:val="0"/>
          <w:sz w:val="32"/>
          <w:szCs w:val="32"/>
        </w:rPr>
        <w:t>；加强专门协会工作指导，全面夯实残疾人事业发展基础。进一步规范残疾人证的核发管理，提高办证透明度</w:t>
      </w:r>
      <w:r>
        <w:rPr>
          <w:rFonts w:hint="eastAsia" w:ascii="仿宋_GB2312" w:hAnsi="宋体" w:eastAsia="仿宋_GB2312" w:cs="宋体"/>
          <w:color w:val="auto"/>
          <w:kern w:val="0"/>
          <w:sz w:val="32"/>
          <w:szCs w:val="32"/>
          <w:lang w:eastAsia="zh-CN"/>
        </w:rPr>
        <w:t>。继续开展全市持证残疾人基本状况调查工作，为残疾人个性化需求提供数据支撑。</w:t>
      </w:r>
    </w:p>
    <w:p>
      <w:pPr>
        <w:widowControl/>
        <w:spacing w:line="580" w:lineRule="exact"/>
        <w:ind w:firstLine="482"/>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 浓厚</w:t>
      </w:r>
      <w:r>
        <w:rPr>
          <w:rFonts w:hint="eastAsia" w:ascii="仿宋_GB2312" w:hAnsi="宋体" w:eastAsia="仿宋_GB2312" w:cs="宋体"/>
          <w:color w:val="auto"/>
          <w:kern w:val="0"/>
          <w:sz w:val="32"/>
          <w:szCs w:val="32"/>
          <w:lang w:eastAsia="zh-CN"/>
        </w:rPr>
        <w:t>助残</w:t>
      </w:r>
      <w:r>
        <w:rPr>
          <w:rFonts w:hint="eastAsia" w:ascii="仿宋_GB2312" w:hAnsi="宋体" w:eastAsia="仿宋_GB2312" w:cs="宋体"/>
          <w:color w:val="auto"/>
          <w:kern w:val="0"/>
          <w:sz w:val="32"/>
          <w:szCs w:val="32"/>
        </w:rPr>
        <w:t>氛围。认真开展“全国助残日”、“国际残疾人日”等活动；积极参与长沙市残联新时代学雷锋“善行四十佳”评选活动，挖掘典型，大力宣传社会助残感人事迹和残疾人自强模范；有效引导各残疾人服务中心和社会公益组织开展志愿助残服务活动；继续在全市机关、事业单位和社会团体中开展“一日工资助残”活动，大力倡导扶残助残新风尚。</w:t>
      </w:r>
    </w:p>
    <w:p>
      <w:pPr>
        <w:widowControl/>
        <w:spacing w:line="580" w:lineRule="exact"/>
        <w:ind w:firstLine="482"/>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rPr>
        <w:t>. 开展文体活动。积极组织参加省级、长沙市级举办的各类文体活动；指导各残疾人服务机构和乡镇残联因地制宜地开展各类残疾人文体活动；扶持残疾人文体培训基地建设，广泛挖掘培养残疾人优秀体育和文艺苗子，做好残疾人运动员集训工作，组织和推送运动员参加各类大赛。</w:t>
      </w:r>
    </w:p>
    <w:p>
      <w:pPr>
        <w:spacing w:line="596"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（四）部门整体支出规模、使用方向、主要内容和涉及范围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宋体" w:hAnsi="宋体" w:eastAsia="宋体" w:cs="宋体"/>
          <w:i w:val="0"/>
          <w:caps w:val="0"/>
          <w:color w:val="auto"/>
          <w:spacing w:val="0"/>
          <w:sz w:val="24"/>
          <w:szCs w:val="24"/>
        </w:rPr>
      </w:pPr>
      <w:r>
        <w:rPr>
          <w:rFonts w:hint="eastAsia" w:ascii="仿宋_GB2312" w:eastAsia="仿宋_GB2312" w:cs="仿宋_GB2312"/>
          <w:i w:val="0"/>
          <w:caps w:val="0"/>
          <w:color w:val="auto"/>
          <w:spacing w:val="0"/>
          <w:sz w:val="31"/>
          <w:szCs w:val="31"/>
          <w:lang w:eastAsia="zh-CN"/>
        </w:rPr>
        <w:t>2022年</w:t>
      </w:r>
      <w:r>
        <w:rPr>
          <w:rFonts w:hint="eastAsia" w:ascii="仿宋_GB2312" w:hAnsi="宋体" w:eastAsia="仿宋_GB2312" w:cs="仿宋_GB2312"/>
          <w:i w:val="0"/>
          <w:caps w:val="0"/>
          <w:color w:val="auto"/>
          <w:spacing w:val="0"/>
          <w:sz w:val="31"/>
          <w:szCs w:val="31"/>
        </w:rPr>
        <w:t>我会整体支出规模为</w:t>
      </w:r>
      <w:r>
        <w:rPr>
          <w:rFonts w:hint="eastAsia" w:ascii="仿宋_GB2312" w:eastAsia="仿宋_GB2312" w:cs="仿宋_GB2312"/>
          <w:i w:val="0"/>
          <w:caps w:val="0"/>
          <w:color w:val="auto"/>
          <w:spacing w:val="0"/>
          <w:sz w:val="31"/>
          <w:szCs w:val="31"/>
          <w:lang w:val="en-US" w:eastAsia="zh-CN"/>
        </w:rPr>
        <w:t>2459.8</w:t>
      </w:r>
      <w:r>
        <w:rPr>
          <w:rFonts w:hint="eastAsia" w:ascii="仿宋_GB2312" w:hAnsi="宋体" w:eastAsia="仿宋_GB2312" w:cs="仿宋_GB2312"/>
          <w:i w:val="0"/>
          <w:caps w:val="0"/>
          <w:color w:val="auto"/>
          <w:spacing w:val="0"/>
          <w:sz w:val="31"/>
          <w:szCs w:val="31"/>
        </w:rPr>
        <w:t>万元，其中：基本支出</w:t>
      </w:r>
      <w:r>
        <w:rPr>
          <w:rFonts w:hint="eastAsia" w:ascii="仿宋_GB2312" w:eastAsia="仿宋_GB2312" w:cs="仿宋_GB2312"/>
          <w:i w:val="0"/>
          <w:caps w:val="0"/>
          <w:color w:val="auto"/>
          <w:spacing w:val="0"/>
          <w:sz w:val="31"/>
          <w:szCs w:val="31"/>
          <w:lang w:val="en-US" w:eastAsia="zh-CN"/>
        </w:rPr>
        <w:t>2294.82</w:t>
      </w:r>
      <w:r>
        <w:rPr>
          <w:rFonts w:hint="eastAsia" w:ascii="仿宋_GB2312" w:hAnsi="宋体" w:eastAsia="仿宋_GB2312" w:cs="仿宋_GB2312"/>
          <w:i w:val="0"/>
          <w:caps w:val="0"/>
          <w:color w:val="auto"/>
          <w:spacing w:val="0"/>
          <w:sz w:val="31"/>
          <w:szCs w:val="31"/>
        </w:rPr>
        <w:t>万元，占当年总支出的</w:t>
      </w:r>
      <w:r>
        <w:rPr>
          <w:rFonts w:hint="eastAsia" w:ascii="仿宋_GB2312" w:eastAsia="仿宋_GB2312" w:cs="仿宋_GB2312"/>
          <w:i w:val="0"/>
          <w:caps w:val="0"/>
          <w:color w:val="auto"/>
          <w:spacing w:val="0"/>
          <w:sz w:val="31"/>
          <w:szCs w:val="31"/>
          <w:lang w:val="en-US" w:eastAsia="zh-CN"/>
        </w:rPr>
        <w:t>11.99</w:t>
      </w:r>
      <w:r>
        <w:rPr>
          <w:rFonts w:hint="eastAsia" w:ascii="仿宋_GB2312" w:hAnsi="宋体" w:eastAsia="仿宋_GB2312" w:cs="仿宋_GB2312"/>
          <w:i w:val="0"/>
          <w:caps w:val="0"/>
          <w:color w:val="auto"/>
          <w:spacing w:val="0"/>
          <w:sz w:val="31"/>
          <w:szCs w:val="31"/>
        </w:rPr>
        <w:t>%；项目支出</w:t>
      </w:r>
      <w:r>
        <w:rPr>
          <w:rFonts w:hint="eastAsia" w:ascii="仿宋_GB2312" w:eastAsia="仿宋_GB2312" w:cs="仿宋_GB2312"/>
          <w:i w:val="0"/>
          <w:caps w:val="0"/>
          <w:color w:val="auto"/>
          <w:spacing w:val="0"/>
          <w:sz w:val="31"/>
          <w:szCs w:val="31"/>
          <w:lang w:val="en-US" w:eastAsia="zh-CN"/>
        </w:rPr>
        <w:t>2164.98</w:t>
      </w:r>
      <w:r>
        <w:rPr>
          <w:rFonts w:hint="eastAsia" w:ascii="仿宋_GB2312" w:hAnsi="宋体" w:eastAsia="仿宋_GB2312" w:cs="仿宋_GB2312"/>
          <w:i w:val="0"/>
          <w:caps w:val="0"/>
          <w:color w:val="auto"/>
          <w:spacing w:val="0"/>
          <w:sz w:val="31"/>
          <w:szCs w:val="31"/>
        </w:rPr>
        <w:t>万元，占当年总支出的</w:t>
      </w:r>
      <w:r>
        <w:rPr>
          <w:rFonts w:hint="eastAsia" w:ascii="仿宋_GB2312" w:eastAsia="仿宋_GB2312" w:cs="仿宋_GB2312"/>
          <w:i w:val="0"/>
          <w:caps w:val="0"/>
          <w:color w:val="auto"/>
          <w:spacing w:val="0"/>
          <w:sz w:val="31"/>
          <w:szCs w:val="31"/>
          <w:lang w:val="en-US" w:eastAsia="zh-CN"/>
        </w:rPr>
        <w:t>88.01</w:t>
      </w:r>
      <w:r>
        <w:rPr>
          <w:rFonts w:hint="eastAsia" w:ascii="仿宋_GB2312" w:hAnsi="宋体" w:eastAsia="仿宋_GB2312" w:cs="仿宋_GB2312"/>
          <w:i w:val="0"/>
          <w:caps w:val="0"/>
          <w:color w:val="auto"/>
          <w:spacing w:val="0"/>
          <w:sz w:val="31"/>
          <w:szCs w:val="31"/>
        </w:rPr>
        <w:t>%。项目支出主要是单位为完成</w:t>
      </w:r>
      <w:r>
        <w:rPr>
          <w:rFonts w:hint="eastAsia" w:ascii="仿宋_GB2312" w:eastAsia="仿宋_GB2312" w:cs="仿宋_GB2312"/>
          <w:i w:val="0"/>
          <w:caps w:val="0"/>
          <w:color w:val="auto"/>
          <w:spacing w:val="0"/>
          <w:sz w:val="31"/>
          <w:szCs w:val="31"/>
          <w:lang w:eastAsia="zh-CN"/>
        </w:rPr>
        <w:t>本年度残疾人康复、教育、就业</w:t>
      </w:r>
      <w:r>
        <w:rPr>
          <w:rFonts w:hint="eastAsia" w:ascii="仿宋_GB2312" w:eastAsia="仿宋_GB2312" w:cs="仿宋_GB2312"/>
          <w:i w:val="0"/>
          <w:caps w:val="0"/>
          <w:color w:val="auto"/>
          <w:spacing w:val="0"/>
          <w:sz w:val="31"/>
          <w:szCs w:val="31"/>
          <w:lang w:val="en-US" w:eastAsia="zh-CN"/>
        </w:rPr>
        <w:t>等各项</w:t>
      </w:r>
      <w:r>
        <w:rPr>
          <w:rFonts w:hint="eastAsia" w:ascii="仿宋_GB2312" w:eastAsia="仿宋_GB2312" w:cs="仿宋_GB2312"/>
          <w:i w:val="0"/>
          <w:caps w:val="0"/>
          <w:color w:val="auto"/>
          <w:spacing w:val="0"/>
          <w:sz w:val="31"/>
          <w:szCs w:val="31"/>
          <w:lang w:eastAsia="zh-CN"/>
        </w:rPr>
        <w:t>工作目标</w:t>
      </w:r>
      <w:r>
        <w:rPr>
          <w:rFonts w:hint="eastAsia" w:ascii="仿宋_GB2312" w:hAnsi="宋体" w:eastAsia="仿宋_GB2312" w:cs="仿宋_GB2312"/>
          <w:i w:val="0"/>
          <w:caps w:val="0"/>
          <w:color w:val="auto"/>
          <w:spacing w:val="0"/>
          <w:sz w:val="31"/>
          <w:szCs w:val="31"/>
        </w:rPr>
        <w:t>而发生的支出，包括</w:t>
      </w:r>
      <w:r>
        <w:rPr>
          <w:rFonts w:hint="eastAsia" w:ascii="仿宋_GB2312" w:eastAsia="仿宋_GB2312" w:cs="仿宋_GB2312"/>
          <w:i w:val="0"/>
          <w:caps w:val="0"/>
          <w:color w:val="auto"/>
          <w:spacing w:val="0"/>
          <w:sz w:val="31"/>
          <w:szCs w:val="31"/>
          <w:lang w:eastAsia="zh-CN"/>
        </w:rPr>
        <w:t>残疾人康复</w:t>
      </w:r>
      <w:r>
        <w:rPr>
          <w:rFonts w:hint="eastAsia" w:ascii="仿宋_GB2312" w:hAnsi="宋体" w:eastAsia="仿宋_GB2312" w:cs="仿宋_GB2312"/>
          <w:i w:val="0"/>
          <w:caps w:val="0"/>
          <w:color w:val="auto"/>
          <w:spacing w:val="0"/>
          <w:sz w:val="31"/>
          <w:szCs w:val="31"/>
        </w:rPr>
        <w:t>经费、</w:t>
      </w:r>
      <w:r>
        <w:rPr>
          <w:rFonts w:hint="eastAsia" w:ascii="仿宋_GB2312" w:eastAsia="仿宋_GB2312" w:cs="仿宋_GB2312"/>
          <w:i w:val="0"/>
          <w:caps w:val="0"/>
          <w:color w:val="auto"/>
          <w:spacing w:val="0"/>
          <w:sz w:val="31"/>
          <w:szCs w:val="31"/>
          <w:lang w:eastAsia="zh-CN"/>
        </w:rPr>
        <w:t>残疾人就业和扶贫</w:t>
      </w:r>
      <w:r>
        <w:rPr>
          <w:rFonts w:hint="eastAsia" w:ascii="仿宋_GB2312" w:hAnsi="宋体" w:eastAsia="仿宋_GB2312" w:cs="仿宋_GB2312"/>
          <w:i w:val="0"/>
          <w:caps w:val="0"/>
          <w:color w:val="auto"/>
          <w:spacing w:val="0"/>
          <w:sz w:val="31"/>
          <w:szCs w:val="31"/>
        </w:rPr>
        <w:t>经费、</w:t>
      </w:r>
      <w:r>
        <w:rPr>
          <w:rFonts w:hint="eastAsia" w:ascii="仿宋_GB2312" w:eastAsia="仿宋_GB2312" w:cs="仿宋_GB2312"/>
          <w:i w:val="0"/>
          <w:caps w:val="0"/>
          <w:color w:val="auto"/>
          <w:spacing w:val="0"/>
          <w:sz w:val="31"/>
          <w:szCs w:val="31"/>
          <w:lang w:eastAsia="zh-CN"/>
        </w:rPr>
        <w:t>残疾人事业其他经费</w:t>
      </w:r>
      <w:r>
        <w:rPr>
          <w:rFonts w:hint="eastAsia" w:ascii="仿宋_GB2312" w:hAnsi="宋体" w:eastAsia="仿宋_GB2312" w:cs="仿宋_GB2312"/>
          <w:i w:val="0"/>
          <w:caps w:val="0"/>
          <w:color w:val="auto"/>
          <w:spacing w:val="0"/>
          <w:sz w:val="31"/>
          <w:szCs w:val="31"/>
        </w:rPr>
        <w:t>等。</w:t>
      </w:r>
    </w:p>
    <w:p>
      <w:pPr>
        <w:spacing w:line="596"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二、部门整体支出资金管理及使用情况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1．实际整体收支情况。本单位</w:t>
      </w:r>
      <w:r>
        <w:rPr>
          <w:rFonts w:hint="eastAsia" w:ascii="仿宋_GB2312" w:eastAsia="仿宋_GB2312" w:cs="仿宋_GB2312"/>
          <w:i w:val="0"/>
          <w:caps w:val="0"/>
          <w:color w:val="auto"/>
          <w:spacing w:val="0"/>
          <w:sz w:val="31"/>
          <w:szCs w:val="31"/>
          <w:lang w:val="en-US" w:eastAsia="zh-CN"/>
        </w:rPr>
        <w:t>2022年</w:t>
      </w:r>
      <w:r>
        <w:rPr>
          <w:rFonts w:hint="eastAsia" w:ascii="仿宋_GB2312" w:hAnsi="宋体" w:eastAsia="仿宋_GB2312" w:cs="仿宋_GB2312"/>
          <w:i w:val="0"/>
          <w:caps w:val="0"/>
          <w:color w:val="auto"/>
          <w:spacing w:val="0"/>
          <w:sz w:val="31"/>
          <w:szCs w:val="31"/>
          <w:lang w:val="en-US" w:eastAsia="zh-CN"/>
        </w:rPr>
        <w:t>度基本支出</w:t>
      </w:r>
      <w:r>
        <w:rPr>
          <w:rFonts w:hint="eastAsia" w:ascii="仿宋_GB2312" w:eastAsia="仿宋_GB2312" w:cs="仿宋_GB2312"/>
          <w:i w:val="0"/>
          <w:caps w:val="0"/>
          <w:color w:val="auto"/>
          <w:spacing w:val="0"/>
          <w:sz w:val="31"/>
          <w:szCs w:val="31"/>
          <w:lang w:val="en-US" w:eastAsia="zh-CN"/>
        </w:rPr>
        <w:t>294.82</w:t>
      </w:r>
      <w:r>
        <w:rPr>
          <w:rFonts w:hint="eastAsia" w:ascii="仿宋_GB2312" w:hAnsi="宋体" w:eastAsia="仿宋_GB2312" w:cs="仿宋_GB2312"/>
          <w:i w:val="0"/>
          <w:caps w:val="0"/>
          <w:color w:val="auto"/>
          <w:spacing w:val="0"/>
          <w:sz w:val="31"/>
          <w:szCs w:val="31"/>
          <w:lang w:val="en-US" w:eastAsia="zh-CN"/>
        </w:rPr>
        <w:t>万元，其中：人员经费</w:t>
      </w:r>
      <w:r>
        <w:rPr>
          <w:rFonts w:hint="eastAsia" w:ascii="仿宋_GB2312" w:eastAsia="仿宋_GB2312" w:cs="仿宋_GB2312"/>
          <w:i w:val="0"/>
          <w:caps w:val="0"/>
          <w:color w:val="auto"/>
          <w:spacing w:val="0"/>
          <w:sz w:val="31"/>
          <w:szCs w:val="31"/>
          <w:lang w:val="en-US" w:eastAsia="zh-CN"/>
        </w:rPr>
        <w:t>272.82</w:t>
      </w:r>
      <w:r>
        <w:rPr>
          <w:rFonts w:hint="eastAsia" w:ascii="仿宋_GB2312" w:hAnsi="宋体" w:eastAsia="仿宋_GB2312" w:cs="仿宋_GB2312"/>
          <w:i w:val="0"/>
          <w:caps w:val="0"/>
          <w:color w:val="auto"/>
          <w:spacing w:val="0"/>
          <w:sz w:val="31"/>
          <w:szCs w:val="31"/>
          <w:lang w:val="en-US" w:eastAsia="zh-CN"/>
        </w:rPr>
        <w:t>万元，占</w:t>
      </w:r>
      <w:r>
        <w:rPr>
          <w:rFonts w:hint="eastAsia" w:ascii="仿宋_GB2312" w:eastAsia="仿宋_GB2312" w:cs="仿宋_GB2312"/>
          <w:i w:val="0"/>
          <w:caps w:val="0"/>
          <w:color w:val="auto"/>
          <w:spacing w:val="0"/>
          <w:sz w:val="31"/>
          <w:szCs w:val="31"/>
          <w:lang w:val="en-US" w:eastAsia="zh-CN"/>
        </w:rPr>
        <w:t>92.54</w:t>
      </w:r>
      <w:r>
        <w:rPr>
          <w:rFonts w:hint="eastAsia" w:ascii="仿宋_GB2312" w:hAnsi="宋体" w:eastAsia="仿宋_GB2312" w:cs="仿宋_GB2312"/>
          <w:i w:val="0"/>
          <w:caps w:val="0"/>
          <w:color w:val="auto"/>
          <w:spacing w:val="0"/>
          <w:sz w:val="31"/>
          <w:szCs w:val="31"/>
          <w:lang w:val="en-US" w:eastAsia="zh-CN"/>
        </w:rPr>
        <w:t>%，主要包括基本工资、津贴补贴、奖金、社会保险缴费、住房公积金、生活补助、其他对个人和家庭的补助等；公用经费</w:t>
      </w:r>
      <w:r>
        <w:rPr>
          <w:rFonts w:hint="eastAsia" w:ascii="仿宋_GB2312" w:eastAsia="仿宋_GB2312" w:cs="仿宋_GB2312"/>
          <w:i w:val="0"/>
          <w:caps w:val="0"/>
          <w:color w:val="auto"/>
          <w:spacing w:val="0"/>
          <w:sz w:val="31"/>
          <w:szCs w:val="31"/>
          <w:lang w:val="en-US" w:eastAsia="zh-CN"/>
        </w:rPr>
        <w:t>22</w:t>
      </w:r>
      <w:r>
        <w:rPr>
          <w:rFonts w:hint="eastAsia" w:ascii="仿宋_GB2312" w:hAnsi="宋体" w:eastAsia="仿宋_GB2312" w:cs="仿宋_GB2312"/>
          <w:i w:val="0"/>
          <w:caps w:val="0"/>
          <w:color w:val="auto"/>
          <w:spacing w:val="0"/>
          <w:sz w:val="31"/>
          <w:szCs w:val="31"/>
          <w:lang w:val="en-US" w:eastAsia="zh-CN"/>
        </w:rPr>
        <w:t>万元，占</w:t>
      </w:r>
      <w:r>
        <w:rPr>
          <w:rFonts w:hint="eastAsia" w:ascii="仿宋_GB2312" w:eastAsia="仿宋_GB2312" w:cs="仿宋_GB2312"/>
          <w:i w:val="0"/>
          <w:caps w:val="0"/>
          <w:color w:val="auto"/>
          <w:spacing w:val="0"/>
          <w:sz w:val="31"/>
          <w:szCs w:val="31"/>
          <w:lang w:val="en-US" w:eastAsia="zh-CN"/>
        </w:rPr>
        <w:t>7.46</w:t>
      </w:r>
      <w:r>
        <w:rPr>
          <w:rFonts w:hint="eastAsia" w:ascii="仿宋_GB2312" w:hAnsi="宋体" w:eastAsia="仿宋_GB2312" w:cs="仿宋_GB2312"/>
          <w:i w:val="0"/>
          <w:caps w:val="0"/>
          <w:color w:val="auto"/>
          <w:spacing w:val="0"/>
          <w:sz w:val="31"/>
          <w:szCs w:val="31"/>
          <w:lang w:val="en-US" w:eastAsia="zh-CN"/>
        </w:rPr>
        <w:t>%，主要包括办公费、福利费、工会经费、其他交通费、其他商品和服务支出等。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2．“三公” 经费总支出情况。</w:t>
      </w:r>
      <w:r>
        <w:rPr>
          <w:rFonts w:hint="eastAsia" w:ascii="仿宋_GB2312" w:eastAsia="仿宋_GB2312" w:cs="仿宋_GB2312"/>
          <w:i w:val="0"/>
          <w:caps w:val="0"/>
          <w:color w:val="auto"/>
          <w:spacing w:val="0"/>
          <w:sz w:val="31"/>
          <w:szCs w:val="31"/>
          <w:lang w:val="en-US" w:eastAsia="zh-CN"/>
        </w:rPr>
        <w:t>2022年</w:t>
      </w:r>
      <w:r>
        <w:rPr>
          <w:rFonts w:hint="eastAsia" w:ascii="仿宋_GB2312" w:hAnsi="宋体" w:eastAsia="仿宋_GB2312" w:cs="仿宋_GB2312"/>
          <w:i w:val="0"/>
          <w:caps w:val="0"/>
          <w:color w:val="auto"/>
          <w:spacing w:val="0"/>
          <w:sz w:val="31"/>
          <w:szCs w:val="31"/>
          <w:lang w:val="en-US" w:eastAsia="zh-CN"/>
        </w:rPr>
        <w:t>度“三公”经费总支出</w:t>
      </w:r>
      <w:r>
        <w:rPr>
          <w:rFonts w:hint="eastAsia" w:ascii="仿宋_GB2312" w:eastAsia="仿宋_GB2312" w:cs="仿宋_GB2312"/>
          <w:i w:val="0"/>
          <w:caps w:val="0"/>
          <w:color w:val="auto"/>
          <w:spacing w:val="0"/>
          <w:sz w:val="31"/>
          <w:szCs w:val="31"/>
          <w:lang w:val="en-US" w:eastAsia="zh-CN"/>
        </w:rPr>
        <w:t>2.7</w:t>
      </w:r>
      <w:r>
        <w:rPr>
          <w:rFonts w:hint="eastAsia" w:ascii="仿宋_GB2312" w:hAnsi="宋体" w:eastAsia="仿宋_GB2312" w:cs="仿宋_GB2312"/>
          <w:i w:val="0"/>
          <w:caps w:val="0"/>
          <w:color w:val="auto"/>
          <w:spacing w:val="0"/>
          <w:sz w:val="31"/>
          <w:szCs w:val="31"/>
          <w:lang w:val="en-US" w:eastAsia="zh-CN"/>
        </w:rPr>
        <w:t>万元，其中：因公出国（境）费支出0万元，公务接待费支出0.</w:t>
      </w:r>
      <w:r>
        <w:rPr>
          <w:rFonts w:hint="eastAsia" w:ascii="仿宋_GB2312" w:eastAsia="仿宋_GB2312" w:cs="仿宋_GB2312"/>
          <w:i w:val="0"/>
          <w:caps w:val="0"/>
          <w:color w:val="auto"/>
          <w:spacing w:val="0"/>
          <w:sz w:val="31"/>
          <w:szCs w:val="31"/>
          <w:lang w:val="en-US" w:eastAsia="zh-CN"/>
        </w:rPr>
        <w:t>1</w:t>
      </w:r>
      <w:r>
        <w:rPr>
          <w:rFonts w:hint="eastAsia" w:ascii="仿宋_GB2312" w:hAnsi="宋体" w:eastAsia="仿宋_GB2312" w:cs="仿宋_GB2312"/>
          <w:i w:val="0"/>
          <w:caps w:val="0"/>
          <w:color w:val="auto"/>
          <w:spacing w:val="0"/>
          <w:sz w:val="31"/>
          <w:szCs w:val="31"/>
          <w:lang w:val="en-US" w:eastAsia="zh-CN"/>
        </w:rPr>
        <w:t>万元，公务用车购置费及运行维护费支出</w:t>
      </w:r>
      <w:r>
        <w:rPr>
          <w:rFonts w:hint="eastAsia" w:ascii="仿宋_GB2312" w:eastAsia="仿宋_GB2312" w:cs="仿宋_GB2312"/>
          <w:i w:val="0"/>
          <w:caps w:val="0"/>
          <w:color w:val="auto"/>
          <w:spacing w:val="0"/>
          <w:sz w:val="31"/>
          <w:szCs w:val="31"/>
          <w:lang w:val="en-US" w:eastAsia="zh-CN"/>
        </w:rPr>
        <w:t>2.6</w:t>
      </w:r>
      <w:r>
        <w:rPr>
          <w:rFonts w:hint="eastAsia" w:ascii="仿宋_GB2312" w:hAnsi="宋体" w:eastAsia="仿宋_GB2312" w:cs="仿宋_GB2312"/>
          <w:i w:val="0"/>
          <w:caps w:val="0"/>
          <w:color w:val="auto"/>
          <w:spacing w:val="0"/>
          <w:sz w:val="31"/>
          <w:szCs w:val="31"/>
          <w:lang w:val="en-US" w:eastAsia="zh-CN"/>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 3．因公出国（境）费用支出和公务用车（购置）情况。</w:t>
      </w:r>
      <w:r>
        <w:rPr>
          <w:rFonts w:hint="eastAsia" w:ascii="仿宋_GB2312" w:eastAsia="仿宋_GB2312" w:cs="仿宋_GB2312"/>
          <w:i w:val="0"/>
          <w:caps w:val="0"/>
          <w:color w:val="auto"/>
          <w:spacing w:val="0"/>
          <w:sz w:val="31"/>
          <w:szCs w:val="31"/>
          <w:lang w:val="en-US" w:eastAsia="zh-CN"/>
        </w:rPr>
        <w:t>2022年</w:t>
      </w:r>
      <w:r>
        <w:rPr>
          <w:rFonts w:hint="eastAsia" w:ascii="仿宋_GB2312" w:hAnsi="宋体" w:eastAsia="仿宋_GB2312" w:cs="仿宋_GB2312"/>
          <w:i w:val="0"/>
          <w:caps w:val="0"/>
          <w:color w:val="auto"/>
          <w:spacing w:val="0"/>
          <w:sz w:val="31"/>
          <w:szCs w:val="31"/>
          <w:lang w:val="en-US" w:eastAsia="zh-CN"/>
        </w:rPr>
        <w:t>无因公出国（境）费用支出和公务用车（购置）支出。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 1.项目资金安排落实、总投入等情况分析。</w:t>
      </w:r>
      <w:r>
        <w:rPr>
          <w:rFonts w:hint="eastAsia" w:ascii="仿宋_GB2312" w:eastAsia="仿宋_GB2312" w:cs="仿宋_GB2312"/>
          <w:i w:val="0"/>
          <w:caps w:val="0"/>
          <w:color w:val="auto"/>
          <w:spacing w:val="0"/>
          <w:sz w:val="31"/>
          <w:szCs w:val="31"/>
          <w:lang w:eastAsia="zh-CN"/>
        </w:rPr>
        <w:t>2022年</w:t>
      </w:r>
      <w:r>
        <w:rPr>
          <w:rFonts w:hint="eastAsia" w:ascii="仿宋_GB2312" w:hAnsi="宋体" w:eastAsia="仿宋_GB2312" w:cs="仿宋_GB2312"/>
          <w:i w:val="0"/>
          <w:caps w:val="0"/>
          <w:color w:val="auto"/>
          <w:spacing w:val="0"/>
          <w:sz w:val="31"/>
          <w:szCs w:val="31"/>
        </w:rPr>
        <w:t>项目支出</w:t>
      </w:r>
      <w:r>
        <w:rPr>
          <w:rFonts w:hint="eastAsia" w:ascii="仿宋_GB2312" w:eastAsia="仿宋_GB2312" w:cs="仿宋_GB2312"/>
          <w:i w:val="0"/>
          <w:caps w:val="0"/>
          <w:color w:val="auto"/>
          <w:spacing w:val="0"/>
          <w:sz w:val="31"/>
          <w:szCs w:val="31"/>
          <w:lang w:val="en-US" w:eastAsia="zh-CN"/>
        </w:rPr>
        <w:t>2164.98</w:t>
      </w:r>
      <w:r>
        <w:rPr>
          <w:rFonts w:hint="eastAsia" w:ascii="仿宋_GB2312" w:hAnsi="宋体" w:eastAsia="仿宋_GB2312" w:cs="仿宋_GB2312"/>
          <w:i w:val="0"/>
          <w:caps w:val="0"/>
          <w:color w:val="auto"/>
          <w:spacing w:val="0"/>
          <w:sz w:val="31"/>
          <w:szCs w:val="31"/>
        </w:rPr>
        <w:t>万元：财政拨款项目支出</w:t>
      </w:r>
      <w:r>
        <w:rPr>
          <w:rFonts w:hint="eastAsia" w:ascii="仿宋_GB2312" w:eastAsia="仿宋_GB2312" w:cs="仿宋_GB2312"/>
          <w:i w:val="0"/>
          <w:caps w:val="0"/>
          <w:color w:val="auto"/>
          <w:spacing w:val="0"/>
          <w:sz w:val="31"/>
          <w:szCs w:val="31"/>
          <w:lang w:val="en-US" w:eastAsia="zh-CN"/>
        </w:rPr>
        <w:t>1796.46</w:t>
      </w:r>
      <w:r>
        <w:rPr>
          <w:rFonts w:hint="eastAsia" w:ascii="仿宋_GB2312" w:hAnsi="宋体" w:eastAsia="仿宋_GB2312" w:cs="仿宋_GB2312"/>
          <w:i w:val="0"/>
          <w:caps w:val="0"/>
          <w:color w:val="auto"/>
          <w:spacing w:val="0"/>
          <w:sz w:val="31"/>
          <w:szCs w:val="31"/>
        </w:rPr>
        <w:t>万元，占</w:t>
      </w:r>
      <w:r>
        <w:rPr>
          <w:rFonts w:hint="eastAsia" w:ascii="仿宋_GB2312" w:eastAsia="仿宋_GB2312" w:cs="仿宋_GB2312"/>
          <w:i w:val="0"/>
          <w:caps w:val="0"/>
          <w:color w:val="auto"/>
          <w:spacing w:val="0"/>
          <w:sz w:val="31"/>
          <w:szCs w:val="31"/>
          <w:lang w:val="en-US" w:eastAsia="zh-CN"/>
        </w:rPr>
        <w:t>82.98</w:t>
      </w:r>
      <w:r>
        <w:rPr>
          <w:rFonts w:hint="eastAsia" w:ascii="仿宋_GB2312" w:hAnsi="宋体" w:eastAsia="仿宋_GB2312" w:cs="仿宋_GB2312"/>
          <w:i w:val="0"/>
          <w:caps w:val="0"/>
          <w:color w:val="auto"/>
          <w:spacing w:val="0"/>
          <w:sz w:val="31"/>
          <w:szCs w:val="31"/>
        </w:rPr>
        <w:t>%；其他收入</w:t>
      </w:r>
      <w:r>
        <w:rPr>
          <w:rFonts w:hint="eastAsia" w:ascii="仿宋_GB2312" w:eastAsia="仿宋_GB2312" w:cs="仿宋_GB2312"/>
          <w:i w:val="0"/>
          <w:caps w:val="0"/>
          <w:color w:val="auto"/>
          <w:spacing w:val="0"/>
          <w:sz w:val="31"/>
          <w:szCs w:val="31"/>
          <w:lang w:val="en-US" w:eastAsia="zh-CN"/>
        </w:rPr>
        <w:t>368.52</w:t>
      </w:r>
      <w:r>
        <w:rPr>
          <w:rFonts w:hint="eastAsia" w:ascii="仿宋_GB2312" w:hAnsi="宋体" w:eastAsia="仿宋_GB2312" w:cs="仿宋_GB2312"/>
          <w:i w:val="0"/>
          <w:caps w:val="0"/>
          <w:color w:val="auto"/>
          <w:spacing w:val="0"/>
          <w:sz w:val="31"/>
          <w:szCs w:val="31"/>
        </w:rPr>
        <w:t>万元，占</w:t>
      </w:r>
      <w:r>
        <w:rPr>
          <w:rFonts w:hint="eastAsia" w:ascii="仿宋_GB2312" w:eastAsia="仿宋_GB2312" w:cs="仿宋_GB2312"/>
          <w:i w:val="0"/>
          <w:caps w:val="0"/>
          <w:color w:val="auto"/>
          <w:spacing w:val="0"/>
          <w:sz w:val="31"/>
          <w:szCs w:val="31"/>
          <w:lang w:val="en-US" w:eastAsia="zh-CN"/>
        </w:rPr>
        <w:t>17.02</w:t>
      </w:r>
      <w:r>
        <w:rPr>
          <w:rFonts w:hint="eastAsia" w:ascii="仿宋_GB2312" w:hAnsi="宋体" w:eastAsia="仿宋_GB2312" w:cs="仿宋_GB2312"/>
          <w:i w:val="0"/>
          <w:caps w:val="0"/>
          <w:color w:val="auto"/>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2.项目资金实际使用情况分析。</w:t>
      </w:r>
      <w:r>
        <w:rPr>
          <w:rFonts w:hint="eastAsia" w:ascii="仿宋_GB2312" w:eastAsia="仿宋_GB2312" w:cs="仿宋_GB2312"/>
          <w:i w:val="0"/>
          <w:caps w:val="0"/>
          <w:color w:val="auto"/>
          <w:spacing w:val="0"/>
          <w:sz w:val="31"/>
          <w:szCs w:val="31"/>
          <w:lang w:val="en-US" w:eastAsia="zh-CN"/>
        </w:rPr>
        <w:t>2022年</w:t>
      </w:r>
      <w:r>
        <w:rPr>
          <w:rFonts w:hint="eastAsia" w:ascii="仿宋_GB2312" w:hAnsi="宋体" w:eastAsia="仿宋_GB2312" w:cs="仿宋_GB2312"/>
          <w:i w:val="0"/>
          <w:caps w:val="0"/>
          <w:color w:val="auto"/>
          <w:spacing w:val="0"/>
          <w:sz w:val="31"/>
          <w:szCs w:val="31"/>
        </w:rPr>
        <w:t>我会加大民生项目投入，残疾人教育就业、康复等工作全面完成。具体情况使用情况如下：残疾人就业和扶贫</w:t>
      </w:r>
      <w:r>
        <w:rPr>
          <w:rFonts w:hint="eastAsia" w:ascii="仿宋_GB2312" w:eastAsia="仿宋_GB2312" w:cs="仿宋_GB2312"/>
          <w:i w:val="0"/>
          <w:caps w:val="0"/>
          <w:color w:val="auto"/>
          <w:spacing w:val="0"/>
          <w:sz w:val="31"/>
          <w:szCs w:val="31"/>
          <w:lang w:val="en-US" w:eastAsia="zh-CN"/>
        </w:rPr>
        <w:t>791.61</w:t>
      </w:r>
      <w:r>
        <w:rPr>
          <w:rFonts w:hint="eastAsia" w:ascii="仿宋_GB2312" w:hAnsi="宋体" w:eastAsia="仿宋_GB2312" w:cs="仿宋_GB2312"/>
          <w:i w:val="0"/>
          <w:caps w:val="0"/>
          <w:color w:val="auto"/>
          <w:spacing w:val="0"/>
          <w:sz w:val="31"/>
          <w:szCs w:val="31"/>
        </w:rPr>
        <w:t>万元，主要是用于残疾人创业扶持、残疾人扶残助学、残疾人托养服务、残疾人危房改造和残疾人培训等开支；残疾人康复</w:t>
      </w:r>
      <w:r>
        <w:rPr>
          <w:rFonts w:hint="eastAsia" w:ascii="仿宋_GB2312" w:eastAsia="仿宋_GB2312" w:cs="仿宋_GB2312"/>
          <w:i w:val="0"/>
          <w:caps w:val="0"/>
          <w:color w:val="auto"/>
          <w:spacing w:val="0"/>
          <w:sz w:val="31"/>
          <w:szCs w:val="31"/>
          <w:lang w:val="en-US" w:eastAsia="zh-CN"/>
        </w:rPr>
        <w:t>719.56</w:t>
      </w:r>
      <w:r>
        <w:rPr>
          <w:rFonts w:hint="eastAsia" w:ascii="仿宋_GB2312" w:hAnsi="宋体" w:eastAsia="仿宋_GB2312" w:cs="仿宋_GB2312"/>
          <w:i w:val="0"/>
          <w:caps w:val="0"/>
          <w:color w:val="auto"/>
          <w:spacing w:val="0"/>
          <w:sz w:val="31"/>
          <w:szCs w:val="31"/>
        </w:rPr>
        <w:t>万元，主要是用于“0-14岁贫困残疾儿童抢救性康复”费用、残疾人假肢装配和残疾人辅助器具免费发放；其他残疾人事业支出</w:t>
      </w:r>
      <w:r>
        <w:rPr>
          <w:rFonts w:hint="eastAsia" w:ascii="仿宋_GB2312" w:eastAsia="仿宋_GB2312" w:cs="仿宋_GB2312"/>
          <w:i w:val="0"/>
          <w:caps w:val="0"/>
          <w:color w:val="auto"/>
          <w:spacing w:val="0"/>
          <w:sz w:val="31"/>
          <w:szCs w:val="31"/>
          <w:lang w:val="en-US" w:eastAsia="zh-CN"/>
        </w:rPr>
        <w:t>354.96</w:t>
      </w:r>
      <w:r>
        <w:rPr>
          <w:rFonts w:hint="eastAsia" w:ascii="仿宋_GB2312" w:hAnsi="宋体" w:eastAsia="仿宋_GB2312" w:cs="仿宋_GB2312"/>
          <w:i w:val="0"/>
          <w:caps w:val="0"/>
          <w:color w:val="auto"/>
          <w:spacing w:val="0"/>
          <w:sz w:val="31"/>
          <w:szCs w:val="31"/>
        </w:rPr>
        <w:t>万元，主要用于残疾人免费参加农村医保、全国助残日活动和残疾人无障碍改造等开支；</w:t>
      </w:r>
      <w:r>
        <w:rPr>
          <w:rFonts w:hint="eastAsia" w:ascii="仿宋_GB2312" w:eastAsia="仿宋_GB2312" w:cs="仿宋_GB2312"/>
          <w:i w:val="0"/>
          <w:caps w:val="0"/>
          <w:color w:val="auto"/>
          <w:spacing w:val="0"/>
          <w:sz w:val="31"/>
          <w:szCs w:val="31"/>
          <w:lang w:eastAsia="zh-CN"/>
        </w:rPr>
        <w:t>行政单位医疗</w:t>
      </w:r>
      <w:r>
        <w:rPr>
          <w:rFonts w:hint="eastAsia" w:ascii="仿宋_GB2312" w:eastAsia="仿宋_GB2312" w:cs="仿宋_GB2312"/>
          <w:i w:val="0"/>
          <w:caps w:val="0"/>
          <w:color w:val="auto"/>
          <w:spacing w:val="0"/>
          <w:sz w:val="31"/>
          <w:szCs w:val="31"/>
          <w:lang w:val="en-US" w:eastAsia="zh-CN"/>
        </w:rPr>
        <w:t>4</w:t>
      </w:r>
      <w:r>
        <w:rPr>
          <w:rFonts w:hint="eastAsia" w:ascii="仿宋_GB2312" w:hAnsi="宋体" w:eastAsia="仿宋_GB2312" w:cs="仿宋_GB2312"/>
          <w:i w:val="0"/>
          <w:caps w:val="0"/>
          <w:color w:val="auto"/>
          <w:spacing w:val="0"/>
          <w:sz w:val="31"/>
          <w:szCs w:val="31"/>
        </w:rPr>
        <w:t>万，用于</w:t>
      </w:r>
      <w:r>
        <w:rPr>
          <w:rFonts w:hint="eastAsia" w:ascii="仿宋_GB2312" w:eastAsia="仿宋_GB2312" w:cs="仿宋_GB2312"/>
          <w:i w:val="0"/>
          <w:caps w:val="0"/>
          <w:color w:val="auto"/>
          <w:spacing w:val="0"/>
          <w:sz w:val="31"/>
          <w:szCs w:val="31"/>
          <w:lang w:eastAsia="zh-CN"/>
        </w:rPr>
        <w:t>干部医药费补助</w:t>
      </w:r>
      <w:r>
        <w:rPr>
          <w:rFonts w:hint="eastAsia" w:ascii="仿宋_GB2312" w:hAnsi="宋体" w:eastAsia="仿宋_GB2312" w:cs="仿宋_GB2312"/>
          <w:i w:val="0"/>
          <w:caps w:val="0"/>
          <w:color w:val="auto"/>
          <w:spacing w:val="0"/>
          <w:sz w:val="31"/>
          <w:szCs w:val="31"/>
        </w:rPr>
        <w:t>支出。彩票公益金支出为</w:t>
      </w:r>
      <w:r>
        <w:rPr>
          <w:rFonts w:hint="eastAsia" w:ascii="仿宋_GB2312" w:eastAsia="仿宋_GB2312" w:cs="仿宋_GB2312"/>
          <w:i w:val="0"/>
          <w:caps w:val="0"/>
          <w:color w:val="auto"/>
          <w:spacing w:val="0"/>
          <w:sz w:val="31"/>
          <w:szCs w:val="31"/>
          <w:lang w:val="en-US" w:eastAsia="zh-CN"/>
        </w:rPr>
        <w:t>294.85</w:t>
      </w:r>
      <w:r>
        <w:rPr>
          <w:rFonts w:hint="eastAsia" w:ascii="仿宋_GB2312" w:hAnsi="宋体" w:eastAsia="仿宋_GB2312" w:cs="仿宋_GB2312"/>
          <w:i w:val="0"/>
          <w:caps w:val="0"/>
          <w:color w:val="auto"/>
          <w:spacing w:val="0"/>
          <w:sz w:val="31"/>
          <w:szCs w:val="31"/>
        </w:rPr>
        <w:t>万元，主要用于残疾儿童康复、辅助器具适配和基本康复服务。</w:t>
      </w:r>
    </w:p>
    <w:p>
      <w:pPr>
        <w:spacing w:line="560" w:lineRule="exact"/>
        <w:ind w:firstLine="640"/>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3.项目资金管理情况分析。</w:t>
      </w:r>
      <w:r>
        <w:rPr>
          <w:rFonts w:hint="eastAsia" w:ascii="仿宋_GB2312" w:hAnsi="Verdana" w:eastAsia="仿宋_GB2312" w:cs="宋体"/>
          <w:color w:val="auto"/>
          <w:kern w:val="0"/>
          <w:sz w:val="32"/>
          <w:szCs w:val="32"/>
        </w:rPr>
        <w:t>由</w:t>
      </w:r>
      <w:r>
        <w:rPr>
          <w:rFonts w:hint="eastAsia" w:ascii="仿宋_GB2312" w:hAnsi="仿宋_GB2312" w:eastAsia="仿宋_GB2312" w:cs="仿宋_GB2312"/>
          <w:color w:val="auto"/>
          <w:sz w:val="32"/>
          <w:szCs w:val="32"/>
        </w:rPr>
        <w:t>各部</w:t>
      </w:r>
      <w:r>
        <w:rPr>
          <w:rFonts w:hint="eastAsia" w:ascii="仿宋_GB2312" w:hAnsi="仿宋_GB2312" w:eastAsia="仿宋_GB2312" w:cs="仿宋_GB2312"/>
          <w:color w:val="auto"/>
          <w:sz w:val="32"/>
          <w:szCs w:val="32"/>
          <w:lang w:val="en-US" w:eastAsia="zh-CN"/>
        </w:rPr>
        <w:t>室</w:t>
      </w:r>
      <w:r>
        <w:rPr>
          <w:rFonts w:hint="eastAsia" w:ascii="仿宋_GB2312" w:hAnsi="仿宋_GB2312" w:eastAsia="仿宋_GB2312" w:cs="仿宋_GB2312"/>
          <w:color w:val="auto"/>
          <w:sz w:val="32"/>
          <w:szCs w:val="32"/>
        </w:rPr>
        <w:t>提出资金使用计划和支付明细资料，报分管领导审批，经单位主要领导审定后，向财务室申报资金计划</w:t>
      </w:r>
      <w:r>
        <w:rPr>
          <w:rFonts w:hint="eastAsia" w:ascii="仿宋_GB2312" w:hAnsi="Verdana" w:eastAsia="仿宋_GB2312" w:cs="宋体"/>
          <w:color w:val="auto"/>
          <w:kern w:val="0"/>
          <w:sz w:val="32"/>
          <w:szCs w:val="32"/>
        </w:rPr>
        <w:t>。</w:t>
      </w:r>
      <w:r>
        <w:rPr>
          <w:rFonts w:hint="eastAsia" w:ascii="仿宋" w:hAnsi="仿宋" w:eastAsia="仿宋"/>
          <w:color w:val="auto"/>
          <w:sz w:val="32"/>
          <w:szCs w:val="32"/>
        </w:rPr>
        <w:t>属于 “三重一大”范围的项目，按规定程序上会研究。</w:t>
      </w:r>
      <w:r>
        <w:rPr>
          <w:rFonts w:hint="eastAsia" w:ascii="仿宋_GB2312" w:hAnsi="宋体" w:eastAsia="仿宋_GB2312" w:cs="仿宋_GB2312"/>
          <w:i w:val="0"/>
          <w:caps w:val="0"/>
          <w:color w:val="auto"/>
          <w:spacing w:val="0"/>
          <w:sz w:val="31"/>
          <w:szCs w:val="31"/>
        </w:rPr>
        <w:t>根据项目进度，按时将各项资金拨付到位。资金拨付前均在浏阳市政府网站进行了公示，接受监督。残疾儿童康复项目资金、假肢装配和光明关爱项目资金均直接拨付到承担项目的机构，辅助器具项目经费拨付至厂家，残疾人教育资助、残疾儿童康复项目中陪护补助与其他康复救助资金直接通过一卡通发放至残疾人本人或其亲属存折上。残疾人</w:t>
      </w:r>
      <w:r>
        <w:rPr>
          <w:rFonts w:hint="eastAsia" w:ascii="仿宋_GB2312" w:eastAsia="仿宋_GB2312" w:cs="仿宋_GB2312"/>
          <w:i w:val="0"/>
          <w:caps w:val="0"/>
          <w:color w:val="auto"/>
          <w:spacing w:val="0"/>
          <w:sz w:val="31"/>
          <w:szCs w:val="31"/>
          <w:lang w:eastAsia="zh-CN"/>
        </w:rPr>
        <w:t>培训经费、无障碍改造经费</w:t>
      </w:r>
      <w:r>
        <w:rPr>
          <w:rFonts w:hint="eastAsia" w:ascii="仿宋_GB2312" w:hAnsi="宋体" w:eastAsia="仿宋_GB2312" w:cs="仿宋_GB2312"/>
          <w:i w:val="0"/>
          <w:caps w:val="0"/>
          <w:color w:val="auto"/>
          <w:spacing w:val="0"/>
          <w:sz w:val="31"/>
          <w:szCs w:val="31"/>
        </w:rPr>
        <w:t>直接拨付至各乡镇街道财政所，由乡镇组织培训，</w:t>
      </w:r>
      <w:r>
        <w:rPr>
          <w:rFonts w:hint="eastAsia" w:ascii="仿宋_GB2312" w:eastAsia="仿宋_GB2312" w:cs="仿宋_GB2312"/>
          <w:i w:val="0"/>
          <w:caps w:val="0"/>
          <w:color w:val="auto"/>
          <w:spacing w:val="0"/>
          <w:sz w:val="31"/>
          <w:szCs w:val="31"/>
          <w:lang w:eastAsia="zh-CN"/>
        </w:rPr>
        <w:t>实施改造</w:t>
      </w:r>
      <w:r>
        <w:rPr>
          <w:rFonts w:hint="eastAsia" w:ascii="仿宋_GB2312" w:hAnsi="宋体" w:eastAsia="仿宋_GB2312" w:cs="仿宋_GB2312"/>
          <w:i w:val="0"/>
          <w:caps w:val="0"/>
          <w:color w:val="auto"/>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ascii="Times New Roman" w:hAnsi="Times New Roman" w:eastAsia="黑体"/>
          <w:color w:val="auto"/>
          <w:kern w:val="0"/>
          <w:sz w:val="32"/>
          <w:szCs w:val="32"/>
        </w:rPr>
      </w:pPr>
      <w:r>
        <w:rPr>
          <w:rFonts w:hint="eastAsia" w:ascii="Times New Roman" w:hAnsi="Times New Roman" w:eastAsia="黑体"/>
          <w:color w:val="auto"/>
          <w:kern w:val="0"/>
          <w:sz w:val="32"/>
          <w:szCs w:val="32"/>
          <w:lang w:eastAsia="zh-CN"/>
        </w:rPr>
        <w:t>三</w:t>
      </w:r>
      <w:r>
        <w:rPr>
          <w:rFonts w:ascii="Times New Roman" w:hAnsi="Times New Roman" w:eastAsia="黑体"/>
          <w:color w:val="auto"/>
          <w:kern w:val="0"/>
          <w:sz w:val="32"/>
          <w:szCs w:val="32"/>
        </w:rPr>
        <w:t>、部门</w:t>
      </w:r>
      <w:r>
        <w:rPr>
          <w:rFonts w:hint="eastAsia" w:ascii="Times New Roman" w:hAnsi="Times New Roman" w:eastAsia="黑体"/>
          <w:color w:val="auto"/>
          <w:kern w:val="0"/>
          <w:sz w:val="32"/>
          <w:szCs w:val="32"/>
          <w:lang w:eastAsia="zh-CN"/>
        </w:rPr>
        <w:t>项目组织实施</w:t>
      </w:r>
      <w:r>
        <w:rPr>
          <w:rFonts w:ascii="Times New Roman" w:hAnsi="Times New Roman" w:eastAsia="黑体"/>
          <w:color w:val="auto"/>
          <w:kern w:val="0"/>
          <w:sz w:val="32"/>
          <w:szCs w:val="32"/>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（一）项目组织情况分析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eastAsia="zh-CN"/>
        </w:rPr>
      </w:pPr>
      <w:r>
        <w:rPr>
          <w:rFonts w:hint="eastAsia" w:ascii="仿宋_GB2312" w:hAnsi="宋体" w:eastAsia="仿宋_GB2312" w:cs="仿宋_GB2312"/>
          <w:i w:val="0"/>
          <w:caps w:val="0"/>
          <w:color w:val="auto"/>
          <w:spacing w:val="0"/>
          <w:sz w:val="31"/>
          <w:szCs w:val="31"/>
        </w:rPr>
        <w:t>1.前期工作</w:t>
      </w:r>
      <w:r>
        <w:rPr>
          <w:rFonts w:hint="eastAsia" w:ascii="仿宋_GB2312" w:hAnsi="宋体" w:eastAsia="仿宋_GB2312" w:cs="仿宋_GB2312"/>
          <w:i w:val="0"/>
          <w:caps w:val="0"/>
          <w:color w:val="auto"/>
          <w:spacing w:val="0"/>
          <w:sz w:val="31"/>
          <w:szCs w:val="31"/>
          <w:lang w:eastAsia="zh-CN"/>
        </w:rPr>
        <w:t>。</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一是选定机构。残疾儿童康复项目由长沙市残联统一定点康复机构，残疾儿童监护人根据自身需求，在定点康复机构中选择服务机构。白内障手术项目，我会通过公开招标确定集里医院承担白内障手术项目。居家托养也是通过招标由光彩家政服务公司提供服务。</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是精心组织。为保证残疾人事业各项工作的顺利开展，根据省、市残联文件精神，我市残联下发相关文件至乡镇街道，各乡镇街道残联进行宣传发动。业务部室严格根据项目计划安排开展项目，及时掌握各项目实施情况，解决项目实施过程中遇到的困难和问题。</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2.项目实施。</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一是严格审核，层层把关。扶残助学项目，由申报者带学校已盖章的申报表到乡镇进行初审，乡镇审核资料无误后汇总报送市残联，市残联通过资料审查，确定最终发放名单录入湖南省残疾人教育资助系统并上报长沙市残联，等省残联和长沙市残联拨付资金到位后通过一卡通系统发放。残疾人康复救助补助等都是严格按照文件要求，层层审核确定名单后，通过一卡通发放。</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是机构评估，确保实效。残疾儿童康复项目和残疾人托养项目，长沙市残联统一安排第三方评估机构对定点服务机构进行评估，定期对服务对象进行电话回访或实地调查。项目完成后，我会根据长沙市残联第三方评估机构评估等级结果拨付经费。无障碍改造也是要求第三方机构或财政评审中心进行审核后才拨付经费。</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（二）项目管理情况分析</w:t>
      </w:r>
      <w:r>
        <w:rPr>
          <w:rFonts w:hint="eastAsia" w:ascii="仿宋_GB2312" w:hAnsi="宋体" w:eastAsia="仿宋_GB2312" w:cs="仿宋_GB2312"/>
          <w:i w:val="0"/>
          <w:caps w:val="0"/>
          <w:color w:val="auto"/>
          <w:spacing w:val="0"/>
          <w:sz w:val="31"/>
          <w:szCs w:val="31"/>
          <w:lang w:val="en-US" w:eastAsia="zh-CN"/>
        </w:rPr>
        <w:tab/>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 xml:space="preserve">一是实地抽查，了解情况。残疾人康复项目、机构托养工作，都是通过指纹打卡进行考勤，我会每月不定期的对辖区内的康复、托养机构进行打卡考勤抽查。对于在其他区县的定点机构，每年不定时进行至少一次实地检查。创业扶持项目，乡镇收到申报者申报后核实资料的真实性并实地进行核查，汇总后交市残联。我市残联汇总所有申报者资料后对营业执照及其他资料进行初步核实，再上户逐一进行实地核查，长沙市残联对部分申报者进行抽查。 </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是电话回访，及时整改。我会不定期对康复儿童家长进行电话抽访，发现问题立马责令机构整改。“光明·关爱”视力救助项目实施过程中，我会跟进项目进度，对服务对象进行抽访，及时发现问题，解决问题；项目完成后，我会对所有服务对象进行回访，了解手术后相关情况。辅具发放过程中，我会密切联系乡镇（街道）残联，发现辅具质量问题及时联系辅具厂家进行补发换新；辅具发放完成后，我会要求乡镇、街道残联对所有对象进行回访，及时上报发现的问题，我会协调厂商尽快解决问题。</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黑体" w:hAnsi="宋体" w:eastAsia="黑体" w:cs="黑体"/>
          <w:i w:val="0"/>
          <w:caps w:val="0"/>
          <w:color w:val="auto"/>
          <w:spacing w:val="0"/>
          <w:sz w:val="31"/>
          <w:szCs w:val="31"/>
        </w:rPr>
      </w:pPr>
      <w:r>
        <w:rPr>
          <w:rFonts w:hint="eastAsia" w:ascii="黑体" w:hAnsi="宋体" w:eastAsia="黑体" w:cs="黑体"/>
          <w:i w:val="0"/>
          <w:caps w:val="0"/>
          <w:color w:val="auto"/>
          <w:spacing w:val="0"/>
          <w:sz w:val="31"/>
          <w:szCs w:val="31"/>
        </w:rPr>
        <w:t>资产管理情况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Chars="300" w:right="0" w:rightChars="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（一）资产配置、管理、处置情况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本单位加强国有资产管理，资产配置合理，使用和处置环节到位，</w:t>
      </w:r>
      <w:r>
        <w:rPr>
          <w:rFonts w:hint="eastAsia" w:ascii="仿宋_GB2312" w:eastAsia="仿宋_GB2312" w:cs="宋体"/>
          <w:kern w:val="0"/>
          <w:sz w:val="32"/>
          <w:szCs w:val="32"/>
          <w:lang w:val="en-US" w:eastAsia="zh-CN"/>
        </w:rPr>
        <w:t>2022年新增的</w:t>
      </w:r>
      <w:r>
        <w:rPr>
          <w:rFonts w:hint="eastAsia" w:ascii="仿宋_GB2312" w:hAnsi="宋体" w:eastAsia="仿宋_GB2312" w:cs="宋体"/>
          <w:kern w:val="0"/>
          <w:sz w:val="32"/>
          <w:szCs w:val="32"/>
        </w:rPr>
        <w:t>固定资产</w:t>
      </w:r>
      <w:r>
        <w:rPr>
          <w:rFonts w:hint="eastAsia" w:ascii="仿宋_GB2312" w:eastAsia="仿宋_GB2312" w:cs="宋体"/>
          <w:kern w:val="0"/>
          <w:sz w:val="32"/>
          <w:szCs w:val="32"/>
          <w:lang w:eastAsia="zh-CN"/>
        </w:rPr>
        <w:t>及时登记入账</w:t>
      </w:r>
      <w:r>
        <w:rPr>
          <w:rFonts w:hint="eastAsia" w:ascii="仿宋_GB2312" w:hAnsi="宋体" w:eastAsia="仿宋_GB2312" w:cs="宋体"/>
          <w:kern w:val="0"/>
          <w:sz w:val="32"/>
          <w:szCs w:val="32"/>
        </w:rPr>
        <w:t>。</w:t>
      </w:r>
      <w:r>
        <w:rPr>
          <w:rFonts w:hint="eastAsia" w:ascii="仿宋_GB2312" w:hAnsi="宋体" w:eastAsia="仿宋_GB2312" w:cs="仿宋_GB2312"/>
          <w:i w:val="0"/>
          <w:caps w:val="0"/>
          <w:color w:val="auto"/>
          <w:spacing w:val="0"/>
          <w:kern w:val="2"/>
          <w:sz w:val="31"/>
          <w:szCs w:val="31"/>
          <w:lang w:val="en-US" w:eastAsia="zh-CN" w:bidi="ar-SA"/>
        </w:rPr>
        <w:t>将残疾人综合服务中心2-4楼进行出租，充分利用了国有资产。单位资产都进行了编号，做到账、卡、物一致。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center"/>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31"/>
          <w:szCs w:val="31"/>
        </w:rPr>
        <w:t>（二）资产管理措施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1.健全</w:t>
      </w:r>
      <w:r>
        <w:rPr>
          <w:rFonts w:hint="eastAsia" w:ascii="仿宋_GB2312" w:eastAsia="仿宋_GB2312" w:cs="仿宋_GB2312"/>
          <w:i w:val="0"/>
          <w:caps w:val="0"/>
          <w:color w:val="auto"/>
          <w:spacing w:val="0"/>
          <w:sz w:val="31"/>
          <w:szCs w:val="31"/>
          <w:lang w:eastAsia="zh-CN"/>
        </w:rPr>
        <w:t>管理</w:t>
      </w:r>
      <w:r>
        <w:rPr>
          <w:rFonts w:hint="eastAsia" w:ascii="仿宋_GB2312" w:hAnsi="宋体" w:eastAsia="仿宋_GB2312" w:cs="仿宋_GB2312"/>
          <w:i w:val="0"/>
          <w:caps w:val="0"/>
          <w:color w:val="auto"/>
          <w:spacing w:val="0"/>
          <w:sz w:val="31"/>
          <w:szCs w:val="31"/>
        </w:rPr>
        <w:t>机制。制定国有资产管理制度，分管财经领导为资产管理负责人，办公室负责资产管理，财务室负责资产核算，明确使用人，保障资产安全和完整。</w:t>
      </w:r>
    </w:p>
    <w:p>
      <w:pPr>
        <w:widowControl/>
        <w:spacing w:line="600" w:lineRule="exact"/>
        <w:ind w:firstLine="620" w:firstLineChars="200"/>
        <w:jc w:val="left"/>
        <w:rPr>
          <w:rFonts w:hint="eastAsia" w:ascii="仿宋_GB2312" w:hAnsi="宋体" w:eastAsia="仿宋_GB2312" w:cs="宋体"/>
          <w:color w:val="auto"/>
          <w:kern w:val="0"/>
          <w:sz w:val="32"/>
          <w:szCs w:val="32"/>
        </w:rPr>
      </w:pPr>
      <w:r>
        <w:rPr>
          <w:rFonts w:hint="eastAsia" w:ascii="仿宋_GB2312" w:hAnsi="宋体" w:eastAsia="仿宋_GB2312" w:cs="仿宋_GB2312"/>
          <w:i w:val="0"/>
          <w:caps w:val="0"/>
          <w:color w:val="auto"/>
          <w:spacing w:val="0"/>
          <w:sz w:val="31"/>
          <w:szCs w:val="31"/>
        </w:rPr>
        <w:t>2.做好预算统筹。对资产购置做到年初有预算统筹安排，购置遵照政府采购规定执行，合理配置资产，提高资产使用效益，保障单位正常运转。</w:t>
      </w:r>
      <w:r>
        <w:rPr>
          <w:rFonts w:hint="eastAsia" w:ascii="仿宋_GB2312" w:hAnsi="宋体" w:eastAsia="仿宋_GB2312" w:cs="宋体"/>
          <w:color w:val="auto"/>
          <w:kern w:val="0"/>
          <w:sz w:val="32"/>
          <w:szCs w:val="32"/>
        </w:rPr>
        <w:t>利用</w:t>
      </w:r>
      <w:r>
        <w:rPr>
          <w:rFonts w:hint="eastAsia" w:ascii="仿宋_GB2312" w:hAnsi="宋体" w:eastAsia="仿宋_GB2312" w:cs="宋体"/>
          <w:color w:val="auto"/>
          <w:kern w:val="0"/>
          <w:sz w:val="32"/>
          <w:szCs w:val="32"/>
          <w:lang w:eastAsia="zh-CN"/>
        </w:rPr>
        <w:t>残疾人综合服务中心办公楼</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为残疾儿童康复</w:t>
      </w:r>
      <w:r>
        <w:rPr>
          <w:rFonts w:hint="eastAsia" w:ascii="仿宋_GB2312" w:hAnsi="宋体" w:eastAsia="仿宋_GB2312" w:cs="宋体"/>
          <w:color w:val="auto"/>
          <w:kern w:val="0"/>
          <w:sz w:val="32"/>
          <w:szCs w:val="32"/>
        </w:rPr>
        <w:t>提供服务</w:t>
      </w:r>
      <w:r>
        <w:rPr>
          <w:rFonts w:hint="eastAsia" w:ascii="仿宋_GB2312" w:hAnsi="宋体" w:eastAsia="仿宋_GB2312" w:cs="宋体"/>
          <w:color w:val="auto"/>
          <w:kern w:val="0"/>
          <w:sz w:val="32"/>
          <w:szCs w:val="32"/>
          <w:lang w:eastAsia="zh-CN"/>
        </w:rPr>
        <w:t>场地，</w:t>
      </w:r>
      <w:r>
        <w:rPr>
          <w:rFonts w:hint="eastAsia" w:ascii="仿宋_GB2312" w:hAnsi="宋体" w:eastAsia="仿宋_GB2312" w:cs="宋体"/>
          <w:color w:val="auto"/>
          <w:kern w:val="0"/>
          <w:sz w:val="32"/>
          <w:szCs w:val="32"/>
        </w:rPr>
        <w:t>促进</w:t>
      </w:r>
      <w:r>
        <w:rPr>
          <w:rFonts w:hint="eastAsia" w:ascii="仿宋_GB2312" w:hAnsi="宋体" w:eastAsia="仿宋_GB2312" w:cs="宋体"/>
          <w:color w:val="auto"/>
          <w:kern w:val="0"/>
          <w:sz w:val="32"/>
          <w:szCs w:val="32"/>
          <w:lang w:eastAsia="zh-CN"/>
        </w:rPr>
        <w:t>康复</w:t>
      </w:r>
      <w:r>
        <w:rPr>
          <w:rFonts w:hint="eastAsia" w:ascii="仿宋_GB2312" w:hAnsi="宋体" w:eastAsia="仿宋_GB2312" w:cs="宋体"/>
          <w:color w:val="auto"/>
          <w:kern w:val="0"/>
          <w:sz w:val="32"/>
          <w:szCs w:val="32"/>
        </w:rPr>
        <w:t>民生</w:t>
      </w:r>
      <w:r>
        <w:rPr>
          <w:rFonts w:hint="eastAsia" w:ascii="仿宋_GB2312" w:hAnsi="宋体" w:eastAsia="仿宋_GB2312" w:cs="宋体"/>
          <w:color w:val="auto"/>
          <w:kern w:val="0"/>
          <w:sz w:val="32"/>
          <w:szCs w:val="32"/>
          <w:lang w:eastAsia="zh-CN"/>
        </w:rPr>
        <w:t>实事项目</w:t>
      </w:r>
      <w:r>
        <w:rPr>
          <w:rFonts w:hint="eastAsia" w:ascii="仿宋_GB2312" w:hAnsi="宋体" w:eastAsia="仿宋_GB2312" w:cs="宋体"/>
          <w:color w:val="auto"/>
          <w:kern w:val="0"/>
          <w:sz w:val="32"/>
          <w:szCs w:val="32"/>
        </w:rPr>
        <w:t>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黑体" w:hAnsi="黑体" w:eastAsia="黑体" w:cs="黑体"/>
          <w:i w:val="0"/>
          <w:caps w:val="0"/>
          <w:color w:val="auto"/>
          <w:spacing w:val="0"/>
          <w:sz w:val="31"/>
          <w:szCs w:val="31"/>
        </w:rPr>
        <w:t>五、部门整体支出绩效情况</w:t>
      </w:r>
      <w:r>
        <w:rPr>
          <w:rFonts w:hint="eastAsia" w:ascii="仿宋_GB2312" w:hAnsi="宋体" w:eastAsia="仿宋_GB2312" w:cs="仿宋_GB2312"/>
          <w:i w:val="0"/>
          <w:caps w:val="0"/>
          <w:color w:val="auto"/>
          <w:spacing w:val="0"/>
          <w:sz w:val="31"/>
          <w:szCs w:val="31"/>
        </w:rPr>
        <w:t xml:space="preserve"> </w:t>
      </w:r>
    </w:p>
    <w:p>
      <w:pPr>
        <w:spacing w:line="520" w:lineRule="exact"/>
        <w:ind w:firstLine="640" w:firstLineChars="200"/>
        <w:rPr>
          <w:rFonts w:eastAsia="仿宋_GB2312"/>
          <w:sz w:val="32"/>
          <w:szCs w:val="32"/>
        </w:rPr>
      </w:pPr>
      <w:r>
        <w:rPr>
          <w:rFonts w:hint="eastAsia" w:ascii="楷体" w:hAnsi="楷体" w:eastAsia="楷体"/>
          <w:sz w:val="32"/>
          <w:szCs w:val="32"/>
        </w:rPr>
        <w:t>（一）全力做好康复救助项目。</w:t>
      </w:r>
      <w:r>
        <w:rPr>
          <w:rFonts w:hint="eastAsia" w:ascii="仿宋_GB2312" w:hAnsi="楷体" w:eastAsia="仿宋_GB2312"/>
          <w:sz w:val="32"/>
          <w:szCs w:val="32"/>
        </w:rPr>
        <w:t>投入</w:t>
      </w:r>
      <w:r>
        <w:rPr>
          <w:rFonts w:ascii="仿宋_GB2312" w:hAnsi="楷体" w:eastAsia="仿宋_GB2312"/>
          <w:sz w:val="32"/>
          <w:szCs w:val="32"/>
        </w:rPr>
        <w:t>9</w:t>
      </w:r>
      <w:r>
        <w:rPr>
          <w:rFonts w:hint="eastAsia" w:ascii="仿宋_GB2312" w:hAnsi="楷体" w:eastAsia="仿宋_GB2312"/>
          <w:sz w:val="32"/>
          <w:szCs w:val="32"/>
        </w:rPr>
        <w:t>0</w:t>
      </w:r>
      <w:r>
        <w:rPr>
          <w:rFonts w:ascii="仿宋_GB2312" w:hAnsi="楷体" w:eastAsia="仿宋_GB2312"/>
          <w:sz w:val="32"/>
          <w:szCs w:val="32"/>
        </w:rPr>
        <w:t>0</w:t>
      </w:r>
      <w:r>
        <w:rPr>
          <w:rFonts w:hint="eastAsia" w:ascii="仿宋_GB2312" w:hAnsi="楷体" w:eastAsia="仿宋_GB2312"/>
          <w:sz w:val="32"/>
          <w:szCs w:val="32"/>
        </w:rPr>
        <w:t>多万元，开展</w:t>
      </w:r>
      <w:r>
        <w:rPr>
          <w:rFonts w:hint="eastAsia" w:eastAsia="仿宋_GB2312"/>
          <w:sz w:val="32"/>
          <w:szCs w:val="32"/>
        </w:rPr>
        <w:t>“</w:t>
      </w:r>
      <w:r>
        <w:rPr>
          <w:rFonts w:eastAsia="仿宋_GB2312"/>
          <w:sz w:val="32"/>
          <w:szCs w:val="32"/>
        </w:rPr>
        <w:t>0-17</w:t>
      </w:r>
      <w:r>
        <w:rPr>
          <w:rFonts w:hint="eastAsia" w:eastAsia="仿宋_GB2312"/>
          <w:sz w:val="32"/>
          <w:szCs w:val="32"/>
        </w:rPr>
        <w:t>”岁残疾儿童抢救性康复项目，共为</w:t>
      </w:r>
      <w:r>
        <w:rPr>
          <w:rFonts w:eastAsia="仿宋_GB2312"/>
          <w:sz w:val="32"/>
          <w:szCs w:val="32"/>
        </w:rPr>
        <w:t>5</w:t>
      </w:r>
      <w:r>
        <w:rPr>
          <w:rFonts w:hint="eastAsia" w:eastAsia="仿宋_GB2312"/>
          <w:sz w:val="32"/>
          <w:szCs w:val="32"/>
        </w:rPr>
        <w:t>29名残疾儿童提供了康复训练服务，实现了残疾儿童康复救助全覆盖，项目实施规范，训练效果显好率</w:t>
      </w:r>
      <w:r>
        <w:rPr>
          <w:rFonts w:eastAsia="仿宋_GB2312"/>
          <w:sz w:val="32"/>
          <w:szCs w:val="32"/>
        </w:rPr>
        <w:t>95%</w:t>
      </w:r>
      <w:r>
        <w:rPr>
          <w:rFonts w:hint="eastAsia" w:eastAsia="仿宋_GB2312"/>
          <w:sz w:val="32"/>
          <w:szCs w:val="32"/>
        </w:rPr>
        <w:t>以上；投入</w:t>
      </w:r>
      <w:r>
        <w:rPr>
          <w:rFonts w:eastAsia="仿宋_GB2312"/>
          <w:sz w:val="32"/>
          <w:szCs w:val="32"/>
        </w:rPr>
        <w:t>24.8</w:t>
      </w:r>
      <w:r>
        <w:rPr>
          <w:rFonts w:hint="eastAsia" w:eastAsia="仿宋_GB2312"/>
          <w:sz w:val="32"/>
          <w:szCs w:val="32"/>
        </w:rPr>
        <w:t>万元，实施“光明·关爱”工程，组织专业人员深入学校、幼儿园、社区（村）免费对视力患者进行筛查，共为315名视力患者提供了白内障手术、配发了助视器，受助对象有效率</w:t>
      </w:r>
      <w:r>
        <w:rPr>
          <w:rFonts w:eastAsia="仿宋_GB2312"/>
          <w:sz w:val="32"/>
          <w:szCs w:val="32"/>
        </w:rPr>
        <w:t>100%</w:t>
      </w:r>
      <w:r>
        <w:rPr>
          <w:rFonts w:hint="eastAsia" w:eastAsia="仿宋_GB2312"/>
          <w:sz w:val="32"/>
          <w:szCs w:val="32"/>
        </w:rPr>
        <w:t>；依托贝尔耳鼻喉专科医院开展成人助听器适配服务，免费为听障残疾人适配普及型助听器99台；依托中医医院开展“义肢助残”项目，免费为38名下肢截肢者装配假肢</w:t>
      </w:r>
      <w:r>
        <w:rPr>
          <w:rFonts w:hint="eastAsia" w:eastAsia="仿宋_GB2312" w:cs="宋体"/>
          <w:kern w:val="0"/>
          <w:sz w:val="32"/>
          <w:szCs w:val="32"/>
        </w:rPr>
        <w:t>；开展</w:t>
      </w:r>
      <w:r>
        <w:rPr>
          <w:rFonts w:hint="eastAsia" w:eastAsia="仿宋_GB2312"/>
          <w:sz w:val="32"/>
          <w:szCs w:val="32"/>
        </w:rPr>
        <w:t>辅具适配进家庭项目，免费为</w:t>
      </w:r>
      <w:r>
        <w:rPr>
          <w:rFonts w:eastAsia="仿宋_GB2312"/>
          <w:sz w:val="32"/>
          <w:szCs w:val="32"/>
        </w:rPr>
        <w:t>13</w:t>
      </w:r>
      <w:r>
        <w:rPr>
          <w:rFonts w:hint="eastAsia" w:eastAsia="仿宋_GB2312"/>
          <w:sz w:val="32"/>
          <w:szCs w:val="32"/>
        </w:rPr>
        <w:t>3</w:t>
      </w:r>
      <w:r>
        <w:rPr>
          <w:rFonts w:eastAsia="仿宋_GB2312"/>
          <w:sz w:val="32"/>
          <w:szCs w:val="32"/>
        </w:rPr>
        <w:t>0</w:t>
      </w:r>
      <w:r>
        <w:rPr>
          <w:rFonts w:hint="eastAsia" w:eastAsia="仿宋_GB2312"/>
          <w:sz w:val="32"/>
          <w:szCs w:val="32"/>
        </w:rPr>
        <w:t>户残疾人家庭配备坐便椅、轮椅等辅助器具1383件。</w:t>
      </w:r>
    </w:p>
    <w:p>
      <w:pPr>
        <w:spacing w:line="520" w:lineRule="exact"/>
        <w:ind w:firstLine="640" w:firstLineChars="200"/>
        <w:rPr>
          <w:rFonts w:eastAsia="仿宋_GB2312" w:cs="宋体"/>
          <w:kern w:val="0"/>
          <w:sz w:val="32"/>
          <w:szCs w:val="32"/>
        </w:rPr>
      </w:pPr>
      <w:r>
        <w:rPr>
          <w:rFonts w:hint="eastAsia" w:ascii="楷体" w:hAnsi="楷体" w:eastAsia="楷体" w:cs="Arial"/>
          <w:kern w:val="0"/>
          <w:sz w:val="32"/>
          <w:szCs w:val="32"/>
        </w:rPr>
        <w:t>（二）认真落实社会保障政策。</w:t>
      </w:r>
      <w:r>
        <w:rPr>
          <w:rFonts w:hint="eastAsia" w:ascii="仿宋_GB2312" w:hAnsi="楷体" w:eastAsia="仿宋_GB2312" w:cs="Arial"/>
          <w:kern w:val="0"/>
          <w:sz w:val="32"/>
          <w:szCs w:val="32"/>
        </w:rPr>
        <w:t>积极</w:t>
      </w:r>
      <w:r>
        <w:rPr>
          <w:rFonts w:hint="eastAsia" w:eastAsia="仿宋_GB2312"/>
          <w:sz w:val="32"/>
          <w:szCs w:val="32"/>
        </w:rPr>
        <w:t>配合市民政局做好</w:t>
      </w:r>
      <w:r>
        <w:rPr>
          <w:rFonts w:hint="eastAsia" w:eastAsia="仿宋_GB2312" w:cs="宋体"/>
          <w:kern w:val="0"/>
          <w:sz w:val="32"/>
          <w:szCs w:val="32"/>
        </w:rPr>
        <w:t>重度残疾人护理补贴和困难残疾人生活补贴审核工作，受益对象</w:t>
      </w:r>
      <w:r>
        <w:rPr>
          <w:rFonts w:eastAsia="仿宋_GB2312" w:cs="宋体"/>
          <w:kern w:val="0"/>
          <w:sz w:val="32"/>
          <w:szCs w:val="32"/>
        </w:rPr>
        <w:t>1.6</w:t>
      </w:r>
      <w:r>
        <w:rPr>
          <w:rFonts w:hint="eastAsia" w:eastAsia="仿宋_GB2312" w:cs="宋体"/>
          <w:kern w:val="0"/>
          <w:sz w:val="32"/>
          <w:szCs w:val="32"/>
        </w:rPr>
        <w:t>万余人；</w:t>
      </w:r>
      <w:r>
        <w:rPr>
          <w:rFonts w:hint="eastAsia" w:eastAsia="仿宋_GB2312"/>
          <w:sz w:val="32"/>
          <w:szCs w:val="32"/>
        </w:rPr>
        <w:t>落实残疾人高中生、大学生和残疾人家庭子女高中生、大学生教育资助政策，共</w:t>
      </w:r>
      <w:r>
        <w:rPr>
          <w:rFonts w:hint="eastAsia" w:hAnsi="仿宋_GB2312" w:eastAsia="仿宋_GB2312"/>
          <w:sz w:val="32"/>
          <w:szCs w:val="32"/>
        </w:rPr>
        <w:t>为</w:t>
      </w:r>
      <w:r>
        <w:rPr>
          <w:rFonts w:hint="eastAsia" w:eastAsia="仿宋_GB2312"/>
          <w:sz w:val="32"/>
          <w:szCs w:val="32"/>
        </w:rPr>
        <w:t>2094</w:t>
      </w:r>
      <w:r>
        <w:rPr>
          <w:rFonts w:hint="eastAsia" w:hAnsi="仿宋_GB2312" w:eastAsia="仿宋_GB2312"/>
          <w:sz w:val="32"/>
          <w:szCs w:val="32"/>
        </w:rPr>
        <w:t>名符合条件对象发放补助</w:t>
      </w:r>
      <w:r>
        <w:rPr>
          <w:rFonts w:hint="eastAsia" w:eastAsia="仿宋_GB2312"/>
          <w:sz w:val="32"/>
          <w:szCs w:val="32"/>
        </w:rPr>
        <w:t>435.76</w:t>
      </w:r>
      <w:r>
        <w:rPr>
          <w:rFonts w:hint="eastAsia" w:hAnsi="仿宋_GB2312" w:eastAsia="仿宋_GB2312"/>
          <w:sz w:val="32"/>
          <w:szCs w:val="32"/>
        </w:rPr>
        <w:t>万元；</w:t>
      </w:r>
      <w:r>
        <w:rPr>
          <w:rFonts w:hint="eastAsia" w:eastAsia="仿宋_GB2312"/>
          <w:sz w:val="32"/>
          <w:szCs w:val="32"/>
        </w:rPr>
        <w:t>全面落实残疾人参保优惠政策，为重度持证残疾人参加城乡居民医疗保险个人部分和城乡居民养老保险实行政府代缴。</w:t>
      </w:r>
    </w:p>
    <w:p>
      <w:pPr>
        <w:spacing w:line="520" w:lineRule="exact"/>
        <w:ind w:firstLine="640" w:firstLineChars="200"/>
        <w:rPr>
          <w:rFonts w:eastAsia="仿宋_GB2312"/>
          <w:sz w:val="32"/>
          <w:szCs w:val="32"/>
        </w:rPr>
      </w:pPr>
      <w:r>
        <w:rPr>
          <w:rFonts w:hint="eastAsia" w:ascii="楷体" w:hAnsi="楷体" w:eastAsia="楷体" w:cs="宋体"/>
          <w:kern w:val="0"/>
          <w:sz w:val="32"/>
          <w:szCs w:val="32"/>
        </w:rPr>
        <w:t>（三）加大就业创业扶持力度。</w:t>
      </w:r>
      <w:r>
        <w:rPr>
          <w:rFonts w:hint="eastAsia" w:eastAsia="仿宋_GB2312" w:cs="宋体"/>
          <w:kern w:val="0"/>
          <w:sz w:val="32"/>
          <w:szCs w:val="32"/>
        </w:rPr>
        <w:t>开展“阳光增收”脱贫项目，为200名残疾人提供了技术培训、生产资料扶持、生产服务指导等；</w:t>
      </w:r>
      <w:r>
        <w:rPr>
          <w:rFonts w:hint="eastAsia" w:eastAsia="仿宋_GB2312"/>
          <w:sz w:val="32"/>
          <w:szCs w:val="32"/>
        </w:rPr>
        <w:t>依托乡镇、机构开展残疾人农村实用技术与职业技能培训188人次；扶持残疾人自主创业40户，共计发放扶持资金48.344万元；按时完成按比例安排残疾人就业年审工作，全市各用人单位共安置残疾人2087余人，协助地税征收残疾人就业保障金</w:t>
      </w:r>
      <w:r>
        <w:rPr>
          <w:rFonts w:eastAsia="仿宋_GB2312"/>
          <w:sz w:val="32"/>
          <w:szCs w:val="32"/>
        </w:rPr>
        <w:t>2000</w:t>
      </w:r>
      <w:r>
        <w:rPr>
          <w:rFonts w:hint="eastAsia" w:eastAsia="仿宋_GB2312"/>
          <w:sz w:val="32"/>
          <w:szCs w:val="32"/>
        </w:rPr>
        <w:t>多万元。</w:t>
      </w:r>
    </w:p>
    <w:p>
      <w:pPr>
        <w:spacing w:line="520" w:lineRule="exact"/>
        <w:ind w:firstLine="640" w:firstLineChars="200"/>
        <w:rPr>
          <w:rFonts w:eastAsia="仿宋_GB2312"/>
          <w:sz w:val="32"/>
          <w:szCs w:val="32"/>
        </w:rPr>
      </w:pPr>
      <w:r>
        <w:rPr>
          <w:rFonts w:hint="eastAsia" w:ascii="楷体" w:hAnsi="楷体" w:eastAsia="楷体" w:cs="宋体"/>
          <w:kern w:val="0"/>
          <w:sz w:val="32"/>
          <w:szCs w:val="32"/>
        </w:rPr>
        <w:t>（四）积极履行权益维护职责。</w:t>
      </w:r>
      <w:r>
        <w:rPr>
          <w:rFonts w:hint="eastAsia" w:hAnsi="仿宋_GB2312" w:eastAsia="仿宋_GB2312" w:cs="宋体"/>
          <w:kern w:val="0"/>
          <w:sz w:val="32"/>
          <w:szCs w:val="32"/>
        </w:rPr>
        <w:t>认真开展领导信访接待日活动，</w:t>
      </w:r>
      <w:r>
        <w:rPr>
          <w:rFonts w:hint="eastAsia" w:eastAsia="仿宋_GB2312"/>
          <w:sz w:val="32"/>
          <w:szCs w:val="32"/>
        </w:rPr>
        <w:t>全年共接待来信来访残疾人</w:t>
      </w:r>
      <w:r>
        <w:rPr>
          <w:rFonts w:eastAsia="仿宋_GB2312"/>
          <w:sz w:val="32"/>
          <w:szCs w:val="32"/>
        </w:rPr>
        <w:t>100</w:t>
      </w:r>
      <w:r>
        <w:rPr>
          <w:rFonts w:hint="eastAsia" w:eastAsia="仿宋_GB2312"/>
          <w:sz w:val="32"/>
          <w:szCs w:val="32"/>
        </w:rPr>
        <w:t>余人次；与司法局法律救助中心和浏河律师事务所合作开展残疾人维权服务，为残疾人免费提供了法律咨询和法律救助；加强矛盾排查，及时化解纠纷，全年没有发生越级群访和涉残事件；实施残疾人家庭无障碍改造项目，投入</w:t>
      </w:r>
      <w:r>
        <w:rPr>
          <w:rFonts w:eastAsia="仿宋_GB2312"/>
          <w:sz w:val="32"/>
          <w:szCs w:val="32"/>
        </w:rPr>
        <w:t>1</w:t>
      </w:r>
      <w:r>
        <w:rPr>
          <w:rFonts w:hint="eastAsia" w:eastAsia="仿宋_GB2312"/>
          <w:sz w:val="32"/>
          <w:szCs w:val="32"/>
        </w:rPr>
        <w:t>14万余元，对190户残疾人家庭的灶台、卫生间、楼道扶手、入户地面等设施和枨冲镇青草社区进行了无障碍环境改造，获评省、长沙市重点民生实事项目优秀等次。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黑体" w:hAnsi="黑体" w:eastAsia="黑体" w:cs="黑体"/>
          <w:i w:val="0"/>
          <w:caps w:val="0"/>
          <w:color w:val="auto"/>
          <w:spacing w:val="0"/>
          <w:sz w:val="31"/>
          <w:szCs w:val="31"/>
        </w:rPr>
      </w:pPr>
      <w:r>
        <w:rPr>
          <w:rFonts w:hint="eastAsia" w:ascii="黑体" w:hAnsi="黑体" w:eastAsia="黑体" w:cs="黑体"/>
          <w:i w:val="0"/>
          <w:caps w:val="0"/>
          <w:color w:val="auto"/>
          <w:spacing w:val="0"/>
          <w:sz w:val="31"/>
          <w:szCs w:val="31"/>
        </w:rPr>
        <w:t xml:space="preserve">六、存在的主要问题 </w:t>
      </w:r>
    </w:p>
    <w:p>
      <w:pPr>
        <w:spacing w:line="568"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残疾人实事项目的实施，有效改善了残疾人生活环境，提高了残疾人生活质量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让残疾人群体得到了实惠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但因资金有限，制约了项目的全面开展，难以满足残疾人的需求。</w:t>
      </w:r>
    </w:p>
    <w:p>
      <w:pPr>
        <w:spacing w:line="568"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 xml:space="preserve">七、改进措施和有关建议 </w:t>
      </w:r>
    </w:p>
    <w:p>
      <w:pPr>
        <w:tabs>
          <w:tab w:val="left" w:pos="627"/>
        </w:tabs>
        <w:spacing w:line="568"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ab/>
      </w:r>
      <w:r>
        <w:rPr>
          <w:rFonts w:hint="eastAsia" w:ascii="Times New Roman" w:hAnsi="Times New Roman" w:eastAsia="仿宋_GB2312"/>
          <w:color w:val="auto"/>
          <w:sz w:val="32"/>
          <w:szCs w:val="32"/>
          <w:lang w:eastAsia="zh-CN"/>
        </w:rPr>
        <w:t>今后将加强预算管理，进一步规范资金使用，加强资金监管，提升资金使用绩效。</w:t>
      </w:r>
    </w:p>
    <w:p>
      <w:pPr>
        <w:tabs>
          <w:tab w:val="left" w:pos="627"/>
        </w:tabs>
        <w:spacing w:line="568" w:lineRule="exact"/>
        <w:ind w:firstLine="640" w:firstLineChars="200"/>
        <w:rPr>
          <w:rFonts w:hint="eastAsia" w:ascii="Times New Roman" w:hAnsi="Times New Roman" w:eastAsia="黑体"/>
          <w:bCs/>
          <w:color w:val="auto"/>
          <w:sz w:val="32"/>
          <w:szCs w:val="32"/>
          <w:lang w:eastAsia="zh-CN"/>
        </w:rPr>
      </w:pPr>
      <w:r>
        <w:rPr>
          <w:rFonts w:hint="eastAsia" w:ascii="Times New Roman" w:hAnsi="Times New Roman" w:eastAsia="黑体"/>
          <w:bCs/>
          <w:color w:val="auto"/>
          <w:sz w:val="32"/>
          <w:szCs w:val="32"/>
          <w:lang w:eastAsia="zh-CN"/>
        </w:rPr>
        <w:t>八、</w:t>
      </w:r>
      <w:r>
        <w:rPr>
          <w:rFonts w:ascii="Times New Roman" w:hAnsi="Times New Roman" w:eastAsia="黑体"/>
          <w:bCs/>
          <w:color w:val="auto"/>
          <w:sz w:val="32"/>
          <w:szCs w:val="32"/>
        </w:rPr>
        <w:t>单位在资金管理、项目管理等方面的先进经验及做法</w:t>
      </w:r>
      <w:r>
        <w:rPr>
          <w:rFonts w:hint="eastAsia" w:ascii="Times New Roman" w:hAnsi="Times New Roman" w:eastAsia="黑体"/>
          <w:bCs/>
          <w:color w:val="auto"/>
          <w:sz w:val="32"/>
          <w:szCs w:val="32"/>
          <w:lang w:eastAsia="zh-CN"/>
        </w:rPr>
        <w:tab/>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（一）完善机制，规范管理。</w:t>
      </w:r>
      <w:r>
        <w:rPr>
          <w:rFonts w:hint="eastAsia" w:ascii="仿宋" w:hAnsi="仿宋" w:eastAsia="仿宋"/>
          <w:color w:val="auto"/>
          <w:sz w:val="32"/>
          <w:szCs w:val="32"/>
        </w:rPr>
        <w:t>为进一步加强残疾人事业专项资金管理，提高资金使用效益，市残联制定了相关政策措施，对残疾人康复、就业、教育、扶贫、社会保障等实施全覆盖，做到资金预算申请依据充分，资金使用范围明确、管理规范。</w:t>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（二）规范使用，严格把关。</w:t>
      </w:r>
      <w:r>
        <w:rPr>
          <w:rFonts w:hint="eastAsia" w:ascii="仿宋" w:hAnsi="仿宋" w:eastAsia="仿宋"/>
          <w:color w:val="auto"/>
          <w:sz w:val="32"/>
          <w:szCs w:val="32"/>
        </w:rPr>
        <w:t>各专项资金严格按照相关文件规定要求，按照统筹安排、专款专用的原则进行科学管理和使用。资金申请程序科学、严密，审核拨付程序阳光、透明。部门负责人、分管领导、主管领导分级负责，逐级把关。属于 “三重一大”范围的项目，一律按规定程序上会研究。</w:t>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（三）突出重点，注重绩效。</w:t>
      </w:r>
      <w:r>
        <w:rPr>
          <w:rFonts w:hint="eastAsia" w:ascii="仿宋" w:hAnsi="仿宋" w:eastAsia="仿宋"/>
          <w:color w:val="auto"/>
          <w:sz w:val="32"/>
          <w:szCs w:val="32"/>
        </w:rPr>
        <w:t>重点做好残疾人康复、就业、教育、扶贫、社会保障等领域的资金保障。根据残疾人需求，结合我市经济社会发展状况，逐步加大残疾人事业资金投入，提高残疾人社会保障水平。</w:t>
      </w:r>
    </w:p>
    <w:p>
      <w:pPr>
        <w:tabs>
          <w:tab w:val="left" w:pos="912"/>
        </w:tabs>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九、部门整体支出绩效评价等级</w:t>
      </w:r>
    </w:p>
    <w:p>
      <w:pPr>
        <w:spacing w:line="568"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根据部门整体支出绩效评价参考指标，我单位此次评价</w:t>
      </w:r>
      <w:r>
        <w:rPr>
          <w:rFonts w:hint="eastAsia" w:ascii="Times New Roman" w:hAnsi="Times New Roman" w:eastAsia="仿宋_GB2312"/>
          <w:color w:val="auto"/>
          <w:sz w:val="32"/>
          <w:szCs w:val="32"/>
          <w:lang w:eastAsia="zh-CN"/>
        </w:rPr>
        <w:t>分为</w:t>
      </w:r>
      <w:r>
        <w:rPr>
          <w:rFonts w:hint="eastAsia" w:ascii="Times New Roman" w:hAnsi="Times New Roman" w:eastAsia="仿宋_GB2312"/>
          <w:color w:val="auto"/>
          <w:sz w:val="32"/>
          <w:szCs w:val="32"/>
          <w:lang w:val="en-US" w:eastAsia="zh-CN"/>
        </w:rPr>
        <w:t>96分，</w:t>
      </w:r>
      <w:r>
        <w:rPr>
          <w:rFonts w:hint="eastAsia" w:ascii="Times New Roman" w:hAnsi="Times New Roman" w:eastAsia="仿宋_GB2312"/>
          <w:color w:val="auto"/>
          <w:sz w:val="32"/>
          <w:szCs w:val="32"/>
        </w:rPr>
        <w:t>等级为优，具体评价情况见附件1、2。</w:t>
      </w:r>
    </w:p>
    <w:p>
      <w:pPr>
        <w:spacing w:line="568" w:lineRule="exact"/>
        <w:ind w:firstLine="640" w:firstLineChars="200"/>
        <w:rPr>
          <w:rFonts w:ascii="Times New Roman" w:hAnsi="Times New Roman" w:eastAsia="仿宋_GB2312"/>
          <w:color w:val="auto"/>
          <w:sz w:val="32"/>
          <w:szCs w:val="32"/>
        </w:rPr>
      </w:pPr>
    </w:p>
    <w:p>
      <w:pPr>
        <w:keepNext w:val="0"/>
        <w:keepLines w:val="0"/>
        <w:pageBreakBefore w:val="0"/>
        <w:widowControl w:val="0"/>
        <w:tabs>
          <w:tab w:val="left" w:pos="6477"/>
        </w:tabs>
        <w:kinsoku/>
        <w:wordWrap/>
        <w:overflowPunct/>
        <w:topLinePunct w:val="0"/>
        <w:autoSpaceDE/>
        <w:autoSpaceDN/>
        <w:bidi w:val="0"/>
        <w:adjustRightInd/>
        <w:snapToGrid/>
        <w:spacing w:line="568" w:lineRule="exact"/>
        <w:ind w:firstLine="5440" w:firstLineChars="17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浏阳市残疾人联合会</w:t>
      </w:r>
    </w:p>
    <w:p>
      <w:pPr>
        <w:bidi w:val="0"/>
        <w:rPr>
          <w:rFonts w:ascii="Calibri" w:hAnsi="Calibri" w:eastAsia="宋体" w:cs="Times New Roman"/>
          <w:kern w:val="2"/>
          <w:sz w:val="21"/>
          <w:szCs w:val="21"/>
          <w:lang w:val="en-US" w:eastAsia="zh-CN" w:bidi="ar-SA"/>
        </w:rPr>
      </w:pPr>
    </w:p>
    <w:p>
      <w:pPr>
        <w:tabs>
          <w:tab w:val="left" w:pos="6432"/>
        </w:tabs>
        <w:bidi w:val="0"/>
        <w:ind w:firstLine="5760" w:firstLineChars="1800"/>
        <w:jc w:val="left"/>
        <w:rPr>
          <w:rFonts w:hint="eastAsia" w:ascii="仿宋_GB2312" w:hAnsi="仿宋_GB2312" w:eastAsia="仿宋_GB2312" w:cs="仿宋_GB2312"/>
          <w:sz w:val="32"/>
          <w:szCs w:val="32"/>
          <w:lang w:val="en-US" w:eastAsia="zh-CN"/>
        </w:rPr>
        <w:sectPr>
          <w:headerReference r:id="rId3" w:type="default"/>
          <w:footerReference r:id="rId4" w:type="default"/>
          <w:footerReference r:id="rId5" w:type="even"/>
          <w:pgSz w:w="11906" w:h="16838"/>
          <w:pgMar w:top="1701" w:right="1531" w:bottom="1418" w:left="1531"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_GB2312" w:hAnsi="仿宋_GB2312" w:eastAsia="仿宋_GB2312" w:cs="仿宋_GB2312"/>
          <w:sz w:val="32"/>
          <w:szCs w:val="32"/>
          <w:lang w:val="en-US" w:eastAsia="zh-CN"/>
        </w:rPr>
        <w:t>2023年9月25日</w:t>
      </w:r>
    </w:p>
    <w:p>
      <w:pPr>
        <w:spacing w:line="576" w:lineRule="exact"/>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1</w:t>
      </w:r>
      <w:r>
        <w:rPr>
          <w:rFonts w:ascii="Times New Roman" w:hAnsi="Times New Roman" w:eastAsia="黑体"/>
          <w:color w:val="000000"/>
          <w:sz w:val="32"/>
          <w:szCs w:val="32"/>
        </w:rPr>
        <w:tab/>
      </w: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w:t>
      </w:r>
      <w:r>
        <w:rPr>
          <w:rFonts w:hint="eastAsia" w:ascii="Times New Roman" w:hAnsi="Times New Roman" w:eastAsia="方正小标宋简体"/>
          <w:color w:val="000000"/>
          <w:kern w:val="0"/>
          <w:sz w:val="44"/>
          <w:szCs w:val="44"/>
        </w:rPr>
        <w:t>自评</w:t>
      </w:r>
      <w:r>
        <w:rPr>
          <w:rFonts w:ascii="Times New Roman" w:hAnsi="Times New Roman" w:eastAsia="方正小标宋简体"/>
          <w:color w:val="000000"/>
          <w:kern w:val="0"/>
          <w:sz w:val="44"/>
          <w:szCs w:val="44"/>
        </w:rPr>
        <w:t>基础数据表</w:t>
      </w:r>
    </w:p>
    <w:p>
      <w:pPr>
        <w:tabs>
          <w:tab w:val="left" w:pos="838"/>
          <w:tab w:val="left" w:pos="4791"/>
          <w:tab w:val="left" w:pos="7071"/>
          <w:tab w:val="left" w:pos="9311"/>
        </w:tabs>
        <w:spacing w:line="36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lang w:eastAsia="zh-CN"/>
        </w:rPr>
        <w:tab/>
      </w:r>
      <w:r>
        <w:rPr>
          <w:rFonts w:ascii="Times New Roman" w:hAnsi="Times New Roman" w:eastAsia="仿宋_GB2312"/>
          <w:color w:val="000000"/>
          <w:kern w:val="0"/>
          <w:sz w:val="24"/>
        </w:rPr>
        <w:t>填报单位：</w:t>
      </w:r>
      <w:r>
        <w:rPr>
          <w:rFonts w:hint="eastAsia" w:ascii="Times New Roman" w:hAnsi="Times New Roman" w:eastAsia="仿宋_GB2312"/>
          <w:color w:val="000000"/>
          <w:kern w:val="0"/>
          <w:sz w:val="24"/>
          <w:lang w:eastAsia="zh-CN"/>
        </w:rPr>
        <w:t>残联</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5"/>
        <w:tblW w:w="9033" w:type="dxa"/>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7" w:type="dxa"/>
            <w:tcBorders>
              <w:top w:val="single" w:color="auto" w:sz="4" w:space="0"/>
              <w:left w:val="nil"/>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2022年</w:t>
            </w:r>
            <w:r>
              <w:rPr>
                <w:rFonts w:ascii="Times New Roman" w:hAnsi="Times New Roman" w:eastAsia="仿宋_GB2312"/>
                <w:bCs/>
                <w:color w:val="000000"/>
                <w:kern w:val="0"/>
                <w:sz w:val="24"/>
              </w:rPr>
              <w:t>实际</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在职人数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7" w:type="dxa"/>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11</w:t>
            </w:r>
          </w:p>
        </w:tc>
        <w:tc>
          <w:tcPr>
            <w:tcW w:w="2061"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12</w:t>
            </w:r>
          </w:p>
        </w:tc>
        <w:tc>
          <w:tcPr>
            <w:tcW w:w="1748"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100%</w:t>
            </w: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7" w:type="dxa"/>
            <w:tcBorders>
              <w:left w:val="nil"/>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p>
        </w:tc>
        <w:tc>
          <w:tcPr>
            <w:tcW w:w="2061" w:type="dxa"/>
            <w:vMerge w:val="continue"/>
            <w:tcBorders>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vMerge w:val="continue"/>
            <w:tcBorders>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2021年</w:t>
            </w:r>
            <w:r>
              <w:rPr>
                <w:rFonts w:ascii="Times New Roman" w:hAnsi="Times New Roman" w:eastAsia="仿宋_GB2312"/>
                <w:bCs/>
                <w:color w:val="000000"/>
                <w:kern w:val="0"/>
                <w:sz w:val="24"/>
              </w:rPr>
              <w:t>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2022年</w:t>
            </w:r>
            <w:r>
              <w:rPr>
                <w:rFonts w:ascii="Times New Roman" w:hAnsi="Times New Roman" w:eastAsia="仿宋_GB2312"/>
                <w:bCs/>
                <w:color w:val="000000"/>
                <w:kern w:val="0"/>
                <w:sz w:val="24"/>
              </w:rPr>
              <w:t>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2022年</w:t>
            </w:r>
            <w:r>
              <w:rPr>
                <w:rFonts w:ascii="Times New Roman" w:hAnsi="Times New Roman" w:eastAsia="仿宋_GB2312"/>
                <w:bCs/>
                <w:color w:val="000000"/>
                <w:kern w:val="0"/>
                <w:sz w:val="24"/>
              </w:rPr>
              <w:t>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1.27</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3.4</w:t>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0.87</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0.87</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w:t>
            </w:r>
          </w:p>
        </w:tc>
        <w:tc>
          <w:tcPr>
            <w:tcW w:w="1748"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0.4</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0.1</w:t>
            </w:r>
          </w:p>
        </w:tc>
      </w:tr>
      <w:tr>
        <w:tblPrEx>
          <w:tblCellMar>
            <w:top w:w="0" w:type="dxa"/>
            <w:left w:w="108" w:type="dxa"/>
            <w:bottom w:w="0" w:type="dxa"/>
            <w:right w:w="108" w:type="dxa"/>
          </w:tblCellMar>
        </w:tblPrEx>
        <w:trPr>
          <w:trHeight w:val="90"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7" w:type="dxa"/>
            <w:tcBorders>
              <w:top w:val="single" w:color="auto" w:sz="4" w:space="0"/>
              <w:left w:val="nil"/>
              <w:bottom w:val="single" w:color="auto" w:sz="4" w:space="0"/>
              <w:right w:val="single" w:color="000000" w:sz="4" w:space="0"/>
            </w:tcBorders>
            <w:noWrap w:val="0"/>
            <w:vAlign w:val="center"/>
          </w:tcPr>
          <w:p>
            <w:pPr>
              <w:tabs>
                <w:tab w:val="left" w:pos="559"/>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2262.22</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jc w:val="center"/>
              <w:rPr>
                <w:rFonts w:hint="default" w:ascii="Times New Roman" w:hAnsi="Times New Roman" w:eastAsia="仿宋_GB2312"/>
                <w:color w:val="000000"/>
                <w:kern w:val="0"/>
                <w:sz w:val="24"/>
                <w:lang w:val="en-US" w:eastAsia="zh-CN"/>
              </w:rPr>
            </w:pPr>
          </w:p>
        </w:tc>
        <w:tc>
          <w:tcPr>
            <w:tcW w:w="1748" w:type="dxa"/>
            <w:tcBorders>
              <w:top w:val="single" w:color="auto" w:sz="4" w:space="0"/>
              <w:left w:val="nil"/>
              <w:bottom w:val="single" w:color="auto" w:sz="4" w:space="0"/>
              <w:right w:val="single" w:color="000000" w:sz="4" w:space="0"/>
            </w:tcBorders>
            <w:noWrap w:val="0"/>
            <w:vAlign w:val="center"/>
          </w:tcPr>
          <w:p>
            <w:pPr>
              <w:tabs>
                <w:tab w:val="left" w:pos="559"/>
              </w:tabs>
              <w:spacing w:line="320" w:lineRule="exact"/>
              <w:jc w:val="center"/>
              <w:rPr>
                <w:rFonts w:hint="default" w:ascii="Times New Roman" w:hAnsi="Times New Roman" w:eastAsia="仿宋_GB2312"/>
                <w:color w:val="000000"/>
                <w:kern w:val="0"/>
                <w:sz w:val="24"/>
                <w:lang w:val="en-US" w:eastAsia="zh-CN"/>
              </w:rPr>
            </w:pPr>
            <w:r>
              <w:rPr>
                <w:rFonts w:hint="eastAsia" w:ascii="仿宋_GB2312" w:eastAsia="仿宋_GB2312" w:cs="仿宋_GB2312"/>
                <w:i w:val="0"/>
                <w:caps w:val="0"/>
                <w:color w:val="auto"/>
                <w:spacing w:val="0"/>
                <w:sz w:val="24"/>
                <w:szCs w:val="24"/>
                <w:lang w:val="en-US" w:eastAsia="zh-CN"/>
              </w:rPr>
              <w:t>2164.98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2207.1</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2090.18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55.12</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74.8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7" w:type="dxa"/>
            <w:tcBorders>
              <w:top w:val="single" w:color="auto" w:sz="4" w:space="0"/>
              <w:left w:val="nil"/>
              <w:bottom w:val="single" w:color="auto" w:sz="4" w:space="0"/>
              <w:right w:val="single" w:color="000000" w:sz="4" w:space="0"/>
            </w:tcBorders>
            <w:noWrap w:val="0"/>
            <w:vAlign w:val="center"/>
          </w:tcPr>
          <w:p>
            <w:pPr>
              <w:tabs>
                <w:tab w:val="left" w:pos="364"/>
                <w:tab w:val="left" w:pos="499"/>
              </w:tabs>
              <w:spacing w:line="320" w:lineRule="exact"/>
              <w:jc w:val="left"/>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4.19</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p>
        </w:tc>
        <w:tc>
          <w:tcPr>
            <w:tcW w:w="1748" w:type="dxa"/>
            <w:tcBorders>
              <w:top w:val="single" w:color="auto" w:sz="4" w:space="0"/>
              <w:left w:val="nil"/>
              <w:bottom w:val="single" w:color="auto" w:sz="4" w:space="0"/>
              <w:right w:val="single" w:color="000000" w:sz="4" w:space="0"/>
            </w:tcBorders>
            <w:noWrap w:val="0"/>
            <w:vAlign w:val="center"/>
          </w:tcPr>
          <w:p>
            <w:pPr>
              <w:tabs>
                <w:tab w:val="left" w:pos="364"/>
                <w:tab w:val="left" w:pos="499"/>
              </w:tabs>
              <w:spacing w:line="320" w:lineRule="exact"/>
              <w:ind w:firstLine="720" w:firstLineChars="300"/>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olor w:val="000000"/>
                <w:kern w:val="0"/>
                <w:sz w:val="24"/>
                <w:lang w:eastAsia="zh-CN"/>
              </w:rPr>
            </w:pPr>
            <w:r>
              <w:rPr>
                <w:rFonts w:ascii="Times New Roman" w:hAnsi="Times New Roman" w:eastAsia="仿宋_GB2312"/>
                <w:color w:val="000000"/>
                <w:kern w:val="0"/>
                <w:sz w:val="24"/>
              </w:rPr>
              <w:t xml:space="preserve">    其中：</w:t>
            </w:r>
            <w:r>
              <w:rPr>
                <w:rFonts w:hint="eastAsia" w:ascii="Times New Roman" w:hAnsi="Times New Roman" w:eastAsia="仿宋_GB2312"/>
                <w:color w:val="000000"/>
                <w:kern w:val="0"/>
                <w:sz w:val="24"/>
                <w:lang w:eastAsia="zh-CN"/>
              </w:rPr>
              <w:t>工会</w:t>
            </w:r>
            <w:r>
              <w:rPr>
                <w:rFonts w:ascii="Times New Roman" w:hAnsi="Times New Roman" w:eastAsia="仿宋_GB2312"/>
                <w:color w:val="000000"/>
                <w:kern w:val="0"/>
                <w:sz w:val="24"/>
              </w:rPr>
              <w:t>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2.65</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2.79</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4.91</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 xml:space="preserve">          </w:t>
            </w:r>
            <w:r>
              <w:rPr>
                <w:rFonts w:hint="eastAsia" w:ascii="Times New Roman" w:hAnsi="Times New Roman" w:eastAsia="仿宋_GB2312"/>
                <w:color w:val="000000"/>
                <w:kern w:val="0"/>
                <w:sz w:val="24"/>
                <w:lang w:eastAsia="zh-CN"/>
              </w:rPr>
              <w:t>福利费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0.14</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0.87</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r>
              <w:rPr>
                <w:rFonts w:hint="eastAsia" w:ascii="Times New Roman" w:hAnsi="Times New Roman" w:eastAsia="仿宋_GB2312"/>
                <w:color w:val="000000"/>
                <w:kern w:val="0"/>
                <w:sz w:val="24"/>
                <w:lang w:eastAsia="zh-CN"/>
              </w:rPr>
              <w:t>其他交通</w:t>
            </w:r>
            <w:r>
              <w:rPr>
                <w:rFonts w:ascii="Times New Roman" w:hAnsi="Times New Roman" w:eastAsia="仿宋_GB2312"/>
                <w:color w:val="000000"/>
                <w:kern w:val="0"/>
                <w:sz w:val="24"/>
              </w:rPr>
              <w:t>费</w:t>
            </w:r>
          </w:p>
        </w:tc>
        <w:tc>
          <w:tcPr>
            <w:tcW w:w="1727" w:type="dxa"/>
            <w:tcBorders>
              <w:top w:val="single" w:color="auto" w:sz="4" w:space="0"/>
              <w:left w:val="nil"/>
              <w:bottom w:val="single" w:color="auto" w:sz="4" w:space="0"/>
              <w:right w:val="single" w:color="000000" w:sz="4" w:space="0"/>
            </w:tcBorders>
            <w:noWrap w:val="0"/>
            <w:vAlign w:val="center"/>
          </w:tcPr>
          <w:p>
            <w:pPr>
              <w:tabs>
                <w:tab w:val="left" w:pos="274"/>
                <w:tab w:val="left" w:pos="424"/>
              </w:tabs>
              <w:spacing w:line="320" w:lineRule="exact"/>
              <w:ind w:firstLine="480" w:firstLineChars="200"/>
              <w:jc w:val="left"/>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1.4</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8.14</w:t>
            </w:r>
          </w:p>
        </w:tc>
        <w:tc>
          <w:tcPr>
            <w:tcW w:w="1748" w:type="dxa"/>
            <w:tcBorders>
              <w:top w:val="single" w:color="auto" w:sz="4" w:space="0"/>
              <w:left w:val="nil"/>
              <w:bottom w:val="single" w:color="auto" w:sz="4" w:space="0"/>
              <w:right w:val="single" w:color="000000" w:sz="4" w:space="0"/>
            </w:tcBorders>
            <w:noWrap w:val="0"/>
            <w:vAlign w:val="center"/>
          </w:tcPr>
          <w:p>
            <w:pPr>
              <w:tabs>
                <w:tab w:val="left" w:pos="274"/>
                <w:tab w:val="left" w:pos="424"/>
              </w:tabs>
              <w:spacing w:line="320" w:lineRule="exact"/>
              <w:ind w:firstLine="480" w:firstLineChars="200"/>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4.33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olor w:val="000000"/>
                <w:kern w:val="0"/>
                <w:sz w:val="24"/>
                <w:lang w:eastAsia="zh-CN"/>
              </w:rPr>
            </w:pPr>
            <w:r>
              <w:rPr>
                <w:rFonts w:ascii="Times New Roman" w:hAnsi="Times New Roman" w:eastAsia="仿宋_GB2312"/>
                <w:color w:val="000000"/>
                <w:kern w:val="0"/>
                <w:sz w:val="24"/>
              </w:rPr>
              <w:t xml:space="preserve">         </w:t>
            </w:r>
            <w:r>
              <w:rPr>
                <w:rFonts w:hint="eastAsia" w:ascii="Times New Roman" w:hAnsi="Times New Roman" w:eastAsia="仿宋_GB2312"/>
                <w:color w:val="000000"/>
                <w:kern w:val="0"/>
                <w:sz w:val="24"/>
                <w:lang w:eastAsia="zh-CN"/>
              </w:rPr>
              <w:t>其他商品和服务支出</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s="Times New Roman"/>
                <w:color w:val="000000"/>
                <w:kern w:val="0"/>
                <w:sz w:val="24"/>
                <w:szCs w:val="21"/>
                <w:lang w:val="en-US" w:eastAsia="zh-CN" w:bidi="ar-SA"/>
              </w:rPr>
            </w:pP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10.21</w:t>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11.89</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p>
        </w:tc>
        <w:tc>
          <w:tcPr>
            <w:tcW w:w="1748"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ind w:firstLine="240" w:firstLineChars="100"/>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55.16</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 w:val="center" w:pos="826"/>
                <w:tab w:val="right" w:pos="1532"/>
              </w:tabs>
              <w:spacing w:line="320" w:lineRule="exact"/>
              <w:jc w:val="left"/>
              <w:rPr>
                <w:rFonts w:hint="default" w:ascii="Times New Roman" w:hAnsi="Times New Roman" w:eastAsia="仿宋_GB2312"/>
                <w:color w:val="000000"/>
                <w:kern w:val="0"/>
                <w:sz w:val="24"/>
                <w:lang w:val="en-US" w:eastAsia="zh-CN"/>
              </w:rPr>
            </w:pPr>
          </w:p>
        </w:tc>
      </w:tr>
      <w:tr>
        <w:tblPrEx>
          <w:tblCellMar>
            <w:top w:w="0" w:type="dxa"/>
            <w:left w:w="108" w:type="dxa"/>
            <w:bottom w:w="0" w:type="dxa"/>
            <w:right w:w="108" w:type="dxa"/>
          </w:tblCellMar>
        </w:tblPrEx>
        <w:trPr>
          <w:trHeight w:val="1693"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eastAsia="仿宋_GB2312"/>
                <w:color w:val="000000"/>
                <w:kern w:val="0"/>
                <w:sz w:val="24"/>
              </w:rPr>
              <w:t>健全了相关制定，严格按照要求执行</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说明：“项目支出”需要填报除</w:t>
      </w:r>
      <w:r>
        <w:rPr>
          <w:rFonts w:hint="eastAsia" w:ascii="Times New Roman" w:hAnsi="Times New Roman" w:eastAsia="仿宋_GB2312"/>
          <w:color w:val="000000"/>
          <w:kern w:val="0"/>
          <w:sz w:val="24"/>
        </w:rPr>
        <w:t>公共</w:t>
      </w:r>
      <w:r>
        <w:rPr>
          <w:rFonts w:ascii="Times New Roman" w:hAnsi="Times New Roman" w:eastAsia="仿宋_GB2312"/>
          <w:color w:val="000000"/>
          <w:kern w:val="0"/>
          <w:sz w:val="24"/>
        </w:rPr>
        <w:t>专项资金和基本支出以外的所有项目情况，包括业务工作项目、运行维护项目等；“公用经费”填报基本支出中的一般商品和服务支出。</w:t>
      </w:r>
    </w:p>
    <w:p>
      <w:pPr>
        <w:adjustRightInd w:val="0"/>
        <w:snapToGrid w:val="0"/>
        <w:spacing w:line="600" w:lineRule="exact"/>
        <w:rPr>
          <w:rFonts w:eastAsia="黑体"/>
          <w:sz w:val="32"/>
          <w:szCs w:val="32"/>
        </w:rPr>
      </w:pPr>
    </w:p>
    <w:p>
      <w:pPr>
        <w:adjustRightInd w:val="0"/>
        <w:snapToGrid w:val="0"/>
        <w:spacing w:line="60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adjustRightInd w:val="0"/>
        <w:snapToGrid w:val="0"/>
        <w:spacing w:line="60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lang w:eastAsia="zh-CN"/>
        </w:rPr>
        <w:t>2022年</w:t>
      </w:r>
      <w:r>
        <w:rPr>
          <w:rFonts w:ascii="Times New Roman" w:hAnsi="Times New Roman" w:eastAsia="方正小标宋简体"/>
          <w:color w:val="000000"/>
          <w:kern w:val="0"/>
          <w:sz w:val="44"/>
          <w:szCs w:val="44"/>
        </w:rPr>
        <w:t>部门整体支出绩效自评表</w:t>
      </w:r>
    </w:p>
    <w:tbl>
      <w:tblPr>
        <w:tblStyle w:val="5"/>
        <w:tblW w:w="937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71"/>
        <w:gridCol w:w="580"/>
        <w:gridCol w:w="2112"/>
        <w:gridCol w:w="1760"/>
        <w:gridCol w:w="1252"/>
        <w:gridCol w:w="227"/>
        <w:gridCol w:w="878"/>
        <w:gridCol w:w="560"/>
        <w:gridCol w:w="9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2" w:hRule="atLeast"/>
          <w:jc w:val="center"/>
        </w:trPr>
        <w:tc>
          <w:tcPr>
            <w:tcW w:w="1651"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部门（单位）名称</w:t>
            </w:r>
          </w:p>
        </w:tc>
        <w:tc>
          <w:tcPr>
            <w:tcW w:w="7728" w:type="dxa"/>
            <w:gridSpan w:val="7"/>
            <w:noWrap w:val="0"/>
            <w:tcMar>
              <w:top w:w="15" w:type="dxa"/>
              <w:left w:w="15" w:type="dxa"/>
              <w:bottom w:w="0" w:type="dxa"/>
              <w:right w:w="15" w:type="dxa"/>
            </w:tcMar>
            <w:vAlign w:val="center"/>
          </w:tcPr>
          <w:p>
            <w:pPr>
              <w:tabs>
                <w:tab w:val="left" w:pos="960"/>
                <w:tab w:val="center" w:pos="4084"/>
              </w:tabs>
              <w:spacing w:line="250" w:lineRule="exact"/>
              <w:jc w:val="left"/>
              <w:rPr>
                <w:color w:val="000000"/>
                <w:sz w:val="18"/>
                <w:szCs w:val="18"/>
              </w:rPr>
            </w:pPr>
            <w:r>
              <w:rPr>
                <w:rFonts w:hint="eastAsia"/>
                <w:color w:val="000000"/>
                <w:sz w:val="18"/>
                <w:szCs w:val="18"/>
                <w:lang w:eastAsia="zh-CN"/>
              </w:rPr>
              <w:tab/>
            </w:r>
            <w:r>
              <w:rPr>
                <w:rFonts w:hint="eastAsia"/>
                <w:color w:val="000000"/>
                <w:sz w:val="18"/>
                <w:szCs w:val="18"/>
                <w:lang w:eastAsia="zh-CN"/>
              </w:rPr>
              <w:t>残联</w:t>
            </w:r>
            <w:r>
              <w:rPr>
                <w:rFonts w:hint="eastAsia"/>
                <w:color w:val="000000"/>
                <w:sz w:val="18"/>
                <w:szCs w:val="18"/>
                <w:lang w:eastAsia="zh-CN"/>
              </w:rPr>
              <w:tab/>
            </w: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整体支出规模</w:t>
            </w: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3012"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全年预算数</w:t>
            </w:r>
          </w:p>
        </w:tc>
        <w:tc>
          <w:tcPr>
            <w:tcW w:w="1665"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全年执行数</w:t>
            </w:r>
          </w:p>
        </w:tc>
        <w:tc>
          <w:tcPr>
            <w:tcW w:w="939"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资金来源：（1）财政拨款</w:t>
            </w:r>
          </w:p>
        </w:tc>
        <w:tc>
          <w:tcPr>
            <w:tcW w:w="3012"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1425.29</w:t>
            </w:r>
          </w:p>
        </w:tc>
        <w:tc>
          <w:tcPr>
            <w:tcW w:w="1665" w:type="dxa"/>
            <w:gridSpan w:val="3"/>
            <w:noWrap w:val="0"/>
            <w:tcMar>
              <w:top w:w="15" w:type="dxa"/>
              <w:left w:w="15" w:type="dxa"/>
              <w:bottom w:w="0" w:type="dxa"/>
              <w:right w:w="15" w:type="dxa"/>
            </w:tcMar>
            <w:vAlign w:val="center"/>
          </w:tcPr>
          <w:p>
            <w:pPr>
              <w:spacing w:line="250" w:lineRule="exact"/>
              <w:jc w:val="center"/>
              <w:rPr>
                <w:rFonts w:hint="default"/>
                <w:color w:val="000000"/>
                <w:sz w:val="18"/>
                <w:szCs w:val="18"/>
                <w:lang w:val="en-US"/>
              </w:rPr>
            </w:pPr>
            <w:r>
              <w:rPr>
                <w:rFonts w:hint="eastAsia"/>
                <w:color w:val="000000"/>
                <w:sz w:val="18"/>
                <w:szCs w:val="18"/>
                <w:lang w:val="en-US" w:eastAsia="zh-CN"/>
              </w:rPr>
              <w:t>2091.28</w:t>
            </w:r>
          </w:p>
        </w:tc>
        <w:tc>
          <w:tcPr>
            <w:tcW w:w="939" w:type="dxa"/>
            <w:noWrap w:val="0"/>
            <w:tcMar>
              <w:top w:w="15" w:type="dxa"/>
              <w:left w:w="15" w:type="dxa"/>
              <w:bottom w:w="0" w:type="dxa"/>
              <w:right w:w="15" w:type="dxa"/>
            </w:tcMar>
            <w:vAlign w:val="center"/>
          </w:tcPr>
          <w:p>
            <w:pPr>
              <w:spacing w:line="250" w:lineRule="exact"/>
              <w:ind w:firstLine="180" w:firstLineChars="100"/>
              <w:rPr>
                <w:rFonts w:hint="default" w:eastAsia="宋体"/>
                <w:color w:val="000000"/>
                <w:sz w:val="18"/>
                <w:szCs w:val="18"/>
                <w:lang w:val="en-US" w:eastAsia="zh-CN"/>
              </w:rPr>
            </w:pPr>
            <w:r>
              <w:rPr>
                <w:rFonts w:hint="eastAsia"/>
                <w:color w:val="000000"/>
                <w:sz w:val="18"/>
                <w:szCs w:val="18"/>
                <w:lang w:val="en-US" w:eastAsia="zh-CN"/>
              </w:rPr>
              <w:t>146.73%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xml:space="preserve">         （2）其他资金</w:t>
            </w:r>
          </w:p>
        </w:tc>
        <w:tc>
          <w:tcPr>
            <w:tcW w:w="3012" w:type="dxa"/>
            <w:gridSpan w:val="2"/>
            <w:noWrap w:val="0"/>
            <w:tcMar>
              <w:top w:w="15" w:type="dxa"/>
              <w:left w:w="15" w:type="dxa"/>
              <w:bottom w:w="0" w:type="dxa"/>
              <w:right w:w="15" w:type="dxa"/>
            </w:tcMar>
            <w:vAlign w:val="center"/>
          </w:tcPr>
          <w:p>
            <w:pPr>
              <w:spacing w:line="250" w:lineRule="exact"/>
              <w:jc w:val="center"/>
              <w:rPr>
                <w:color w:val="000000"/>
                <w:sz w:val="18"/>
                <w:szCs w:val="18"/>
              </w:rPr>
            </w:pPr>
          </w:p>
        </w:tc>
        <w:tc>
          <w:tcPr>
            <w:tcW w:w="1665" w:type="dxa"/>
            <w:gridSpan w:val="3"/>
            <w:noWrap w:val="0"/>
            <w:tcMar>
              <w:top w:w="15" w:type="dxa"/>
              <w:left w:w="15" w:type="dxa"/>
              <w:bottom w:w="0" w:type="dxa"/>
              <w:right w:w="15" w:type="dxa"/>
            </w:tcMar>
            <w:vAlign w:val="center"/>
          </w:tcPr>
          <w:p>
            <w:pPr>
              <w:tabs>
                <w:tab w:val="left" w:pos="540"/>
                <w:tab w:val="center" w:pos="997"/>
              </w:tabs>
              <w:spacing w:line="250" w:lineRule="exact"/>
              <w:jc w:val="left"/>
              <w:rPr>
                <w:color w:val="000000"/>
                <w:sz w:val="18"/>
                <w:szCs w:val="18"/>
              </w:rPr>
            </w:pPr>
            <w:r>
              <w:rPr>
                <w:rFonts w:hint="eastAsia"/>
                <w:color w:val="000000"/>
                <w:sz w:val="18"/>
                <w:szCs w:val="18"/>
                <w:lang w:eastAsia="zh-CN"/>
              </w:rPr>
              <w:tab/>
            </w:r>
            <w:r>
              <w:rPr>
                <w:rFonts w:hint="eastAsia"/>
                <w:color w:val="000000"/>
                <w:sz w:val="18"/>
                <w:szCs w:val="18"/>
                <w:lang w:val="en-US" w:eastAsia="zh-CN"/>
              </w:rPr>
              <w:t>368.52</w:t>
            </w:r>
            <w:r>
              <w:rPr>
                <w:color w:val="000000"/>
                <w:sz w:val="18"/>
                <w:szCs w:val="18"/>
              </w:rPr>
              <w:t>　</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资金结构：（1）基本支出</w:t>
            </w:r>
          </w:p>
        </w:tc>
        <w:tc>
          <w:tcPr>
            <w:tcW w:w="3012"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209.79</w:t>
            </w:r>
          </w:p>
        </w:tc>
        <w:tc>
          <w:tcPr>
            <w:tcW w:w="1665" w:type="dxa"/>
            <w:gridSpan w:val="3"/>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294.82</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140.53%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xml:space="preserve">         （2）项目支出</w:t>
            </w:r>
          </w:p>
        </w:tc>
        <w:tc>
          <w:tcPr>
            <w:tcW w:w="3012"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1215.5</w:t>
            </w:r>
          </w:p>
        </w:tc>
        <w:tc>
          <w:tcPr>
            <w:tcW w:w="1665"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2164.98</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178.11%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年度总</w:t>
            </w:r>
          </w:p>
          <w:p>
            <w:pPr>
              <w:spacing w:line="250" w:lineRule="exact"/>
              <w:jc w:val="center"/>
              <w:rPr>
                <w:color w:val="000000"/>
                <w:sz w:val="18"/>
                <w:szCs w:val="18"/>
              </w:rPr>
            </w:pPr>
            <w:r>
              <w:rPr>
                <w:color w:val="000000"/>
                <w:sz w:val="18"/>
                <w:szCs w:val="18"/>
              </w:rPr>
              <w:t>体目标</w:t>
            </w:r>
          </w:p>
        </w:tc>
        <w:tc>
          <w:tcPr>
            <w:tcW w:w="4452"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年初设定目标</w:t>
            </w:r>
          </w:p>
        </w:tc>
        <w:tc>
          <w:tcPr>
            <w:tcW w:w="3856" w:type="dxa"/>
            <w:gridSpan w:val="5"/>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4452"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3856" w:type="dxa"/>
            <w:gridSpan w:val="5"/>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全面完成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9379" w:type="dxa"/>
            <w:gridSpan w:val="9"/>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一级指标</w:t>
            </w:r>
          </w:p>
        </w:tc>
        <w:tc>
          <w:tcPr>
            <w:tcW w:w="580" w:type="dxa"/>
            <w:vMerge w:val="restart"/>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30</w:t>
            </w: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二级指标</w:t>
            </w:r>
          </w:p>
        </w:tc>
        <w:tc>
          <w:tcPr>
            <w:tcW w:w="1760"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三级指标</w:t>
            </w:r>
          </w:p>
        </w:tc>
        <w:tc>
          <w:tcPr>
            <w:tcW w:w="1479" w:type="dxa"/>
            <w:gridSpan w:val="2"/>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年度指标值</w:t>
            </w:r>
          </w:p>
        </w:tc>
        <w:tc>
          <w:tcPr>
            <w:tcW w:w="878"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w:t>
            </w:r>
            <w:r>
              <w:rPr>
                <w:rFonts w:hint="eastAsia"/>
                <w:color w:val="000000"/>
                <w:sz w:val="18"/>
                <w:szCs w:val="18"/>
              </w:rPr>
              <w:t xml:space="preserve">  </w:t>
            </w:r>
            <w:r>
              <w:rPr>
                <w:color w:val="000000"/>
                <w:sz w:val="18"/>
                <w:szCs w:val="18"/>
              </w:rPr>
              <w:t>年</w:t>
            </w:r>
          </w:p>
          <w:p>
            <w:pPr>
              <w:spacing w:line="250" w:lineRule="exact"/>
              <w:jc w:val="center"/>
              <w:rPr>
                <w:color w:val="000000"/>
                <w:sz w:val="18"/>
                <w:szCs w:val="18"/>
              </w:rPr>
            </w:pPr>
            <w:r>
              <w:rPr>
                <w:color w:val="000000"/>
                <w:sz w:val="18"/>
                <w:szCs w:val="18"/>
              </w:rPr>
              <w:t>完成值</w:t>
            </w:r>
          </w:p>
        </w:tc>
        <w:tc>
          <w:tcPr>
            <w:tcW w:w="560" w:type="dxa"/>
            <w:vMerge w:val="restart"/>
            <w:noWrap w:val="0"/>
            <w:vAlign w:val="center"/>
          </w:tcPr>
          <w:p>
            <w:pPr>
              <w:spacing w:line="250" w:lineRule="exact"/>
              <w:jc w:val="center"/>
              <w:rPr>
                <w:color w:val="000000"/>
                <w:sz w:val="18"/>
                <w:szCs w:val="18"/>
              </w:rPr>
            </w:pPr>
            <w:r>
              <w:rPr>
                <w:color w:val="000000"/>
                <w:sz w:val="18"/>
                <w:szCs w:val="18"/>
              </w:rPr>
              <w:t>自评</w:t>
            </w:r>
          </w:p>
          <w:p>
            <w:pPr>
              <w:spacing w:line="250" w:lineRule="exact"/>
              <w:jc w:val="center"/>
              <w:rPr>
                <w:color w:val="000000"/>
                <w:sz w:val="18"/>
                <w:szCs w:val="18"/>
              </w:rPr>
            </w:pPr>
            <w:r>
              <w:rPr>
                <w:color w:val="000000"/>
                <w:sz w:val="18"/>
                <w:szCs w:val="18"/>
              </w:rPr>
              <w:t>得分</w:t>
            </w:r>
          </w:p>
        </w:tc>
        <w:tc>
          <w:tcPr>
            <w:tcW w:w="939"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偏差及</w:t>
            </w:r>
          </w:p>
          <w:p>
            <w:pPr>
              <w:spacing w:line="250" w:lineRule="exact"/>
              <w:jc w:val="center"/>
              <w:rPr>
                <w:color w:val="000000"/>
                <w:sz w:val="18"/>
                <w:szCs w:val="18"/>
              </w:rPr>
            </w:pPr>
            <w:r>
              <w:rPr>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3"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vMerge w:val="continue"/>
            <w:noWrap w:val="0"/>
            <w:vAlign w:val="center"/>
          </w:tcPr>
          <w:p>
            <w:pPr>
              <w:spacing w:line="250" w:lineRule="exact"/>
              <w:rPr>
                <w:color w:val="000000"/>
                <w:sz w:val="18"/>
                <w:szCs w:val="18"/>
              </w:rPr>
            </w:pPr>
          </w:p>
        </w:tc>
        <w:tc>
          <w:tcPr>
            <w:tcW w:w="1479" w:type="dxa"/>
            <w:gridSpan w:val="2"/>
            <w:vMerge w:val="continue"/>
            <w:noWrap w:val="0"/>
            <w:vAlign w:val="center"/>
          </w:tcPr>
          <w:p>
            <w:pPr>
              <w:spacing w:line="250" w:lineRule="exact"/>
              <w:rPr>
                <w:color w:val="000000"/>
                <w:sz w:val="18"/>
                <w:szCs w:val="18"/>
              </w:rPr>
            </w:pPr>
          </w:p>
        </w:tc>
        <w:tc>
          <w:tcPr>
            <w:tcW w:w="878" w:type="dxa"/>
            <w:vMerge w:val="continue"/>
            <w:noWrap w:val="0"/>
            <w:vAlign w:val="center"/>
          </w:tcPr>
          <w:p>
            <w:pPr>
              <w:spacing w:line="250" w:lineRule="exact"/>
              <w:rPr>
                <w:color w:val="000000"/>
                <w:sz w:val="18"/>
                <w:szCs w:val="18"/>
              </w:rPr>
            </w:pPr>
          </w:p>
        </w:tc>
        <w:tc>
          <w:tcPr>
            <w:tcW w:w="560" w:type="dxa"/>
            <w:vMerge w:val="continue"/>
            <w:noWrap w:val="0"/>
            <w:vAlign w:val="center"/>
          </w:tcPr>
          <w:p>
            <w:pPr>
              <w:spacing w:line="250" w:lineRule="exact"/>
              <w:rPr>
                <w:color w:val="000000"/>
                <w:sz w:val="18"/>
                <w:szCs w:val="18"/>
              </w:rPr>
            </w:pPr>
          </w:p>
        </w:tc>
        <w:tc>
          <w:tcPr>
            <w:tcW w:w="939" w:type="dxa"/>
            <w:vMerge w:val="continue"/>
            <w:noWrap w:val="0"/>
            <w:vAlign w:val="center"/>
          </w:tcPr>
          <w:p>
            <w:pPr>
              <w:spacing w:line="250" w:lineRule="exact"/>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预算执行管理</w:t>
            </w:r>
            <w:r>
              <w:rPr>
                <w:rFonts w:hint="eastAsia"/>
                <w:color w:val="000000"/>
                <w:sz w:val="18"/>
                <w:szCs w:val="18"/>
              </w:rPr>
              <w:t>（4）</w:t>
            </w:r>
          </w:p>
        </w:tc>
        <w:tc>
          <w:tcPr>
            <w:tcW w:w="3239" w:type="dxa"/>
            <w:gridSpan w:val="3"/>
            <w:vMerge w:val="restart"/>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2</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部门结转结余资金管理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预算绩效管理</w:t>
            </w:r>
            <w:r>
              <w:rPr>
                <w:rFonts w:hint="eastAsia"/>
                <w:color w:val="000000"/>
                <w:sz w:val="18"/>
                <w:szCs w:val="18"/>
              </w:rPr>
              <w:t>（5）</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预决算信息公开管理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财政监督管理</w:t>
            </w:r>
            <w:r>
              <w:rPr>
                <w:rFonts w:hint="eastAsia"/>
                <w:color w:val="000000"/>
                <w:sz w:val="18"/>
                <w:szCs w:val="18"/>
              </w:rPr>
              <w:t>（3）</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政府采购管理</w:t>
            </w:r>
            <w:r>
              <w:rPr>
                <w:rFonts w:hint="eastAsia"/>
                <w:color w:val="000000"/>
                <w:sz w:val="18"/>
                <w:szCs w:val="18"/>
              </w:rPr>
              <w:t>（3）</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资产管理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产出指标</w:t>
            </w:r>
          </w:p>
        </w:tc>
        <w:tc>
          <w:tcPr>
            <w:tcW w:w="580" w:type="dxa"/>
            <w:vMerge w:val="restart"/>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40</w:t>
            </w: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数量指标</w:t>
            </w:r>
            <w:r>
              <w:rPr>
                <w:rFonts w:hint="eastAsia"/>
                <w:color w:val="000000"/>
                <w:sz w:val="18"/>
                <w:szCs w:val="18"/>
              </w:rPr>
              <w:t>（</w:t>
            </w:r>
            <w:r>
              <w:rPr>
                <w:rFonts w:hint="eastAsia"/>
                <w:color w:val="000000"/>
                <w:sz w:val="18"/>
                <w:szCs w:val="18"/>
                <w:lang w:val="en-US" w:eastAsia="zh-CN"/>
              </w:rPr>
              <w:t>20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both"/>
              <w:rPr>
                <w:rFonts w:hint="eastAsia" w:eastAsia="宋体"/>
                <w:color w:val="000000"/>
                <w:sz w:val="18"/>
                <w:szCs w:val="18"/>
                <w:lang w:eastAsia="zh-CN"/>
              </w:rPr>
            </w:pPr>
            <w:r>
              <w:rPr>
                <w:rFonts w:hint="eastAsia"/>
                <w:color w:val="000000"/>
                <w:sz w:val="18"/>
                <w:szCs w:val="18"/>
                <w:lang w:eastAsia="zh-CN"/>
              </w:rPr>
              <w:t>残疾儿童康复人数</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240</w:t>
            </w:r>
          </w:p>
        </w:tc>
        <w:tc>
          <w:tcPr>
            <w:tcW w:w="878" w:type="dxa"/>
            <w:noWrap w:val="0"/>
            <w:tcMar>
              <w:top w:w="15" w:type="dxa"/>
              <w:left w:w="15" w:type="dxa"/>
              <w:bottom w:w="0" w:type="dxa"/>
              <w:right w:w="15" w:type="dxa"/>
            </w:tcMar>
            <w:vAlign w:val="center"/>
          </w:tcPr>
          <w:p>
            <w:pPr>
              <w:tabs>
                <w:tab w:val="left" w:pos="406"/>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529</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7</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eastAsia="宋体"/>
                <w:color w:val="000000"/>
                <w:sz w:val="18"/>
                <w:szCs w:val="18"/>
                <w:lang w:eastAsia="zh-CN"/>
              </w:rPr>
              <w:t>辅具适配</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1200</w:t>
            </w:r>
          </w:p>
        </w:tc>
        <w:tc>
          <w:tcPr>
            <w:tcW w:w="878" w:type="dxa"/>
            <w:noWrap w:val="0"/>
            <w:tcMar>
              <w:top w:w="15" w:type="dxa"/>
              <w:left w:w="15" w:type="dxa"/>
              <w:bottom w:w="0" w:type="dxa"/>
              <w:right w:w="15" w:type="dxa"/>
            </w:tcMar>
            <w:vAlign w:val="center"/>
          </w:tcPr>
          <w:p>
            <w:pPr>
              <w:tabs>
                <w:tab w:val="center" w:pos="435"/>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1383</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rPr>
              <w:t>托养服务人</w:t>
            </w:r>
            <w:r>
              <w:rPr>
                <w:rFonts w:hint="eastAsia"/>
                <w:color w:val="000000"/>
                <w:sz w:val="18"/>
                <w:szCs w:val="18"/>
                <w:lang w:eastAsia="zh-CN"/>
              </w:rPr>
              <w:t>数</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290</w:t>
            </w:r>
            <w:r>
              <w:rPr>
                <w:color w:val="000000"/>
                <w:sz w:val="18"/>
                <w:szCs w:val="18"/>
              </w:rPr>
              <w:t>　</w:t>
            </w:r>
          </w:p>
        </w:tc>
        <w:tc>
          <w:tcPr>
            <w:tcW w:w="878" w:type="dxa"/>
            <w:noWrap w:val="0"/>
            <w:tcMar>
              <w:top w:w="15" w:type="dxa"/>
              <w:left w:w="15" w:type="dxa"/>
              <w:bottom w:w="0" w:type="dxa"/>
              <w:right w:w="15" w:type="dxa"/>
            </w:tcMar>
            <w:vAlign w:val="center"/>
          </w:tcPr>
          <w:p>
            <w:pPr>
              <w:tabs>
                <w:tab w:val="left" w:pos="301"/>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296</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质量指标</w:t>
            </w:r>
            <w:r>
              <w:rPr>
                <w:rFonts w:hint="eastAsia"/>
                <w:color w:val="000000"/>
                <w:sz w:val="18"/>
                <w:szCs w:val="18"/>
              </w:rPr>
              <w:t>（</w:t>
            </w:r>
            <w:r>
              <w:rPr>
                <w:rFonts w:hint="eastAsia"/>
                <w:color w:val="000000"/>
                <w:sz w:val="18"/>
                <w:szCs w:val="18"/>
                <w:lang w:val="en-US" w:eastAsia="zh-CN"/>
              </w:rPr>
              <w:t>10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康复训练有效率</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85%</w:t>
            </w:r>
          </w:p>
        </w:tc>
        <w:tc>
          <w:tcPr>
            <w:tcW w:w="878" w:type="dxa"/>
            <w:noWrap w:val="0"/>
            <w:tcMar>
              <w:top w:w="15" w:type="dxa"/>
              <w:left w:w="15" w:type="dxa"/>
              <w:bottom w:w="0" w:type="dxa"/>
              <w:right w:w="15" w:type="dxa"/>
            </w:tcMar>
            <w:vAlign w:val="center"/>
          </w:tcPr>
          <w:p>
            <w:pPr>
              <w:tabs>
                <w:tab w:val="left" w:pos="456"/>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95%</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5</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kern w:val="0"/>
                <w:sz w:val="18"/>
                <w:szCs w:val="18"/>
                <w:lang w:eastAsia="zh-CN"/>
              </w:rPr>
              <w:t>辅助器具合格率</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95%</w:t>
            </w:r>
            <w:r>
              <w:rPr>
                <w:color w:val="000000"/>
                <w:sz w:val="18"/>
                <w:szCs w:val="18"/>
              </w:rPr>
              <w:t>　</w:t>
            </w:r>
          </w:p>
        </w:tc>
        <w:tc>
          <w:tcPr>
            <w:tcW w:w="878" w:type="dxa"/>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98%</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5</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时效指标</w:t>
            </w:r>
            <w:r>
              <w:rPr>
                <w:rFonts w:hint="eastAsia"/>
                <w:color w:val="000000"/>
                <w:sz w:val="18"/>
                <w:szCs w:val="18"/>
              </w:rPr>
              <w:t>（</w:t>
            </w:r>
            <w:r>
              <w:rPr>
                <w:rFonts w:hint="eastAsia"/>
                <w:color w:val="000000"/>
                <w:sz w:val="18"/>
                <w:szCs w:val="18"/>
                <w:lang w:val="en-US" w:eastAsia="zh-CN"/>
              </w:rPr>
              <w:t>10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both"/>
              <w:rPr>
                <w:rFonts w:hint="eastAsia" w:eastAsia="宋体"/>
                <w:color w:val="000000"/>
                <w:sz w:val="18"/>
                <w:szCs w:val="18"/>
                <w:lang w:eastAsia="zh-CN"/>
              </w:rPr>
            </w:pPr>
            <w:r>
              <w:rPr>
                <w:rFonts w:hint="eastAsia"/>
                <w:color w:val="000000"/>
                <w:sz w:val="18"/>
                <w:szCs w:val="18"/>
                <w:lang w:eastAsia="zh-CN"/>
              </w:rPr>
              <w:t>无障碍改造完成时间</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10月底</w:t>
            </w:r>
          </w:p>
        </w:tc>
        <w:tc>
          <w:tcPr>
            <w:tcW w:w="878" w:type="dxa"/>
            <w:noWrap w:val="0"/>
            <w:tcMar>
              <w:top w:w="15" w:type="dxa"/>
              <w:left w:w="15" w:type="dxa"/>
              <w:bottom w:w="0" w:type="dxa"/>
              <w:right w:w="15" w:type="dxa"/>
            </w:tcMar>
            <w:vAlign w:val="center"/>
          </w:tcPr>
          <w:p>
            <w:pPr>
              <w:tabs>
                <w:tab w:val="left" w:pos="316"/>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3</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助学金按时发放</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11月底</w:t>
            </w:r>
          </w:p>
        </w:tc>
        <w:tc>
          <w:tcPr>
            <w:tcW w:w="878"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3</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tcBorders>
              <w:bottom w:val="single" w:color="auto" w:sz="6" w:space="0"/>
            </w:tcBorders>
            <w:noWrap w:val="0"/>
            <w:vAlign w:val="center"/>
          </w:tcPr>
          <w:p>
            <w:pPr>
              <w:spacing w:line="250" w:lineRule="exact"/>
              <w:rPr>
                <w:color w:val="000000"/>
                <w:sz w:val="18"/>
                <w:szCs w:val="18"/>
              </w:rPr>
            </w:pPr>
          </w:p>
        </w:tc>
        <w:tc>
          <w:tcPr>
            <w:tcW w:w="580" w:type="dxa"/>
            <w:vMerge w:val="continue"/>
            <w:tcBorders>
              <w:bottom w:val="single" w:color="auto" w:sz="6" w:space="0"/>
            </w:tcBorders>
            <w:noWrap w:val="0"/>
            <w:vAlign w:val="center"/>
          </w:tcPr>
          <w:p>
            <w:pPr>
              <w:spacing w:line="250" w:lineRule="exact"/>
              <w:rPr>
                <w:color w:val="000000"/>
                <w:sz w:val="18"/>
                <w:szCs w:val="18"/>
              </w:rPr>
            </w:pPr>
          </w:p>
        </w:tc>
        <w:tc>
          <w:tcPr>
            <w:tcW w:w="2112" w:type="dxa"/>
            <w:vMerge w:val="continue"/>
            <w:tcBorders>
              <w:bottom w:val="single" w:color="auto" w:sz="4" w:space="0"/>
            </w:tcBorders>
            <w:noWrap w:val="0"/>
            <w:tcMar>
              <w:top w:w="15" w:type="dxa"/>
              <w:left w:w="15" w:type="dxa"/>
              <w:bottom w:w="0" w:type="dxa"/>
              <w:right w:w="15" w:type="dxa"/>
            </w:tcMar>
            <w:vAlign w:val="center"/>
          </w:tcPr>
          <w:p>
            <w:pPr>
              <w:spacing w:line="250" w:lineRule="exact"/>
              <w:jc w:val="center"/>
              <w:rPr>
                <w:color w:val="000000"/>
                <w:sz w:val="18"/>
                <w:szCs w:val="18"/>
              </w:rPr>
            </w:pPr>
          </w:p>
        </w:tc>
        <w:tc>
          <w:tcPr>
            <w:tcW w:w="1760" w:type="dxa"/>
            <w:noWrap w:val="0"/>
            <w:tcMar>
              <w:top w:w="15" w:type="dxa"/>
              <w:left w:w="15" w:type="dxa"/>
              <w:bottom w:w="0" w:type="dxa"/>
              <w:right w:w="15" w:type="dxa"/>
            </w:tcMar>
            <w:vAlign w:val="center"/>
          </w:tcPr>
          <w:p>
            <w:pPr>
              <w:spacing w:line="250" w:lineRule="exact"/>
              <w:jc w:val="both"/>
              <w:rPr>
                <w:rFonts w:hint="default" w:eastAsia="宋体"/>
                <w:color w:val="000000"/>
                <w:kern w:val="0"/>
                <w:sz w:val="18"/>
                <w:szCs w:val="18"/>
                <w:lang w:val="en-US" w:eastAsia="zh-CN"/>
              </w:rPr>
            </w:pPr>
            <w:r>
              <w:rPr>
                <w:rFonts w:hint="eastAsia"/>
                <w:color w:val="000000"/>
                <w:kern w:val="0"/>
                <w:sz w:val="18"/>
                <w:szCs w:val="18"/>
                <w:lang w:val="en-US" w:eastAsia="zh-CN"/>
              </w:rPr>
              <w:t>康复补助按时发放</w:t>
            </w:r>
          </w:p>
        </w:tc>
        <w:tc>
          <w:tcPr>
            <w:tcW w:w="1479"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12月底</w:t>
            </w:r>
          </w:p>
        </w:tc>
        <w:tc>
          <w:tcPr>
            <w:tcW w:w="878" w:type="dxa"/>
            <w:noWrap w:val="0"/>
            <w:tcMar>
              <w:top w:w="15" w:type="dxa"/>
              <w:left w:w="15" w:type="dxa"/>
              <w:bottom w:w="0" w:type="dxa"/>
              <w:right w:w="15" w:type="dxa"/>
            </w:tcMar>
            <w:vAlign w:val="center"/>
          </w:tcPr>
          <w:p>
            <w:pPr>
              <w:tabs>
                <w:tab w:val="center" w:pos="437"/>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restart"/>
            <w:tcBorders>
              <w:top w:val="single" w:color="auto" w:sz="6" w:space="0"/>
              <w:left w:val="single" w:color="auto" w:sz="6" w:space="0"/>
              <w:right w:val="single" w:color="auto" w:sz="6" w:space="0"/>
            </w:tcBorders>
            <w:noWrap w:val="0"/>
            <w:vAlign w:val="center"/>
          </w:tcPr>
          <w:p>
            <w:pPr>
              <w:spacing w:line="250" w:lineRule="exact"/>
              <w:jc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效益指标</w:t>
            </w:r>
          </w:p>
        </w:tc>
        <w:tc>
          <w:tcPr>
            <w:tcW w:w="580" w:type="dxa"/>
            <w:vMerge w:val="restart"/>
            <w:tcBorders>
              <w:top w:val="single" w:color="auto" w:sz="6" w:space="0"/>
              <w:left w:val="single" w:color="auto" w:sz="6" w:space="0"/>
            </w:tcBorders>
            <w:noWrap w:val="0"/>
            <w:vAlign w:val="center"/>
          </w:tcPr>
          <w:p>
            <w:pPr>
              <w:tabs>
                <w:tab w:val="left" w:pos="217"/>
              </w:tabs>
              <w:spacing w:line="250" w:lineRule="exact"/>
              <w:jc w:val="left"/>
              <w:rPr>
                <w:rFonts w:hint="default" w:eastAsia="宋体"/>
                <w:color w:val="000000"/>
                <w:sz w:val="18"/>
                <w:szCs w:val="18"/>
                <w:lang w:val="en-US" w:eastAsia="zh-CN"/>
              </w:rPr>
            </w:pPr>
            <w:r>
              <w:rPr>
                <w:rFonts w:hint="eastAsia"/>
                <w:color w:val="000000"/>
                <w:sz w:val="18"/>
                <w:szCs w:val="18"/>
                <w:lang w:eastAsia="zh-CN"/>
              </w:rPr>
              <w:tab/>
            </w:r>
            <w:r>
              <w:rPr>
                <w:rFonts w:hint="eastAsia"/>
                <w:color w:val="000000"/>
                <w:sz w:val="18"/>
                <w:szCs w:val="18"/>
                <w:lang w:val="en-US" w:eastAsia="zh-CN"/>
              </w:rPr>
              <w:t>30</w:t>
            </w:r>
          </w:p>
        </w:tc>
        <w:tc>
          <w:tcPr>
            <w:tcW w:w="2112" w:type="dxa"/>
            <w:vMerge w:val="restart"/>
            <w:tcBorders>
              <w:top w:val="single" w:color="auto" w:sz="4" w:space="0"/>
              <w:bottom w:val="single" w:color="auto" w:sz="4" w:space="0"/>
            </w:tcBorders>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社会效益指标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jc w:val="center"/>
            </w:pPr>
            <w:r>
              <w:rPr>
                <w:rFonts w:hint="eastAsia"/>
                <w:color w:val="000000"/>
                <w:sz w:val="18"/>
                <w:szCs w:val="18"/>
                <w:lang w:eastAsia="zh-CN"/>
              </w:rPr>
              <w:t>残疾人就业能力提高</w:t>
            </w:r>
          </w:p>
        </w:tc>
        <w:tc>
          <w:tcPr>
            <w:tcW w:w="1479" w:type="dxa"/>
            <w:gridSpan w:val="2"/>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有所提高</w:t>
            </w:r>
          </w:p>
        </w:tc>
        <w:tc>
          <w:tcPr>
            <w:tcW w:w="878" w:type="dxa"/>
            <w:noWrap w:val="0"/>
            <w:tcMar>
              <w:top w:w="15" w:type="dxa"/>
              <w:left w:w="15" w:type="dxa"/>
              <w:bottom w:w="0" w:type="dxa"/>
              <w:right w:w="15" w:type="dxa"/>
            </w:tcMar>
            <w:vAlign w:val="center"/>
          </w:tcPr>
          <w:p>
            <w:pPr>
              <w:tabs>
                <w:tab w:val="left" w:pos="471"/>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right w:val="single" w:color="auto" w:sz="6" w:space="0"/>
            </w:tcBorders>
            <w:noWrap w:val="0"/>
            <w:vAlign w:val="center"/>
          </w:tcPr>
          <w:p>
            <w:pPr>
              <w:spacing w:line="250" w:lineRule="exact"/>
              <w:jc w:val="center"/>
              <w:rPr>
                <w:color w:val="000000"/>
                <w:sz w:val="18"/>
                <w:szCs w:val="18"/>
              </w:rPr>
            </w:pPr>
          </w:p>
        </w:tc>
        <w:tc>
          <w:tcPr>
            <w:tcW w:w="580" w:type="dxa"/>
            <w:vMerge w:val="continue"/>
            <w:tcBorders>
              <w:left w:val="single" w:color="auto" w:sz="6" w:space="0"/>
            </w:tcBorders>
            <w:noWrap w:val="0"/>
            <w:vAlign w:val="center"/>
          </w:tcPr>
          <w:p>
            <w:pPr>
              <w:spacing w:line="250" w:lineRule="exact"/>
              <w:jc w:val="center"/>
              <w:rPr>
                <w:color w:val="000000"/>
                <w:sz w:val="18"/>
                <w:szCs w:val="18"/>
              </w:rPr>
            </w:pPr>
          </w:p>
        </w:tc>
        <w:tc>
          <w:tcPr>
            <w:tcW w:w="2112" w:type="dxa"/>
            <w:vMerge w:val="continue"/>
            <w:tcBorders>
              <w:top w:val="single" w:color="auto" w:sz="4" w:space="0"/>
              <w:bottom w:val="single" w:color="auto" w:sz="4" w:space="0"/>
            </w:tcBorders>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jc w:val="center"/>
            </w:pPr>
            <w:r>
              <w:rPr>
                <w:rFonts w:hint="eastAsia"/>
                <w:color w:val="000000"/>
                <w:sz w:val="18"/>
                <w:szCs w:val="18"/>
              </w:rPr>
              <w:t>出行便利程度</w:t>
            </w:r>
          </w:p>
        </w:tc>
        <w:tc>
          <w:tcPr>
            <w:tcW w:w="1479"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eastAsia="zh-CN"/>
              </w:rPr>
              <w:t>有所提高</w:t>
            </w:r>
            <w:r>
              <w:rPr>
                <w:color w:val="000000"/>
                <w:sz w:val="18"/>
                <w:szCs w:val="18"/>
              </w:rPr>
              <w:t>　</w:t>
            </w:r>
          </w:p>
        </w:tc>
        <w:tc>
          <w:tcPr>
            <w:tcW w:w="878"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righ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580" w:type="dxa"/>
            <w:vMerge w:val="continue"/>
            <w:tcBorders>
              <w:lef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2112" w:type="dxa"/>
            <w:tcBorders>
              <w:top w:val="single" w:color="auto" w:sz="4" w:space="0"/>
            </w:tcBorders>
            <w:noWrap w:val="0"/>
            <w:tcMar>
              <w:top w:w="15" w:type="dxa"/>
              <w:left w:w="15" w:type="dxa"/>
              <w:bottom w:w="0" w:type="dxa"/>
              <w:right w:w="15" w:type="dxa"/>
            </w:tcMar>
            <w:vAlign w:val="center"/>
          </w:tcPr>
          <w:p>
            <w:pPr>
              <w:spacing w:line="250" w:lineRule="exact"/>
              <w:jc w:val="center"/>
              <w:rPr>
                <w:rFonts w:ascii="Calibri" w:hAnsi="Calibri" w:eastAsia="宋体" w:cs="Times New Roman"/>
                <w:color w:val="000000"/>
                <w:kern w:val="2"/>
                <w:sz w:val="18"/>
                <w:szCs w:val="18"/>
                <w:lang w:val="en-US" w:eastAsia="zh-CN" w:bidi="ar-SA"/>
              </w:rPr>
            </w:pPr>
            <w:r>
              <w:rPr>
                <w:color w:val="000000"/>
                <w:sz w:val="18"/>
                <w:szCs w:val="18"/>
              </w:rPr>
              <w:t>经济效益指标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tabs>
                <w:tab w:val="left" w:pos="597"/>
              </w:tabs>
              <w:jc w:val="left"/>
              <w:rPr>
                <w:rFonts w:hint="eastAsia" w:ascii="Calibri" w:hAnsi="Calibri" w:eastAsia="宋体" w:cs="Times New Roman"/>
                <w:color w:val="000000"/>
                <w:kern w:val="2"/>
                <w:sz w:val="18"/>
                <w:szCs w:val="18"/>
                <w:lang w:val="en-US" w:eastAsia="zh-CN" w:bidi="ar-SA"/>
              </w:rPr>
            </w:pPr>
            <w:r>
              <w:rPr>
                <w:rFonts w:hint="eastAsia"/>
                <w:color w:val="000000"/>
                <w:sz w:val="18"/>
                <w:szCs w:val="18"/>
                <w:lang w:eastAsia="zh-CN"/>
              </w:rPr>
              <w:t>残疾人生活水平</w:t>
            </w:r>
          </w:p>
        </w:tc>
        <w:tc>
          <w:tcPr>
            <w:tcW w:w="1479" w:type="dxa"/>
            <w:gridSpan w:val="2"/>
            <w:noWrap w:val="0"/>
            <w:tcMar>
              <w:top w:w="15" w:type="dxa"/>
              <w:left w:w="15" w:type="dxa"/>
              <w:bottom w:w="0" w:type="dxa"/>
              <w:right w:w="15" w:type="dxa"/>
            </w:tcMar>
            <w:vAlign w:val="center"/>
          </w:tcPr>
          <w:p>
            <w:pPr>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有所提高</w:t>
            </w:r>
          </w:p>
        </w:tc>
        <w:tc>
          <w:tcPr>
            <w:tcW w:w="878" w:type="dxa"/>
            <w:noWrap w:val="0"/>
            <w:tcMar>
              <w:top w:w="15" w:type="dxa"/>
              <w:left w:w="15" w:type="dxa"/>
              <w:bottom w:w="0" w:type="dxa"/>
              <w:right w:w="15" w:type="dxa"/>
            </w:tcMar>
            <w:vAlign w:val="center"/>
          </w:tcPr>
          <w:p>
            <w:pPr>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完成</w:t>
            </w:r>
          </w:p>
        </w:tc>
        <w:tc>
          <w:tcPr>
            <w:tcW w:w="560" w:type="dxa"/>
            <w:noWrap w:val="0"/>
            <w:vAlign w:val="center"/>
          </w:tcPr>
          <w:p>
            <w:pPr>
              <w:tabs>
                <w:tab w:val="left" w:pos="540"/>
                <w:tab w:val="center" w:pos="997"/>
              </w:tabs>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10</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bottom w:val="nil"/>
              <w:righ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580" w:type="dxa"/>
            <w:vMerge w:val="continue"/>
            <w:tcBorders>
              <w:lef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2112" w:type="dxa"/>
            <w:tcBorders>
              <w:top w:val="single" w:color="auto" w:sz="4" w:space="0"/>
            </w:tcBorders>
            <w:noWrap w:val="0"/>
            <w:tcMar>
              <w:top w:w="15" w:type="dxa"/>
              <w:left w:w="15" w:type="dxa"/>
              <w:bottom w:w="0" w:type="dxa"/>
              <w:right w:w="15" w:type="dxa"/>
            </w:tcMar>
            <w:vAlign w:val="center"/>
          </w:tcPr>
          <w:p>
            <w:pPr>
              <w:spacing w:line="250" w:lineRule="exact"/>
              <w:jc w:val="center"/>
              <w:rPr>
                <w:rFonts w:ascii="Calibri" w:hAnsi="Calibri" w:eastAsia="宋体" w:cs="Times New Roman"/>
                <w:color w:val="000000"/>
                <w:kern w:val="2"/>
                <w:sz w:val="18"/>
                <w:szCs w:val="18"/>
                <w:lang w:val="en-US" w:eastAsia="zh-CN" w:bidi="ar-SA"/>
              </w:rPr>
            </w:pPr>
            <w:r>
              <w:rPr>
                <w:color w:val="000000"/>
                <w:sz w:val="18"/>
                <w:szCs w:val="18"/>
              </w:rPr>
              <w:t>满意度指标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jc w:val="center"/>
              <w:rPr>
                <w:rFonts w:hint="eastAsia" w:ascii="Calibri" w:hAnsi="Calibri" w:eastAsia="宋体" w:cs="Times New Roman"/>
                <w:kern w:val="2"/>
                <w:sz w:val="21"/>
                <w:szCs w:val="21"/>
                <w:lang w:val="en-US" w:eastAsia="zh-CN" w:bidi="ar-SA"/>
              </w:rPr>
            </w:pPr>
            <w:r>
              <w:rPr>
                <w:rFonts w:hint="eastAsia"/>
                <w:color w:val="000000"/>
                <w:sz w:val="18"/>
                <w:szCs w:val="18"/>
                <w:lang w:eastAsia="zh-CN"/>
              </w:rPr>
              <w:t>残疾人满意度</w:t>
            </w:r>
          </w:p>
        </w:tc>
        <w:tc>
          <w:tcPr>
            <w:tcW w:w="1479" w:type="dxa"/>
            <w:gridSpan w:val="2"/>
            <w:noWrap w:val="0"/>
            <w:tcMar>
              <w:top w:w="15" w:type="dxa"/>
              <w:left w:w="15" w:type="dxa"/>
              <w:bottom w:w="0" w:type="dxa"/>
              <w:right w:w="15" w:type="dxa"/>
            </w:tcMar>
            <w:vAlign w:val="center"/>
          </w:tcPr>
          <w:p>
            <w:pPr>
              <w:spacing w:line="250" w:lineRule="exact"/>
              <w:jc w:val="center"/>
              <w:rPr>
                <w:rFonts w:hint="eastAsia" w:ascii="Calibri" w:hAnsi="Calibri" w:eastAsia="宋体" w:cs="Times New Roman"/>
                <w:color w:val="000000"/>
                <w:kern w:val="2"/>
                <w:sz w:val="18"/>
                <w:szCs w:val="18"/>
                <w:lang w:val="en-US" w:eastAsia="zh-CN" w:bidi="ar-SA"/>
              </w:rPr>
            </w:pPr>
            <w:r>
              <w:rPr>
                <w:rFonts w:hint="eastAsia"/>
                <w:color w:val="000000"/>
                <w:sz w:val="18"/>
                <w:szCs w:val="18"/>
                <w:lang w:val="en-US" w:eastAsia="zh-CN"/>
              </w:rPr>
              <w:t>90%</w:t>
            </w:r>
          </w:p>
        </w:tc>
        <w:tc>
          <w:tcPr>
            <w:tcW w:w="878" w:type="dxa"/>
            <w:noWrap w:val="0"/>
            <w:tcMar>
              <w:top w:w="15" w:type="dxa"/>
              <w:left w:w="15" w:type="dxa"/>
              <w:bottom w:w="0" w:type="dxa"/>
              <w:right w:w="15" w:type="dxa"/>
            </w:tcMar>
            <w:vAlign w:val="center"/>
          </w:tcPr>
          <w:p>
            <w:pPr>
              <w:spacing w:line="250" w:lineRule="exact"/>
              <w:jc w:val="center"/>
              <w:rPr>
                <w:rFonts w:hint="eastAsia" w:ascii="Calibri" w:hAnsi="Calibri" w:eastAsia="宋体" w:cs="Times New Roman"/>
                <w:color w:val="000000"/>
                <w:kern w:val="2"/>
                <w:sz w:val="18"/>
                <w:szCs w:val="18"/>
                <w:lang w:val="en-US" w:eastAsia="zh-CN" w:bidi="ar-SA"/>
              </w:rPr>
            </w:pPr>
            <w:r>
              <w:rPr>
                <w:rFonts w:hint="eastAsia"/>
                <w:color w:val="000000"/>
                <w:sz w:val="18"/>
                <w:szCs w:val="18"/>
                <w:lang w:val="en-US" w:eastAsia="zh-CN"/>
              </w:rPr>
              <w:t>92%</w:t>
            </w:r>
          </w:p>
        </w:tc>
        <w:tc>
          <w:tcPr>
            <w:tcW w:w="560" w:type="dxa"/>
            <w:noWrap w:val="0"/>
            <w:vAlign w:val="center"/>
          </w:tcPr>
          <w:p>
            <w:pPr>
              <w:tabs>
                <w:tab w:val="left" w:pos="540"/>
                <w:tab w:val="center" w:pos="997"/>
              </w:tabs>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10</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763" w:type="dxa"/>
            <w:gridSpan w:val="3"/>
            <w:noWrap w:val="0"/>
            <w:vAlign w:val="center"/>
          </w:tcPr>
          <w:p>
            <w:pPr>
              <w:spacing w:line="250" w:lineRule="exact"/>
              <w:jc w:val="center"/>
              <w:rPr>
                <w:color w:val="000000"/>
                <w:sz w:val="18"/>
                <w:szCs w:val="18"/>
              </w:rPr>
            </w:pPr>
            <w:r>
              <w:rPr>
                <w:rFonts w:hint="eastAsia"/>
                <w:color w:val="000000"/>
                <w:sz w:val="18"/>
                <w:szCs w:val="18"/>
              </w:rPr>
              <w:t>总  分</w:t>
            </w:r>
          </w:p>
        </w:tc>
        <w:tc>
          <w:tcPr>
            <w:tcW w:w="4117" w:type="dxa"/>
            <w:gridSpan w:val="4"/>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100</w:t>
            </w:r>
          </w:p>
        </w:tc>
        <w:tc>
          <w:tcPr>
            <w:tcW w:w="560" w:type="dxa"/>
            <w:noWrap w:val="0"/>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bl>
    <w:p>
      <w:pPr>
        <w:bidi w:val="0"/>
        <w:ind w:firstLine="568" w:firstLineChars="0"/>
        <w:jc w:val="left"/>
        <w:rPr>
          <w:rFonts w:ascii="Calibri" w:hAnsi="Calibri" w:eastAsia="宋体" w:cs="Times New Roman"/>
          <w:kern w:val="2"/>
          <w:sz w:val="21"/>
          <w:szCs w:val="21"/>
          <w:lang w:val="en-US" w:eastAsia="zh-CN" w:bidi="ar-SA"/>
        </w:rPr>
      </w:pPr>
      <w:bookmarkStart w:id="0" w:name="_GoBack"/>
      <w:bookmarkEnd w:id="0"/>
    </w:p>
    <w:p>
      <w:pPr>
        <w:bidi w:val="0"/>
        <w:ind w:firstLine="568" w:firstLineChars="0"/>
        <w:jc w:val="left"/>
        <w:rPr>
          <w:rFonts w:ascii="Calibri" w:hAnsi="Calibri" w:eastAsia="宋体" w:cs="Times New Roman"/>
          <w:kern w:val="2"/>
          <w:sz w:val="21"/>
          <w:szCs w:val="21"/>
          <w:lang w:val="en-US" w:eastAsia="zh-CN" w:bidi="ar-SA"/>
        </w:rPr>
      </w:pPr>
    </w:p>
    <w:p>
      <w:pPr>
        <w:bidi w:val="0"/>
        <w:ind w:firstLine="568" w:firstLineChars="0"/>
        <w:jc w:val="left"/>
        <w:rPr>
          <w:rFonts w:hint="eastAsia" w:ascii="Calibri" w:hAnsi="Calibri" w:eastAsia="宋体" w:cs="Times New Roman"/>
          <w:kern w:val="2"/>
          <w:sz w:val="30"/>
          <w:szCs w:val="30"/>
          <w:lang w:val="en-US" w:eastAsia="zh-CN" w:bidi="ar-S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Fonts w:eastAsia="仿宋_GB2312"/>
        <w:sz w:val="28"/>
        <w:szCs w:val="28"/>
      </w:rPr>
    </w:pPr>
    <w:r>
      <w:rPr>
        <w:rStyle w:val="9"/>
        <w:rFonts w:eastAsia="仿宋_GB2312"/>
        <w:sz w:val="28"/>
        <w:szCs w:val="28"/>
      </w:rPr>
      <w:t>—</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18</w:t>
    </w:r>
    <w:r>
      <w:rPr>
        <w:rFonts w:eastAsia="仿宋_GB2312"/>
        <w:sz w:val="28"/>
        <w:szCs w:val="28"/>
      </w:rPr>
      <w:fldChar w:fldCharType="end"/>
    </w:r>
    <w:r>
      <w:rPr>
        <w:rStyle w:val="9"/>
        <w:rFonts w:eastAsia="仿宋_GB2312"/>
        <w:sz w:val="28"/>
        <w:szCs w:val="28"/>
      </w:rPr>
      <w:t>—</w:t>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rPr>
        <w:rStyle w:val="9"/>
      </w:rPr>
      <w:t>6</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C2194"/>
    <w:multiLevelType w:val="singleLevel"/>
    <w:tmpl w:val="BF6C2194"/>
    <w:lvl w:ilvl="0" w:tentative="0">
      <w:start w:val="4"/>
      <w:numFmt w:val="chineseCounting"/>
      <w:suff w:val="space"/>
      <w:lvlText w:val="%1、"/>
      <w:lvlJc w:val="left"/>
      <w:rPr>
        <w:rFonts w:hint="eastAsia"/>
      </w:rPr>
    </w:lvl>
  </w:abstractNum>
  <w:abstractNum w:abstractNumId="1">
    <w:nsid w:val="1F1F5F5C"/>
    <w:multiLevelType w:val="singleLevel"/>
    <w:tmpl w:val="1F1F5F5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YTZlZTVmYjViMTYwNzE3MzdjMTE2MDJhMWM5MTAifQ=="/>
  </w:docVars>
  <w:rsids>
    <w:rsidRoot w:val="311709B4"/>
    <w:rsid w:val="0072113A"/>
    <w:rsid w:val="00883B9B"/>
    <w:rsid w:val="00BA2359"/>
    <w:rsid w:val="02927646"/>
    <w:rsid w:val="03AA3C62"/>
    <w:rsid w:val="048E1B3E"/>
    <w:rsid w:val="05B27536"/>
    <w:rsid w:val="06F77C65"/>
    <w:rsid w:val="0855446D"/>
    <w:rsid w:val="08D11B99"/>
    <w:rsid w:val="0906187B"/>
    <w:rsid w:val="093A7972"/>
    <w:rsid w:val="0A9D2F32"/>
    <w:rsid w:val="0AB243E3"/>
    <w:rsid w:val="0BA33845"/>
    <w:rsid w:val="0BF94903"/>
    <w:rsid w:val="0DDF799A"/>
    <w:rsid w:val="0F8E67BE"/>
    <w:rsid w:val="0F93115C"/>
    <w:rsid w:val="103D2CA0"/>
    <w:rsid w:val="10710AB7"/>
    <w:rsid w:val="109B5A5E"/>
    <w:rsid w:val="12280DC8"/>
    <w:rsid w:val="12B91A9D"/>
    <w:rsid w:val="12D66841"/>
    <w:rsid w:val="146E2B30"/>
    <w:rsid w:val="18F00D95"/>
    <w:rsid w:val="198E7334"/>
    <w:rsid w:val="1A5C2101"/>
    <w:rsid w:val="1B0D68CD"/>
    <w:rsid w:val="1B3310C3"/>
    <w:rsid w:val="1CA86BA5"/>
    <w:rsid w:val="1CE44117"/>
    <w:rsid w:val="1D1B2BE6"/>
    <w:rsid w:val="1E0A2899"/>
    <w:rsid w:val="1EF33CC8"/>
    <w:rsid w:val="1EFE3CBA"/>
    <w:rsid w:val="213A3E05"/>
    <w:rsid w:val="22492E07"/>
    <w:rsid w:val="225C38A1"/>
    <w:rsid w:val="22F42CF3"/>
    <w:rsid w:val="23620507"/>
    <w:rsid w:val="241059BB"/>
    <w:rsid w:val="25000F84"/>
    <w:rsid w:val="254422A1"/>
    <w:rsid w:val="25E606AF"/>
    <w:rsid w:val="27060F32"/>
    <w:rsid w:val="2773759C"/>
    <w:rsid w:val="283D5139"/>
    <w:rsid w:val="29436742"/>
    <w:rsid w:val="296C2614"/>
    <w:rsid w:val="29A22FE8"/>
    <w:rsid w:val="29E074B5"/>
    <w:rsid w:val="2ABB2EE2"/>
    <w:rsid w:val="2CE53217"/>
    <w:rsid w:val="2F43013B"/>
    <w:rsid w:val="311709B4"/>
    <w:rsid w:val="32AA3854"/>
    <w:rsid w:val="3516371C"/>
    <w:rsid w:val="356A1FCF"/>
    <w:rsid w:val="367E6E7E"/>
    <w:rsid w:val="37144D14"/>
    <w:rsid w:val="3736112E"/>
    <w:rsid w:val="3A3457D4"/>
    <w:rsid w:val="3A4C735F"/>
    <w:rsid w:val="3ABB0B8F"/>
    <w:rsid w:val="3ACB2069"/>
    <w:rsid w:val="3AD1334A"/>
    <w:rsid w:val="3B5717C3"/>
    <w:rsid w:val="3BB605DF"/>
    <w:rsid w:val="3D760E4C"/>
    <w:rsid w:val="3FA175DF"/>
    <w:rsid w:val="3FA62913"/>
    <w:rsid w:val="400C1E93"/>
    <w:rsid w:val="40B06636"/>
    <w:rsid w:val="414840DD"/>
    <w:rsid w:val="41B23542"/>
    <w:rsid w:val="422A6188"/>
    <w:rsid w:val="436D7006"/>
    <w:rsid w:val="44B00772"/>
    <w:rsid w:val="44F80F52"/>
    <w:rsid w:val="47475F28"/>
    <w:rsid w:val="48DC0DD2"/>
    <w:rsid w:val="497D3644"/>
    <w:rsid w:val="4B942D57"/>
    <w:rsid w:val="4E8E098E"/>
    <w:rsid w:val="4F8C3B89"/>
    <w:rsid w:val="500E30E1"/>
    <w:rsid w:val="510B1A56"/>
    <w:rsid w:val="5141363B"/>
    <w:rsid w:val="51A8180D"/>
    <w:rsid w:val="52EE610A"/>
    <w:rsid w:val="53260D39"/>
    <w:rsid w:val="53E43F4C"/>
    <w:rsid w:val="547215A0"/>
    <w:rsid w:val="550646C1"/>
    <w:rsid w:val="55E60B92"/>
    <w:rsid w:val="56452F34"/>
    <w:rsid w:val="56A17EC6"/>
    <w:rsid w:val="571F77CE"/>
    <w:rsid w:val="5B324E7C"/>
    <w:rsid w:val="5BBE40FA"/>
    <w:rsid w:val="5F8A45CB"/>
    <w:rsid w:val="5FAD1FD6"/>
    <w:rsid w:val="63EE02BE"/>
    <w:rsid w:val="64C3402E"/>
    <w:rsid w:val="64EC7804"/>
    <w:rsid w:val="65881C42"/>
    <w:rsid w:val="672B088E"/>
    <w:rsid w:val="68D5496B"/>
    <w:rsid w:val="6DDF784E"/>
    <w:rsid w:val="6F2E3795"/>
    <w:rsid w:val="6FF21F46"/>
    <w:rsid w:val="701A0CA0"/>
    <w:rsid w:val="71542301"/>
    <w:rsid w:val="71645E83"/>
    <w:rsid w:val="71B85BF9"/>
    <w:rsid w:val="730120E7"/>
    <w:rsid w:val="73B41F30"/>
    <w:rsid w:val="75E82ED2"/>
    <w:rsid w:val="768C3636"/>
    <w:rsid w:val="77DB0B80"/>
    <w:rsid w:val="781B2436"/>
    <w:rsid w:val="7883784D"/>
    <w:rsid w:val="78961CD8"/>
    <w:rsid w:val="792A23A4"/>
    <w:rsid w:val="79882D39"/>
    <w:rsid w:val="7CD91AB6"/>
    <w:rsid w:val="7D85293D"/>
    <w:rsid w:val="7DB24F01"/>
    <w:rsid w:val="7DEB372A"/>
    <w:rsid w:val="7ED6221C"/>
    <w:rsid w:val="7EFF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qFormat/>
    <w:uiPriority w:val="0"/>
    <w:pPr>
      <w:widowControl/>
      <w:spacing w:before="240" w:after="240"/>
      <w:ind w:firstLine="480"/>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列出段落"/>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6576</Words>
  <Characters>7132</Characters>
  <Lines>0</Lines>
  <Paragraphs>0</Paragraphs>
  <TotalTime>198</TotalTime>
  <ScaleCrop>false</ScaleCrop>
  <LinksUpToDate>false</LinksUpToDate>
  <CharactersWithSpaces>7300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2021-04-07T07:09:00Z</dcterms:created>
  <dc:creator>Administrator</dc:creator>
  <cp:lastModifiedBy>Administrator</cp:lastModifiedBy>
  <cp:lastPrinted>2022-04-15T06:29:00Z</cp:lastPrinted>
  <dcterms:modified xsi:type="dcterms:W3CDTF">2008-12-31T16:16:49Z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B587A9D39D21482AB671FE2390059B45</vt:lpwstr>
  </property>
</Properties>
</file>