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
        <w:jc w:val="center"/>
        <w:rPr>
          <w:color w:val="000000"/>
        </w:rPr>
      </w:pPr>
      <w:r>
        <w:rPr>
          <w:rFonts w:hint="eastAsia" w:ascii="宋体" w:hAnsi="宋体" w:eastAsia="宋体"/>
          <w:color w:val="000000"/>
          <w:sz w:val="44"/>
          <w:szCs w:val="44"/>
        </w:rPr>
        <w:t>2020年度浏阳市发展和改革局部门决算</w:t>
      </w:r>
      <w:r>
        <w:rPr>
          <w:rFonts w:hint="eastAsia"/>
          <w:color w:val="000000"/>
        </w:rPr>
        <w:t xml:space="preserve"> </w:t>
      </w:r>
    </w:p>
    <w:p>
      <w:pPr>
        <w:spacing w:after="2"/>
        <w:jc w:val="center"/>
        <w:rPr>
          <w:color w:val="000000"/>
          <w:szCs w:val="21"/>
        </w:rPr>
      </w:pPr>
      <w:r>
        <w:rPr>
          <w:rFonts w:hint="eastAsia"/>
          <w:color w:val="000000"/>
          <w:sz w:val="32"/>
          <w:szCs w:val="32"/>
        </w:rPr>
        <w:t> </w:t>
      </w:r>
      <w:r>
        <w:rPr>
          <w:rFonts w:hint="eastAsia"/>
          <w:color w:val="000000"/>
          <w:szCs w:val="21"/>
        </w:rPr>
        <w:t xml:space="preserve"> </w:t>
      </w:r>
    </w:p>
    <w:p>
      <w:pPr>
        <w:spacing w:after="2"/>
        <w:jc w:val="center"/>
        <w:rPr>
          <w:rFonts w:ascii="宋体" w:hAnsi="宋体" w:eastAsia="宋体"/>
          <w:color w:val="000000"/>
          <w:szCs w:val="21"/>
        </w:rPr>
      </w:pPr>
      <w:r>
        <w:rPr>
          <w:rFonts w:hint="eastAsia" w:ascii="宋体" w:hAnsi="宋体" w:eastAsia="宋体"/>
          <w:color w:val="000000"/>
          <w:sz w:val="32"/>
          <w:szCs w:val="32"/>
        </w:rPr>
        <w:t>目 录</w:t>
      </w:r>
      <w:r>
        <w:rPr>
          <w:rFonts w:hint="eastAsia" w:ascii="宋体" w:hAnsi="宋体" w:eastAsia="宋体"/>
          <w:color w:val="000000"/>
          <w:szCs w:val="21"/>
        </w:rPr>
        <w:t xml:space="preserve"> </w:t>
      </w:r>
    </w:p>
    <w:p>
      <w:pPr>
        <w:spacing w:after="2"/>
        <w:jc w:val="center"/>
        <w:rPr>
          <w:color w:val="000000"/>
          <w:szCs w:val="21"/>
        </w:rPr>
      </w:pPr>
    </w:p>
    <w:p>
      <w:pPr>
        <w:pStyle w:val="13"/>
        <w:spacing w:after="2"/>
        <w:ind w:firstLine="641"/>
        <w:rPr>
          <w:color w:val="000000"/>
          <w:sz w:val="27"/>
          <w:szCs w:val="27"/>
        </w:rPr>
      </w:pPr>
      <w:r>
        <w:rPr>
          <w:rFonts w:hint="eastAsia" w:ascii="宋体" w:hAnsi="宋体" w:eastAsia="宋体"/>
          <w:b/>
          <w:bCs/>
          <w:color w:val="000000"/>
          <w:sz w:val="32"/>
          <w:szCs w:val="32"/>
        </w:rPr>
        <w:t>第一部分 浏阳市发展和改革局概况</w:t>
      </w:r>
      <w:r>
        <w:rPr>
          <w:rFonts w:hint="eastAsia"/>
          <w:color w:val="000000"/>
          <w:sz w:val="27"/>
          <w:szCs w:val="27"/>
        </w:rPr>
        <w:t xml:space="preserve"> </w:t>
      </w:r>
    </w:p>
    <w:p>
      <w:pPr>
        <w:pStyle w:val="13"/>
        <w:spacing w:after="2"/>
        <w:ind w:firstLine="700"/>
        <w:rPr>
          <w:color w:val="000000"/>
        </w:rPr>
      </w:pPr>
      <w:r>
        <w:rPr>
          <w:rFonts w:hint="eastAsia" w:ascii="宋体" w:hAnsi="宋体" w:eastAsia="宋体"/>
          <w:color w:val="000000"/>
          <w:sz w:val="28"/>
          <w:szCs w:val="28"/>
        </w:rPr>
        <w:t>一、部门职责</w:t>
      </w:r>
      <w:r>
        <w:rPr>
          <w:rFonts w:hint="eastAsia"/>
          <w:color w:val="000000"/>
        </w:rPr>
        <w:t xml:space="preserve"> </w:t>
      </w:r>
    </w:p>
    <w:p>
      <w:pPr>
        <w:pStyle w:val="13"/>
        <w:spacing w:after="2"/>
        <w:ind w:firstLine="700"/>
        <w:rPr>
          <w:color w:val="000000"/>
        </w:rPr>
      </w:pPr>
      <w:r>
        <w:rPr>
          <w:rFonts w:hint="eastAsia" w:ascii="宋体" w:hAnsi="宋体" w:eastAsia="宋体"/>
          <w:color w:val="000000"/>
          <w:sz w:val="28"/>
          <w:szCs w:val="28"/>
        </w:rPr>
        <w:t>二、机构设置</w:t>
      </w:r>
      <w:r>
        <w:rPr>
          <w:rFonts w:hint="eastAsia"/>
          <w:color w:val="000000"/>
        </w:rPr>
        <w:t xml:space="preserve"> </w:t>
      </w:r>
    </w:p>
    <w:p>
      <w:pPr>
        <w:pStyle w:val="13"/>
        <w:spacing w:after="2"/>
        <w:ind w:firstLine="641"/>
        <w:rPr>
          <w:color w:val="000000"/>
          <w:sz w:val="27"/>
          <w:szCs w:val="27"/>
        </w:rPr>
      </w:pPr>
      <w:r>
        <w:rPr>
          <w:rFonts w:hint="eastAsia" w:ascii="宋体" w:hAnsi="宋体" w:eastAsia="宋体"/>
          <w:b/>
          <w:bCs/>
          <w:color w:val="000000"/>
          <w:sz w:val="32"/>
          <w:szCs w:val="32"/>
        </w:rPr>
        <w:t>第二部分 2020年度部门决算表</w:t>
      </w:r>
      <w:r>
        <w:rPr>
          <w:rFonts w:hint="eastAsia"/>
          <w:color w:val="000000"/>
          <w:sz w:val="27"/>
          <w:szCs w:val="27"/>
        </w:rPr>
        <w:t xml:space="preserve"> </w:t>
      </w:r>
    </w:p>
    <w:p>
      <w:pPr>
        <w:pStyle w:val="13"/>
        <w:spacing w:after="2"/>
        <w:ind w:firstLine="700"/>
        <w:rPr>
          <w:color w:val="000000"/>
        </w:rPr>
      </w:pPr>
      <w:r>
        <w:rPr>
          <w:rFonts w:hint="eastAsia" w:ascii="宋体" w:hAnsi="宋体" w:eastAsia="宋体"/>
          <w:color w:val="000000"/>
          <w:sz w:val="28"/>
          <w:szCs w:val="28"/>
        </w:rPr>
        <w:t>一、收入支出决算总表</w:t>
      </w:r>
      <w:r>
        <w:rPr>
          <w:rFonts w:hint="eastAsia"/>
          <w:color w:val="000000"/>
        </w:rPr>
        <w:t xml:space="preserve"> </w:t>
      </w:r>
    </w:p>
    <w:p>
      <w:pPr>
        <w:pStyle w:val="13"/>
        <w:spacing w:after="2"/>
        <w:ind w:firstLine="700"/>
        <w:rPr>
          <w:color w:val="000000"/>
        </w:rPr>
      </w:pPr>
      <w:r>
        <w:rPr>
          <w:rFonts w:hint="eastAsia" w:ascii="宋体" w:hAnsi="宋体" w:eastAsia="宋体"/>
          <w:color w:val="000000"/>
          <w:sz w:val="28"/>
          <w:szCs w:val="28"/>
        </w:rPr>
        <w:t>二、收入决算表</w:t>
      </w:r>
      <w:r>
        <w:rPr>
          <w:rFonts w:hint="eastAsia"/>
          <w:color w:val="000000"/>
        </w:rPr>
        <w:t xml:space="preserve"> </w:t>
      </w:r>
    </w:p>
    <w:p>
      <w:pPr>
        <w:pStyle w:val="13"/>
        <w:spacing w:after="2"/>
        <w:ind w:firstLine="700"/>
        <w:rPr>
          <w:color w:val="000000"/>
        </w:rPr>
      </w:pPr>
      <w:r>
        <w:rPr>
          <w:rFonts w:hint="eastAsia" w:ascii="宋体" w:hAnsi="宋体" w:eastAsia="宋体"/>
          <w:color w:val="000000"/>
          <w:sz w:val="28"/>
          <w:szCs w:val="28"/>
        </w:rPr>
        <w:t>三、支出决算表</w:t>
      </w:r>
      <w:r>
        <w:rPr>
          <w:rFonts w:hint="eastAsia"/>
          <w:color w:val="000000"/>
        </w:rPr>
        <w:t xml:space="preserve"> </w:t>
      </w:r>
    </w:p>
    <w:p>
      <w:pPr>
        <w:pStyle w:val="13"/>
        <w:spacing w:after="2"/>
        <w:ind w:firstLine="700"/>
        <w:rPr>
          <w:color w:val="000000"/>
        </w:rPr>
      </w:pPr>
      <w:r>
        <w:rPr>
          <w:rFonts w:hint="eastAsia" w:ascii="宋体" w:hAnsi="宋体" w:eastAsia="宋体"/>
          <w:color w:val="000000"/>
          <w:sz w:val="28"/>
          <w:szCs w:val="28"/>
        </w:rPr>
        <w:t>四、财政拨款收入支出决算总表</w:t>
      </w:r>
      <w:r>
        <w:rPr>
          <w:rFonts w:hint="eastAsia"/>
          <w:color w:val="000000"/>
        </w:rPr>
        <w:t xml:space="preserve"> </w:t>
      </w:r>
    </w:p>
    <w:p>
      <w:pPr>
        <w:pStyle w:val="13"/>
        <w:spacing w:after="2"/>
        <w:ind w:firstLine="700"/>
        <w:rPr>
          <w:color w:val="000000"/>
        </w:rPr>
      </w:pPr>
      <w:r>
        <w:rPr>
          <w:rFonts w:hint="eastAsia" w:ascii="宋体" w:hAnsi="宋体" w:eastAsia="宋体"/>
          <w:color w:val="000000"/>
          <w:sz w:val="28"/>
          <w:szCs w:val="28"/>
        </w:rPr>
        <w:t>五、一般公共预算财政拨款支出决算表</w:t>
      </w:r>
      <w:r>
        <w:rPr>
          <w:rFonts w:hint="eastAsia"/>
          <w:color w:val="000000"/>
        </w:rPr>
        <w:t xml:space="preserve"> </w:t>
      </w:r>
    </w:p>
    <w:p>
      <w:pPr>
        <w:pStyle w:val="13"/>
        <w:spacing w:after="2"/>
        <w:ind w:firstLine="700"/>
        <w:rPr>
          <w:color w:val="000000"/>
        </w:rPr>
      </w:pPr>
      <w:r>
        <w:rPr>
          <w:rFonts w:hint="eastAsia" w:ascii="宋体" w:hAnsi="宋体" w:eastAsia="宋体"/>
          <w:color w:val="000000"/>
          <w:sz w:val="28"/>
          <w:szCs w:val="28"/>
        </w:rPr>
        <w:t>六、一般公共预算财政拨款基本支出决算表</w:t>
      </w:r>
      <w:r>
        <w:rPr>
          <w:rFonts w:hint="eastAsia"/>
          <w:color w:val="000000"/>
        </w:rPr>
        <w:t xml:space="preserve"> </w:t>
      </w:r>
    </w:p>
    <w:p>
      <w:pPr>
        <w:pStyle w:val="13"/>
        <w:spacing w:after="2"/>
        <w:ind w:firstLine="700"/>
        <w:rPr>
          <w:color w:val="000000"/>
        </w:rPr>
      </w:pPr>
      <w:r>
        <w:rPr>
          <w:rFonts w:hint="eastAsia" w:ascii="宋体" w:hAnsi="宋体" w:eastAsia="宋体"/>
          <w:color w:val="000000"/>
          <w:sz w:val="28"/>
          <w:szCs w:val="28"/>
        </w:rPr>
        <w:t>七、一般公共预算财政拨款“三公”经费支出决算表</w:t>
      </w:r>
      <w:r>
        <w:rPr>
          <w:rFonts w:hint="eastAsia"/>
          <w:color w:val="000000"/>
        </w:rPr>
        <w:t xml:space="preserve"> </w:t>
      </w:r>
    </w:p>
    <w:p>
      <w:pPr>
        <w:pStyle w:val="13"/>
        <w:spacing w:after="2"/>
        <w:ind w:firstLine="700"/>
        <w:rPr>
          <w:color w:val="000000"/>
        </w:rPr>
      </w:pPr>
      <w:r>
        <w:rPr>
          <w:rFonts w:hint="eastAsia" w:ascii="宋体" w:hAnsi="宋体" w:eastAsia="宋体"/>
          <w:color w:val="000000"/>
          <w:sz w:val="28"/>
          <w:szCs w:val="28"/>
        </w:rPr>
        <w:t>八、政府性基金预算财政拨款收入支出决算表</w:t>
      </w:r>
      <w:r>
        <w:rPr>
          <w:rFonts w:hint="eastAsia"/>
          <w:color w:val="000000"/>
        </w:rPr>
        <w:t xml:space="preserve"> </w:t>
      </w:r>
    </w:p>
    <w:p>
      <w:pPr>
        <w:pStyle w:val="13"/>
        <w:spacing w:after="2"/>
        <w:ind w:firstLine="700"/>
        <w:rPr>
          <w:color w:val="000000"/>
        </w:rPr>
      </w:pPr>
      <w:r>
        <w:rPr>
          <w:rFonts w:hint="eastAsia" w:ascii="宋体" w:hAnsi="宋体" w:eastAsia="宋体"/>
          <w:color w:val="000000"/>
          <w:sz w:val="28"/>
          <w:szCs w:val="28"/>
        </w:rPr>
        <w:t>九、国有资本经营预算财政拨款支出决算表</w:t>
      </w:r>
      <w:r>
        <w:rPr>
          <w:rFonts w:hint="eastAsia"/>
          <w:color w:val="000000"/>
        </w:rPr>
        <w:t xml:space="preserve"> </w:t>
      </w:r>
    </w:p>
    <w:p>
      <w:pPr>
        <w:pStyle w:val="13"/>
        <w:spacing w:after="2"/>
        <w:ind w:firstLine="700"/>
        <w:rPr>
          <w:color w:val="000000"/>
        </w:rPr>
      </w:pPr>
      <w:r>
        <w:rPr>
          <w:rFonts w:hint="eastAsia" w:ascii="宋体" w:hAnsi="宋体" w:eastAsia="宋体"/>
          <w:b/>
          <w:bCs/>
          <w:color w:val="000000"/>
          <w:sz w:val="32"/>
          <w:szCs w:val="32"/>
        </w:rPr>
        <w:t>第三部分 2020年度部门决算情况说明</w:t>
      </w:r>
      <w:r>
        <w:rPr>
          <w:rFonts w:hint="eastAsia"/>
          <w:color w:val="000000"/>
        </w:rPr>
        <w:t xml:space="preserve"> </w:t>
      </w:r>
    </w:p>
    <w:p>
      <w:pPr>
        <w:pStyle w:val="13"/>
        <w:spacing w:after="2"/>
        <w:ind w:firstLine="700"/>
        <w:rPr>
          <w:color w:val="000000"/>
        </w:rPr>
      </w:pPr>
      <w:r>
        <w:rPr>
          <w:rFonts w:hint="eastAsia" w:ascii="宋体" w:hAnsi="宋体" w:eastAsia="宋体"/>
          <w:color w:val="000000"/>
          <w:sz w:val="28"/>
          <w:szCs w:val="28"/>
        </w:rPr>
        <w:t>一、收入支出决算总体情况说明</w:t>
      </w:r>
      <w:r>
        <w:rPr>
          <w:rFonts w:hint="eastAsia"/>
          <w:color w:val="000000"/>
        </w:rPr>
        <w:t xml:space="preserve"> </w:t>
      </w:r>
    </w:p>
    <w:p>
      <w:pPr>
        <w:pStyle w:val="13"/>
        <w:spacing w:after="2"/>
        <w:ind w:firstLine="700"/>
        <w:rPr>
          <w:color w:val="000000"/>
        </w:rPr>
      </w:pPr>
      <w:r>
        <w:rPr>
          <w:rFonts w:hint="eastAsia" w:ascii="宋体" w:hAnsi="宋体" w:eastAsia="宋体"/>
          <w:color w:val="000000"/>
          <w:sz w:val="28"/>
          <w:szCs w:val="28"/>
        </w:rPr>
        <w:t>二、收入决算情况说明</w:t>
      </w:r>
      <w:r>
        <w:rPr>
          <w:rFonts w:hint="eastAsia"/>
          <w:color w:val="000000"/>
        </w:rPr>
        <w:t xml:space="preserve"> </w:t>
      </w:r>
    </w:p>
    <w:p>
      <w:pPr>
        <w:pStyle w:val="13"/>
        <w:spacing w:after="2"/>
        <w:ind w:firstLine="700"/>
        <w:rPr>
          <w:color w:val="000000"/>
        </w:rPr>
      </w:pPr>
      <w:r>
        <w:rPr>
          <w:rFonts w:hint="eastAsia" w:ascii="宋体" w:hAnsi="宋体" w:eastAsia="宋体"/>
          <w:color w:val="000000"/>
          <w:sz w:val="28"/>
          <w:szCs w:val="28"/>
        </w:rPr>
        <w:t>三、支出决算情况说明</w:t>
      </w:r>
      <w:r>
        <w:rPr>
          <w:rFonts w:hint="eastAsia"/>
          <w:color w:val="000000"/>
        </w:rPr>
        <w:t xml:space="preserve"> </w:t>
      </w:r>
    </w:p>
    <w:p>
      <w:pPr>
        <w:pStyle w:val="13"/>
        <w:spacing w:after="2"/>
        <w:ind w:firstLine="700"/>
        <w:rPr>
          <w:color w:val="000000"/>
        </w:rPr>
      </w:pPr>
      <w:r>
        <w:rPr>
          <w:rFonts w:hint="eastAsia" w:ascii="宋体" w:hAnsi="宋体" w:eastAsia="宋体"/>
          <w:color w:val="000000"/>
          <w:sz w:val="28"/>
          <w:szCs w:val="28"/>
        </w:rPr>
        <w:t>四、财政拨款收入支出决算总体情况说明</w:t>
      </w:r>
      <w:r>
        <w:rPr>
          <w:rFonts w:hint="eastAsia"/>
          <w:color w:val="000000"/>
        </w:rPr>
        <w:t xml:space="preserve"> </w:t>
      </w:r>
    </w:p>
    <w:p>
      <w:pPr>
        <w:pStyle w:val="13"/>
        <w:spacing w:after="2"/>
        <w:ind w:firstLine="700"/>
        <w:rPr>
          <w:color w:val="000000"/>
        </w:rPr>
      </w:pPr>
      <w:r>
        <w:rPr>
          <w:rFonts w:hint="eastAsia" w:ascii="宋体" w:hAnsi="宋体" w:eastAsia="宋体"/>
          <w:color w:val="000000"/>
          <w:sz w:val="28"/>
          <w:szCs w:val="28"/>
        </w:rPr>
        <w:t>五、一般公共预算财政拨款支出决算情况说明</w:t>
      </w:r>
      <w:r>
        <w:rPr>
          <w:rFonts w:hint="eastAsia"/>
          <w:color w:val="000000"/>
        </w:rPr>
        <w:t xml:space="preserve"> </w:t>
      </w:r>
    </w:p>
    <w:p>
      <w:pPr>
        <w:pStyle w:val="13"/>
        <w:spacing w:after="2"/>
        <w:ind w:firstLine="700"/>
        <w:rPr>
          <w:color w:val="000000"/>
        </w:rPr>
      </w:pPr>
      <w:r>
        <w:rPr>
          <w:rFonts w:hint="eastAsia" w:ascii="宋体" w:hAnsi="宋体" w:eastAsia="宋体"/>
          <w:color w:val="000000"/>
          <w:sz w:val="28"/>
          <w:szCs w:val="28"/>
        </w:rPr>
        <w:t>六、一般公共预算财政拨款基本支出决算情况说明</w:t>
      </w:r>
      <w:r>
        <w:rPr>
          <w:rFonts w:hint="eastAsia"/>
          <w:color w:val="000000"/>
        </w:rPr>
        <w:t xml:space="preserve"> </w:t>
      </w:r>
    </w:p>
    <w:p>
      <w:pPr>
        <w:pStyle w:val="13"/>
        <w:spacing w:after="2"/>
        <w:ind w:firstLine="700"/>
        <w:rPr>
          <w:color w:val="000000"/>
        </w:rPr>
      </w:pPr>
      <w:r>
        <w:rPr>
          <w:rFonts w:hint="eastAsia" w:ascii="宋体" w:hAnsi="宋体" w:eastAsia="宋体"/>
          <w:color w:val="000000"/>
          <w:sz w:val="28"/>
          <w:szCs w:val="28"/>
        </w:rPr>
        <w:t>七、一般公共预算财政拨款三公经费支出决算情况说明</w:t>
      </w:r>
      <w:r>
        <w:rPr>
          <w:rFonts w:hint="eastAsia"/>
          <w:color w:val="000000"/>
        </w:rPr>
        <w:t xml:space="preserve"> </w:t>
      </w:r>
    </w:p>
    <w:p>
      <w:pPr>
        <w:pStyle w:val="13"/>
        <w:spacing w:after="2"/>
        <w:ind w:firstLine="700"/>
        <w:rPr>
          <w:color w:val="000000"/>
        </w:rPr>
      </w:pPr>
      <w:r>
        <w:rPr>
          <w:rFonts w:hint="eastAsia" w:ascii="宋体" w:hAnsi="宋体" w:eastAsia="宋体"/>
          <w:color w:val="000000"/>
          <w:sz w:val="28"/>
          <w:szCs w:val="28"/>
        </w:rPr>
        <w:t>八、政府性基金预算收入支出决算情况</w:t>
      </w:r>
      <w:r>
        <w:rPr>
          <w:rFonts w:hint="eastAsia"/>
          <w:color w:val="000000"/>
        </w:rPr>
        <w:t xml:space="preserve"> </w:t>
      </w:r>
    </w:p>
    <w:p>
      <w:pPr>
        <w:pStyle w:val="13"/>
        <w:spacing w:after="2"/>
        <w:ind w:firstLine="700"/>
        <w:rPr>
          <w:color w:val="000000"/>
        </w:rPr>
      </w:pPr>
      <w:r>
        <w:rPr>
          <w:rFonts w:hint="eastAsia" w:ascii="宋体" w:hAnsi="宋体" w:eastAsia="宋体"/>
          <w:color w:val="000000"/>
          <w:sz w:val="28"/>
          <w:szCs w:val="28"/>
        </w:rPr>
        <w:t>九、关于机关运行经费支出说明</w:t>
      </w:r>
      <w:r>
        <w:rPr>
          <w:rFonts w:hint="eastAsia"/>
          <w:color w:val="000000"/>
        </w:rPr>
        <w:t xml:space="preserve"> </w:t>
      </w:r>
    </w:p>
    <w:p>
      <w:pPr>
        <w:pStyle w:val="13"/>
        <w:spacing w:after="2"/>
        <w:ind w:firstLine="700"/>
        <w:rPr>
          <w:color w:val="000000"/>
        </w:rPr>
      </w:pPr>
      <w:r>
        <w:rPr>
          <w:rFonts w:hint="eastAsia" w:ascii="宋体" w:hAnsi="宋体" w:eastAsia="宋体"/>
          <w:color w:val="000000"/>
          <w:sz w:val="28"/>
          <w:szCs w:val="28"/>
        </w:rPr>
        <w:t>十、一般性支出情况</w:t>
      </w:r>
      <w:r>
        <w:rPr>
          <w:rFonts w:hint="eastAsia"/>
          <w:color w:val="000000"/>
        </w:rPr>
        <w:t xml:space="preserve"> </w:t>
      </w:r>
    </w:p>
    <w:p>
      <w:pPr>
        <w:pStyle w:val="13"/>
        <w:spacing w:after="2"/>
        <w:ind w:firstLine="700"/>
        <w:rPr>
          <w:color w:val="000000"/>
        </w:rPr>
      </w:pPr>
      <w:r>
        <w:rPr>
          <w:rFonts w:hint="eastAsia" w:ascii="宋体" w:hAnsi="宋体" w:eastAsia="宋体"/>
          <w:color w:val="000000"/>
          <w:sz w:val="28"/>
          <w:szCs w:val="28"/>
        </w:rPr>
        <w:t>十一、关于政府采购支出说明</w:t>
      </w:r>
      <w:r>
        <w:rPr>
          <w:rFonts w:hint="eastAsia"/>
          <w:color w:val="000000"/>
        </w:rPr>
        <w:t xml:space="preserve"> </w:t>
      </w:r>
    </w:p>
    <w:p>
      <w:pPr>
        <w:pStyle w:val="13"/>
        <w:spacing w:after="2"/>
        <w:ind w:firstLine="700"/>
        <w:rPr>
          <w:color w:val="000000"/>
        </w:rPr>
      </w:pPr>
      <w:r>
        <w:rPr>
          <w:rFonts w:hint="eastAsia" w:ascii="宋体" w:hAnsi="宋体" w:eastAsia="宋体"/>
          <w:color w:val="000000"/>
          <w:sz w:val="28"/>
          <w:szCs w:val="28"/>
        </w:rPr>
        <w:t>十二、关于国有资产占用情况说明</w:t>
      </w:r>
      <w:r>
        <w:rPr>
          <w:rFonts w:hint="eastAsia"/>
          <w:color w:val="000000"/>
        </w:rPr>
        <w:t xml:space="preserve"> </w:t>
      </w:r>
    </w:p>
    <w:p>
      <w:pPr>
        <w:pStyle w:val="13"/>
        <w:spacing w:after="2"/>
        <w:ind w:firstLine="700"/>
        <w:rPr>
          <w:color w:val="000000"/>
        </w:rPr>
      </w:pPr>
      <w:r>
        <w:rPr>
          <w:rFonts w:hint="eastAsia" w:ascii="宋体" w:hAnsi="宋体" w:eastAsia="宋体"/>
          <w:color w:val="000000"/>
          <w:sz w:val="28"/>
          <w:szCs w:val="28"/>
        </w:rPr>
        <w:t>十三、关于2020年度预算绩效情况的说明</w:t>
      </w:r>
    </w:p>
    <w:p>
      <w:pPr>
        <w:pStyle w:val="13"/>
        <w:spacing w:after="2"/>
        <w:ind w:firstLine="641"/>
        <w:rPr>
          <w:color w:val="000000"/>
          <w:sz w:val="27"/>
          <w:szCs w:val="27"/>
        </w:rPr>
      </w:pPr>
      <w:r>
        <w:rPr>
          <w:rFonts w:hint="eastAsia" w:ascii="宋体" w:hAnsi="宋体" w:eastAsia="宋体"/>
          <w:b/>
          <w:bCs/>
          <w:color w:val="000000"/>
          <w:sz w:val="32"/>
          <w:szCs w:val="32"/>
        </w:rPr>
        <w:t>第四部分 名词解释</w:t>
      </w:r>
      <w:r>
        <w:rPr>
          <w:rFonts w:hint="eastAsia"/>
          <w:color w:val="000000"/>
          <w:sz w:val="27"/>
          <w:szCs w:val="27"/>
        </w:rPr>
        <w:t xml:space="preserve"> </w:t>
      </w:r>
    </w:p>
    <w:p>
      <w:pPr>
        <w:pStyle w:val="13"/>
        <w:spacing w:after="2"/>
        <w:ind w:firstLine="641"/>
        <w:rPr>
          <w:color w:val="000000"/>
          <w:sz w:val="27"/>
          <w:szCs w:val="27"/>
        </w:rPr>
      </w:pPr>
      <w:r>
        <w:rPr>
          <w:rFonts w:hint="eastAsia" w:ascii="宋体" w:hAnsi="宋体" w:eastAsia="宋体"/>
          <w:b/>
          <w:bCs/>
          <w:color w:val="000000"/>
          <w:sz w:val="32"/>
          <w:szCs w:val="32"/>
        </w:rPr>
        <w:t>第五部分 附件</w:t>
      </w:r>
      <w:r>
        <w:rPr>
          <w:rFonts w:hint="eastAsia"/>
          <w:color w:val="000000"/>
          <w:sz w:val="27"/>
          <w:szCs w:val="27"/>
        </w:rPr>
        <w:t xml:space="preserve"> </w:t>
      </w:r>
    </w:p>
    <w:p>
      <w:pPr>
        <w:rPr>
          <w:color w:val="000000"/>
        </w:rPr>
      </w:pPr>
    </w:p>
    <w:p>
      <w:pPr>
        <w:rPr>
          <w:color w:val="000000"/>
        </w:rPr>
      </w:pPr>
    </w:p>
    <w:p>
      <w:pPr>
        <w:rPr>
          <w:color w:val="000000"/>
        </w:rPr>
      </w:pPr>
    </w:p>
    <w:p>
      <w:pPr>
        <w:rPr>
          <w:color w:val="000000"/>
        </w:rPr>
      </w:pPr>
    </w:p>
    <w:p>
      <w:pPr>
        <w:rPr>
          <w:color w:val="000000"/>
        </w:rPr>
      </w:pPr>
    </w:p>
    <w:p>
      <w:pPr>
        <w:spacing w:after="2" w:line="600" w:lineRule="atLeast"/>
        <w:jc w:val="center"/>
        <w:rPr>
          <w:color w:val="000000"/>
          <w:szCs w:val="21"/>
        </w:rPr>
      </w:pPr>
      <w:r>
        <w:rPr>
          <w:rFonts w:hint="eastAsia" w:ascii="宋体" w:hAnsi="宋体" w:eastAsia="宋体"/>
          <w:b/>
          <w:bCs/>
          <w:color w:val="000000"/>
          <w:sz w:val="36"/>
          <w:szCs w:val="36"/>
        </w:rPr>
        <w:t>第一部分 浏阳市发展和改革局概况</w:t>
      </w:r>
      <w:r>
        <w:rPr>
          <w:rFonts w:hint="eastAsia"/>
          <w:b/>
          <w:bCs/>
          <w:color w:val="000000"/>
          <w:szCs w:val="21"/>
        </w:rPr>
        <w:t xml:space="preserve"> </w:t>
      </w:r>
    </w:p>
    <w:p>
      <w:pPr>
        <w:pStyle w:val="6"/>
        <w:spacing w:before="0" w:beforeAutospacing="0" w:after="2" w:afterAutospacing="0"/>
        <w:rPr>
          <w:color w:val="000000"/>
        </w:rPr>
      </w:pPr>
    </w:p>
    <w:p>
      <w:pPr>
        <w:pStyle w:val="14"/>
        <w:spacing w:before="0" w:beforeAutospacing="0" w:after="2" w:afterAutospacing="0"/>
        <w:rPr>
          <w:color w:val="000000"/>
        </w:rPr>
      </w:pPr>
      <w:r>
        <w:rPr>
          <w:rFonts w:hint="eastAsia"/>
          <w:color w:val="000000"/>
          <w:sz w:val="32"/>
          <w:szCs w:val="32"/>
        </w:rPr>
        <w:t> </w:t>
      </w:r>
      <w:r>
        <w:rPr>
          <w:color w:val="000000"/>
        </w:rPr>
        <w:t xml:space="preserve"> </w:t>
      </w:r>
    </w:p>
    <w:p>
      <w:pPr>
        <w:pStyle w:val="13"/>
        <w:spacing w:after="2"/>
        <w:ind w:firstLine="641"/>
        <w:rPr>
          <w:color w:val="000000"/>
          <w:sz w:val="27"/>
          <w:szCs w:val="27"/>
        </w:rPr>
      </w:pPr>
      <w:r>
        <w:rPr>
          <w:rFonts w:hint="eastAsia" w:ascii="宋体" w:hAnsi="宋体" w:eastAsia="宋体"/>
          <w:b/>
          <w:bCs/>
          <w:color w:val="000000"/>
          <w:sz w:val="32"/>
          <w:szCs w:val="32"/>
        </w:rPr>
        <w:t>一、部门职责</w:t>
      </w:r>
      <w:r>
        <w:rPr>
          <w:rFonts w:hint="eastAsia"/>
          <w:color w:val="000000"/>
          <w:sz w:val="27"/>
          <w:szCs w:val="27"/>
        </w:rPr>
        <w:t xml:space="preserve"> </w:t>
      </w:r>
    </w:p>
    <w:p>
      <w:pPr>
        <w:pStyle w:val="13"/>
        <w:spacing w:after="2"/>
        <w:ind w:firstLine="641"/>
        <w:rPr>
          <w:color w:val="000000"/>
          <w:sz w:val="27"/>
          <w:szCs w:val="27"/>
        </w:rPr>
      </w:pPr>
      <w:r>
        <w:rPr>
          <w:rFonts w:hint="eastAsia" w:ascii="宋体" w:hAnsi="宋体" w:eastAsia="宋体"/>
          <w:color w:val="000000"/>
          <w:sz w:val="32"/>
          <w:szCs w:val="32"/>
        </w:rPr>
        <w:t>（一）主要负责宏观经济管理、全面小康社会建设、经济体制改革、湘赣边区域合作、两型社会改革建设、能源管理、重点建设项目管理和服务、项目投资管理、价格管理监督和检查、融资管理和招投标及粮食和物资储备等职能。</w:t>
      </w:r>
      <w:r>
        <w:rPr>
          <w:rFonts w:hint="eastAsia"/>
          <w:color w:val="000000"/>
          <w:sz w:val="32"/>
          <w:szCs w:val="32"/>
        </w:rPr>
        <w:t xml:space="preserve"> </w:t>
      </w:r>
    </w:p>
    <w:p>
      <w:pPr>
        <w:pStyle w:val="13"/>
        <w:spacing w:after="2"/>
        <w:ind w:firstLine="641"/>
        <w:rPr>
          <w:color w:val="000000"/>
          <w:sz w:val="27"/>
          <w:szCs w:val="27"/>
        </w:rPr>
      </w:pPr>
      <w:r>
        <w:rPr>
          <w:rFonts w:hint="eastAsia" w:ascii="宋体" w:hAnsi="宋体" w:eastAsia="宋体"/>
          <w:b/>
          <w:bCs/>
          <w:color w:val="000000"/>
          <w:sz w:val="32"/>
          <w:szCs w:val="32"/>
        </w:rPr>
        <w:t>二、机构设置及决算单位构成</w:t>
      </w:r>
      <w:r>
        <w:rPr>
          <w:rFonts w:hint="eastAsia"/>
          <w:color w:val="000000"/>
          <w:sz w:val="27"/>
          <w:szCs w:val="27"/>
        </w:rPr>
        <w:t xml:space="preserve"> </w:t>
      </w:r>
    </w:p>
    <w:p>
      <w:pPr>
        <w:pStyle w:val="13"/>
        <w:spacing w:after="2"/>
        <w:ind w:firstLine="641"/>
        <w:rPr>
          <w:color w:val="000000"/>
          <w:sz w:val="27"/>
          <w:szCs w:val="27"/>
        </w:rPr>
      </w:pPr>
      <w:r>
        <w:rPr>
          <w:rFonts w:hint="eastAsia" w:ascii="宋体" w:hAnsi="宋体" w:eastAsia="宋体"/>
          <w:color w:val="000000"/>
          <w:sz w:val="32"/>
          <w:szCs w:val="32"/>
        </w:rPr>
        <w:t>（一）内设机构设置</w:t>
      </w:r>
      <w:r>
        <w:rPr>
          <w:rFonts w:hint="eastAsia"/>
          <w:color w:val="000000"/>
          <w:sz w:val="27"/>
          <w:szCs w:val="27"/>
        </w:rPr>
        <w:t xml:space="preserve"> </w:t>
      </w:r>
    </w:p>
    <w:p>
      <w:pPr>
        <w:pStyle w:val="13"/>
        <w:spacing w:after="2"/>
        <w:ind w:firstLine="641"/>
        <w:rPr>
          <w:color w:val="000000"/>
          <w:sz w:val="27"/>
          <w:szCs w:val="27"/>
        </w:rPr>
      </w:pPr>
      <w:r>
        <w:rPr>
          <w:rFonts w:hint="eastAsia" w:ascii="宋体" w:hAnsi="宋体" w:eastAsia="宋体"/>
          <w:color w:val="000000"/>
          <w:sz w:val="32"/>
          <w:szCs w:val="32"/>
        </w:rPr>
        <w:t>浏阳市发展和改革局内设机构包括：办公室、综合科、法规科（优化科）、政务服务科、粮储科、产业发展科（争融资办）、服务业科、招标投标监督管理科、能源发展科、价管科、财务科、区域合作中心、政府投资项目事务中心、两型中心、招标投标事务中心、能源事务中心、重点建设项目事务中心、价格认证中心、粮食和物资储备事物中心等19个科室、中心（局）。</w:t>
      </w:r>
      <w:r>
        <w:rPr>
          <w:rFonts w:hint="eastAsia"/>
          <w:color w:val="000000"/>
          <w:sz w:val="27"/>
          <w:szCs w:val="27"/>
        </w:rPr>
        <w:t xml:space="preserve"> </w:t>
      </w:r>
    </w:p>
    <w:p>
      <w:pPr>
        <w:pStyle w:val="13"/>
        <w:spacing w:after="2"/>
        <w:ind w:firstLine="641"/>
        <w:rPr>
          <w:color w:val="000000"/>
          <w:sz w:val="27"/>
          <w:szCs w:val="27"/>
        </w:rPr>
      </w:pPr>
      <w:r>
        <w:rPr>
          <w:rFonts w:hint="eastAsia" w:ascii="宋体" w:hAnsi="宋体" w:eastAsia="宋体"/>
          <w:color w:val="000000"/>
          <w:sz w:val="32"/>
          <w:szCs w:val="32"/>
        </w:rPr>
        <w:t>（二）决算单位构成</w:t>
      </w:r>
      <w:r>
        <w:rPr>
          <w:rFonts w:hint="eastAsia"/>
          <w:color w:val="000000"/>
          <w:sz w:val="27"/>
          <w:szCs w:val="27"/>
        </w:rPr>
        <w:t xml:space="preserve"> </w:t>
      </w:r>
    </w:p>
    <w:p>
      <w:pPr>
        <w:pStyle w:val="13"/>
        <w:spacing w:after="2"/>
        <w:ind w:firstLine="641"/>
        <w:rPr>
          <w:color w:val="000000"/>
          <w:sz w:val="27"/>
          <w:szCs w:val="27"/>
        </w:rPr>
      </w:pPr>
      <w:r>
        <w:rPr>
          <w:rFonts w:hint="eastAsia" w:ascii="宋体" w:hAnsi="宋体" w:eastAsia="宋体"/>
          <w:color w:val="000000"/>
          <w:sz w:val="32"/>
          <w:szCs w:val="32"/>
        </w:rPr>
        <w:t>浏阳市发展和改革局2020年部门决算汇总公开单位构成包括：浏阳市发展和改革局（本级）（含财务未独立的湘赣边区域合作中心、政府投资项目事务中心、粮食和物资储备事务中心、两型社会建设服务中心、重点建设项目事务中心、投标招标事务中心、能源事务中心、价格认证中心）</w:t>
      </w:r>
      <w:r>
        <w:rPr>
          <w:rFonts w:hint="eastAsia"/>
          <w:color w:val="000000"/>
          <w:sz w:val="27"/>
          <w:szCs w:val="27"/>
        </w:rPr>
        <w:t xml:space="preserve"> </w:t>
      </w:r>
    </w:p>
    <w:p>
      <w:pPr>
        <w:rPr>
          <w:color w:val="000000"/>
        </w:rPr>
      </w:pPr>
    </w:p>
    <w:p>
      <w:pPr>
        <w:widowControl/>
        <w:jc w:val="left"/>
        <w:rPr>
          <w:rFonts w:ascii="宋体" w:hAnsi="宋体" w:eastAsia="宋体" w:cs="宋体"/>
          <w:color w:val="000000"/>
          <w:kern w:val="0"/>
          <w:sz w:val="24"/>
          <w:szCs w:val="24"/>
        </w:rPr>
        <w:sectPr>
          <w:pgSz w:w="11906" w:h="16838" w:orient="landscape"/>
          <w:pgMar w:top="1440" w:right="1080" w:bottom="1440" w:left="1080" w:header="851" w:footer="992" w:gutter="0"/>
          <w:cols w:space="425" w:num="1"/>
          <w:docGrid w:type="lines" w:linePitch="160" w:charSpace="0"/>
        </w:sectPr>
      </w:pPr>
    </w:p>
    <w:p>
      <w:pPr>
        <w:spacing w:after="2"/>
        <w:ind w:firstLine="721"/>
        <w:jc w:val="center"/>
        <w:rPr>
          <w:color w:val="000000"/>
          <w:szCs w:val="21"/>
        </w:rPr>
      </w:pPr>
      <w:r>
        <w:rPr>
          <w:rFonts w:hint="eastAsia" w:ascii="宋体" w:hAnsi="宋体" w:eastAsia="宋体"/>
          <w:b/>
          <w:bCs/>
          <w:color w:val="000000"/>
          <w:sz w:val="36"/>
          <w:szCs w:val="36"/>
        </w:rPr>
        <w:t>第二部分 2020年度部门决算表</w:t>
      </w:r>
      <w:r>
        <w:rPr>
          <w:rFonts w:hint="eastAsia"/>
          <w:color w:val="000000"/>
          <w:szCs w:val="21"/>
        </w:rPr>
        <w:t xml:space="preserve"> </w:t>
      </w:r>
    </w:p>
    <w:p>
      <w:pPr>
        <w:pStyle w:val="6"/>
        <w:spacing w:before="0" w:beforeAutospacing="0" w:after="2" w:afterAutospacing="0"/>
        <w:rPr>
          <w:color w:val="000000"/>
        </w:rPr>
      </w:pPr>
    </w:p>
    <w:p>
      <w:pPr>
        <w:spacing w:after="2"/>
        <w:jc w:val="center"/>
        <w:rPr>
          <w:color w:val="000000"/>
          <w:szCs w:val="21"/>
        </w:rPr>
      </w:pPr>
    </w:p>
    <w:tbl>
      <w:tblPr>
        <w:tblStyle w:val="12"/>
        <w:tblW w:w="16038" w:type="dxa"/>
        <w:jc w:val="center"/>
        <w:tblCellSpacing w:w="0" w:type="dxa"/>
        <w:tblInd w:w="0" w:type="dxa"/>
        <w:tblLayout w:type="fixed"/>
        <w:tblCellMar>
          <w:top w:w="0" w:type="dxa"/>
          <w:left w:w="0" w:type="dxa"/>
          <w:bottom w:w="0" w:type="dxa"/>
          <w:right w:w="0" w:type="dxa"/>
        </w:tblCellMar>
      </w:tblPr>
      <w:tblGrid>
        <w:gridCol w:w="4802"/>
        <w:gridCol w:w="648"/>
        <w:gridCol w:w="2569"/>
        <w:gridCol w:w="4802"/>
        <w:gridCol w:w="648"/>
        <w:gridCol w:w="2569"/>
      </w:tblGrid>
      <w:tr>
        <w:tblPrEx>
          <w:tblLayout w:type="fixed"/>
          <w:tblCellMar>
            <w:top w:w="0" w:type="dxa"/>
            <w:left w:w="0" w:type="dxa"/>
            <w:bottom w:w="0" w:type="dxa"/>
            <w:right w:w="0" w:type="dxa"/>
          </w:tblCellMar>
        </w:tblPrEx>
        <w:trPr>
          <w:tblCellSpacing w:w="0" w:type="dxa"/>
          <w:jc w:val="center"/>
        </w:trPr>
        <w:tc>
          <w:tcPr>
            <w:tcW w:w="16038" w:type="dxa"/>
            <w:gridSpan w:val="6"/>
            <w:vAlign w:val="center"/>
          </w:tcPr>
          <w:p>
            <w:pPr>
              <w:pStyle w:val="6"/>
              <w:jc w:val="center"/>
              <w:rPr>
                <w:sz w:val="22"/>
                <w:szCs w:val="22"/>
              </w:rPr>
            </w:pPr>
            <w:r>
              <w:rPr>
                <w:rFonts w:hint="eastAsia"/>
                <w:sz w:val="22"/>
                <w:szCs w:val="22"/>
              </w:rPr>
              <w:t xml:space="preserve">收入支出决算总表 </w:t>
            </w:r>
          </w:p>
        </w:tc>
      </w:tr>
      <w:tr>
        <w:tblPrEx>
          <w:tblLayout w:type="fixed"/>
          <w:tblCellMar>
            <w:top w:w="0" w:type="dxa"/>
            <w:left w:w="0" w:type="dxa"/>
            <w:bottom w:w="0" w:type="dxa"/>
            <w:right w:w="0" w:type="dxa"/>
          </w:tblCellMar>
        </w:tblPrEx>
        <w:trPr>
          <w:tblCellSpacing w:w="0" w:type="dxa"/>
          <w:jc w:val="center"/>
        </w:trPr>
        <w:tc>
          <w:tcPr>
            <w:tcW w:w="4802" w:type="dxa"/>
            <w:vAlign w:val="center"/>
          </w:tcPr>
          <w:p>
            <w:pPr>
              <w:pStyle w:val="6"/>
              <w:rPr>
                <w:sz w:val="22"/>
                <w:szCs w:val="22"/>
              </w:rPr>
            </w:pPr>
          </w:p>
        </w:tc>
        <w:tc>
          <w:tcPr>
            <w:tcW w:w="648" w:type="dxa"/>
            <w:vAlign w:val="center"/>
          </w:tcPr>
          <w:p>
            <w:pPr>
              <w:pStyle w:val="6"/>
              <w:rPr>
                <w:sz w:val="22"/>
                <w:szCs w:val="22"/>
              </w:rPr>
            </w:pPr>
          </w:p>
        </w:tc>
        <w:tc>
          <w:tcPr>
            <w:tcW w:w="2569" w:type="dxa"/>
            <w:vAlign w:val="center"/>
          </w:tcPr>
          <w:p>
            <w:pPr>
              <w:pStyle w:val="6"/>
              <w:rPr>
                <w:sz w:val="22"/>
                <w:szCs w:val="22"/>
              </w:rPr>
            </w:pPr>
          </w:p>
        </w:tc>
        <w:tc>
          <w:tcPr>
            <w:tcW w:w="4802" w:type="dxa"/>
            <w:vAlign w:val="center"/>
          </w:tcPr>
          <w:p>
            <w:pPr>
              <w:pStyle w:val="6"/>
              <w:rPr>
                <w:sz w:val="22"/>
                <w:szCs w:val="22"/>
              </w:rPr>
            </w:pPr>
          </w:p>
        </w:tc>
        <w:tc>
          <w:tcPr>
            <w:tcW w:w="648" w:type="dxa"/>
            <w:vAlign w:val="center"/>
          </w:tcPr>
          <w:p>
            <w:pPr>
              <w:pStyle w:val="6"/>
              <w:rPr>
                <w:sz w:val="22"/>
                <w:szCs w:val="22"/>
              </w:rPr>
            </w:pPr>
          </w:p>
        </w:tc>
        <w:tc>
          <w:tcPr>
            <w:tcW w:w="2569" w:type="dxa"/>
            <w:vAlign w:val="center"/>
          </w:tcPr>
          <w:p>
            <w:pPr>
              <w:pStyle w:val="6"/>
              <w:jc w:val="right"/>
              <w:rPr>
                <w:sz w:val="20"/>
                <w:szCs w:val="20"/>
              </w:rPr>
            </w:pPr>
            <w:r>
              <w:rPr>
                <w:rFonts w:hint="eastAsia"/>
                <w:sz w:val="20"/>
                <w:szCs w:val="20"/>
              </w:rPr>
              <w:t xml:space="preserve">公开01表 </w:t>
            </w:r>
          </w:p>
        </w:tc>
      </w:tr>
      <w:tr>
        <w:tblPrEx>
          <w:tblLayout w:type="fixed"/>
          <w:tblCellMar>
            <w:top w:w="0" w:type="dxa"/>
            <w:left w:w="0" w:type="dxa"/>
            <w:bottom w:w="0" w:type="dxa"/>
            <w:right w:w="0" w:type="dxa"/>
          </w:tblCellMar>
        </w:tblPrEx>
        <w:trPr>
          <w:tblCellSpacing w:w="0" w:type="dxa"/>
          <w:jc w:val="center"/>
        </w:trPr>
        <w:tc>
          <w:tcPr>
            <w:tcW w:w="4802" w:type="dxa"/>
            <w:vAlign w:val="center"/>
          </w:tcPr>
          <w:p>
            <w:pPr>
              <w:pStyle w:val="6"/>
              <w:rPr>
                <w:sz w:val="20"/>
                <w:szCs w:val="20"/>
              </w:rPr>
            </w:pPr>
            <w:r>
              <w:rPr>
                <w:rFonts w:hint="eastAsia"/>
                <w:sz w:val="20"/>
                <w:szCs w:val="20"/>
              </w:rPr>
              <w:t xml:space="preserve">部门：浏阳市发展和改革局 </w:t>
            </w:r>
          </w:p>
        </w:tc>
        <w:tc>
          <w:tcPr>
            <w:tcW w:w="648" w:type="dxa"/>
            <w:vAlign w:val="center"/>
          </w:tcPr>
          <w:p>
            <w:pPr>
              <w:pStyle w:val="6"/>
              <w:rPr>
                <w:sz w:val="22"/>
                <w:szCs w:val="22"/>
              </w:rPr>
            </w:pPr>
          </w:p>
        </w:tc>
        <w:tc>
          <w:tcPr>
            <w:tcW w:w="2569" w:type="dxa"/>
            <w:vAlign w:val="center"/>
          </w:tcPr>
          <w:p>
            <w:pPr>
              <w:pStyle w:val="6"/>
              <w:rPr>
                <w:sz w:val="22"/>
                <w:szCs w:val="22"/>
              </w:rPr>
            </w:pPr>
          </w:p>
        </w:tc>
        <w:tc>
          <w:tcPr>
            <w:tcW w:w="4802" w:type="dxa"/>
            <w:vAlign w:val="center"/>
          </w:tcPr>
          <w:p>
            <w:pPr>
              <w:pStyle w:val="6"/>
              <w:rPr>
                <w:sz w:val="22"/>
                <w:szCs w:val="22"/>
              </w:rPr>
            </w:pPr>
          </w:p>
        </w:tc>
        <w:tc>
          <w:tcPr>
            <w:tcW w:w="648" w:type="dxa"/>
            <w:vAlign w:val="center"/>
          </w:tcPr>
          <w:p>
            <w:pPr>
              <w:pStyle w:val="6"/>
              <w:rPr>
                <w:sz w:val="22"/>
                <w:szCs w:val="22"/>
              </w:rPr>
            </w:pPr>
          </w:p>
        </w:tc>
        <w:tc>
          <w:tcPr>
            <w:tcW w:w="2569" w:type="dxa"/>
            <w:vAlign w:val="center"/>
          </w:tcPr>
          <w:p>
            <w:pPr>
              <w:pStyle w:val="6"/>
              <w:jc w:val="right"/>
              <w:rPr>
                <w:sz w:val="20"/>
                <w:szCs w:val="20"/>
              </w:rPr>
            </w:pPr>
            <w:r>
              <w:rPr>
                <w:rFonts w:hint="eastAsia"/>
                <w:sz w:val="20"/>
                <w:szCs w:val="20"/>
              </w:rPr>
              <w:t xml:space="preserve">金额单位：万元 </w:t>
            </w:r>
          </w:p>
        </w:tc>
      </w:tr>
      <w:tr>
        <w:tblPrEx>
          <w:tblLayout w:type="fixed"/>
          <w:tblCellMar>
            <w:top w:w="0" w:type="dxa"/>
            <w:left w:w="0" w:type="dxa"/>
            <w:bottom w:w="0" w:type="dxa"/>
            <w:right w:w="0" w:type="dxa"/>
          </w:tblCellMar>
        </w:tblPrEx>
        <w:trPr>
          <w:tblCellSpacing w:w="0" w:type="dxa"/>
          <w:jc w:val="center"/>
        </w:trPr>
        <w:tc>
          <w:tcPr>
            <w:tcW w:w="8019" w:type="dxa"/>
            <w:gridSpan w:val="3"/>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收入 </w:t>
            </w:r>
          </w:p>
        </w:tc>
        <w:tc>
          <w:tcPr>
            <w:tcW w:w="8019" w:type="dxa"/>
            <w:gridSpan w:val="3"/>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支出 </w:t>
            </w:r>
          </w:p>
        </w:tc>
      </w:tr>
      <w:tr>
        <w:tblPrEx>
          <w:tblLayout w:type="fixed"/>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项目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行次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金额 </w:t>
            </w: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项目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行次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金额 </w:t>
            </w:r>
          </w:p>
        </w:tc>
      </w:tr>
      <w:tr>
        <w:tblPrEx>
          <w:tblLayout w:type="fixed"/>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栏次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 </w:t>
            </w: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栏次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 </w:t>
            </w:r>
          </w:p>
        </w:tc>
      </w:tr>
      <w:tr>
        <w:tblPrEx>
          <w:tblLayout w:type="fixed"/>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一、一般公共预算财政拨款收入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4,222.28 </w:t>
            </w: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一、一般公共服务支出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32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3,510.00 </w:t>
            </w:r>
          </w:p>
        </w:tc>
      </w:tr>
      <w:tr>
        <w:tblPrEx>
          <w:tblLayout w:type="fixed"/>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二、政府性基金预算财政拨款收入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二、外交支出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33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Layout w:type="fixed"/>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三、国有资本经营预算财政拨款收入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三、国防支出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34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Layout w:type="fixed"/>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四、上级补助收入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四、公共安全支出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35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Layout w:type="fixed"/>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五、事业收入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五、教育支出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36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Layout w:type="fixed"/>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六、经营收入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6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六、科学技术支出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37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Layout w:type="fixed"/>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七、附属单位上缴收入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7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七、文化旅游体育与传媒支出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38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Layout w:type="fixed"/>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八、其他收入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8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884.13 </w:t>
            </w: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八、社会保障和就业支出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39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234.60 </w:t>
            </w:r>
          </w:p>
        </w:tc>
      </w:tr>
      <w:tr>
        <w:tblPrEx>
          <w:tblLayout w:type="fixed"/>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9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九、卫生健康支出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40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1.50 </w:t>
            </w:r>
          </w:p>
        </w:tc>
      </w:tr>
      <w:tr>
        <w:tblPrEx>
          <w:tblLayout w:type="fixed"/>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10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十、节能环保支出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41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179.40 </w:t>
            </w:r>
          </w:p>
        </w:tc>
      </w:tr>
      <w:tr>
        <w:tblPrEx>
          <w:tblLayout w:type="fixed"/>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11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十一、城乡社区支出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42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20.00 </w:t>
            </w:r>
          </w:p>
        </w:tc>
      </w:tr>
      <w:tr>
        <w:tblPrEx>
          <w:tblLayout w:type="fixed"/>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12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十二、农林水支出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43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304.40 </w:t>
            </w:r>
          </w:p>
        </w:tc>
      </w:tr>
      <w:tr>
        <w:tblPrEx>
          <w:tblLayout w:type="fixed"/>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13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十三、交通运输支出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44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Layout w:type="fixed"/>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14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十四、资源勘探工业信息等支出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45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Layout w:type="fixed"/>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15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十五、商业服务业等支出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46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1.00 </w:t>
            </w:r>
          </w:p>
        </w:tc>
      </w:tr>
      <w:tr>
        <w:tblPrEx>
          <w:tblLayout w:type="fixed"/>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16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十六、金融支出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47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Layout w:type="fixed"/>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17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十七、援助其他地区支出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48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Layout w:type="fixed"/>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18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十八、自然资源海洋气象等支出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49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Layout w:type="fixed"/>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19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十九、住房保障支出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50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Layout w:type="fixed"/>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20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二十、粮油物资储备支出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51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685.51 </w:t>
            </w:r>
          </w:p>
        </w:tc>
      </w:tr>
      <w:tr>
        <w:tblPrEx>
          <w:tblLayout w:type="fixed"/>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21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二十一、国有资本经营预算支出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52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Layout w:type="fixed"/>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22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二十二、灾害防治及应急管理支出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53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Layout w:type="fixed"/>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23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二十三、其他支出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54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170.00 </w:t>
            </w:r>
          </w:p>
        </w:tc>
      </w:tr>
      <w:tr>
        <w:tblPrEx>
          <w:tblLayout w:type="fixed"/>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24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二十四、债务还本支出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55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Layout w:type="fixed"/>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25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二十五、债务付息支出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56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Layout w:type="fixed"/>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26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二十六、抗疫特别国债安排的支出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57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Layout w:type="fixed"/>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本年收入合计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27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5,106.42 </w:t>
            </w: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本年支出合计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58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5,106.42 </w:t>
            </w:r>
          </w:p>
        </w:tc>
      </w:tr>
      <w:tr>
        <w:tblPrEx>
          <w:tblLayout w:type="fixed"/>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使用非财政拨款结余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28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结余分配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59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Layout w:type="fixed"/>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年初结转和结余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29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年末结转和结余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60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Layout w:type="fixed"/>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30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61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Layout w:type="fixed"/>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总计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31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5,106.42 </w:t>
            </w: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总计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62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5,106.42 </w:t>
            </w:r>
          </w:p>
        </w:tc>
      </w:tr>
      <w:tr>
        <w:tblPrEx>
          <w:tblLayout w:type="fixed"/>
          <w:tblCellMar>
            <w:top w:w="0" w:type="dxa"/>
            <w:left w:w="0" w:type="dxa"/>
            <w:bottom w:w="0" w:type="dxa"/>
            <w:right w:w="0" w:type="dxa"/>
          </w:tblCellMar>
        </w:tblPrEx>
        <w:trPr>
          <w:tblCellSpacing w:w="0" w:type="dxa"/>
          <w:jc w:val="center"/>
        </w:trPr>
        <w:tc>
          <w:tcPr>
            <w:tcW w:w="16038" w:type="dxa"/>
            <w:gridSpan w:val="6"/>
            <w:vAlign w:val="center"/>
          </w:tcPr>
          <w:p>
            <w:pPr>
              <w:pStyle w:val="6"/>
              <w:rPr>
                <w:sz w:val="22"/>
                <w:szCs w:val="22"/>
              </w:rPr>
            </w:pPr>
            <w:r>
              <w:rPr>
                <w:rFonts w:hint="eastAsia"/>
                <w:sz w:val="22"/>
                <w:szCs w:val="22"/>
              </w:rPr>
              <w:t xml:space="preserve">注：本表反映部门本年度的总收支和年末结转结余情况。本套报表金额单位转换时可能存在尾数误差。 </w:t>
            </w:r>
          </w:p>
        </w:tc>
      </w:tr>
    </w:tbl>
    <w:p>
      <w:pPr>
        <w:pStyle w:val="6"/>
        <w:rPr>
          <w:color w:val="000000"/>
        </w:rPr>
      </w:pPr>
    </w:p>
    <w:p>
      <w:pPr>
        <w:spacing w:after="2"/>
        <w:jc w:val="center"/>
        <w:rPr>
          <w:color w:val="000000"/>
          <w:szCs w:val="21"/>
        </w:rPr>
      </w:pPr>
    </w:p>
    <w:p>
      <w:pPr>
        <w:pStyle w:val="6"/>
        <w:rPr>
          <w:color w:val="000000"/>
        </w:rPr>
      </w:pPr>
    </w:p>
    <w:p>
      <w:pPr>
        <w:widowControl/>
        <w:jc w:val="left"/>
        <w:rPr>
          <w:rFonts w:ascii="宋体" w:hAnsi="宋体" w:eastAsia="宋体" w:cs="宋体"/>
          <w:color w:val="000000"/>
          <w:kern w:val="0"/>
          <w:sz w:val="24"/>
          <w:szCs w:val="24"/>
        </w:rPr>
        <w:sectPr>
          <w:pgSz w:w="16838" w:h="11906"/>
          <w:pgMar w:top="1080" w:right="400" w:bottom="1080" w:left="400" w:header="851" w:footer="992" w:gutter="0"/>
          <w:cols w:space="720" w:num="1"/>
          <w:docGrid w:type="lines" w:linePitch="160" w:charSpace="0"/>
        </w:sectPr>
      </w:pPr>
    </w:p>
    <w:p>
      <w:pPr>
        <w:pStyle w:val="6"/>
        <w:spacing w:before="0" w:beforeAutospacing="0" w:after="2" w:afterAutospacing="0"/>
        <w:rPr>
          <w:color w:val="000000"/>
        </w:rPr>
      </w:pPr>
    </w:p>
    <w:tbl>
      <w:tblPr>
        <w:tblStyle w:val="12"/>
        <w:tblW w:w="16038" w:type="dxa"/>
        <w:jc w:val="center"/>
        <w:tblCellSpacing w:w="0" w:type="dxa"/>
        <w:tblInd w:w="0" w:type="dxa"/>
        <w:tblLayout w:type="fixed"/>
        <w:tblCellMar>
          <w:top w:w="0" w:type="dxa"/>
          <w:left w:w="0" w:type="dxa"/>
          <w:bottom w:w="0" w:type="dxa"/>
          <w:right w:w="0" w:type="dxa"/>
        </w:tblCellMar>
      </w:tblPr>
      <w:tblGrid>
        <w:gridCol w:w="402"/>
        <w:gridCol w:w="402"/>
        <w:gridCol w:w="408"/>
        <w:gridCol w:w="3525"/>
        <w:gridCol w:w="1613"/>
        <w:gridCol w:w="1613"/>
        <w:gridCol w:w="1613"/>
        <w:gridCol w:w="1613"/>
        <w:gridCol w:w="1613"/>
        <w:gridCol w:w="1613"/>
        <w:gridCol w:w="1623"/>
      </w:tblGrid>
      <w:tr>
        <w:tblPrEx>
          <w:tblLayout w:type="fixed"/>
          <w:tblCellMar>
            <w:top w:w="0" w:type="dxa"/>
            <w:left w:w="0" w:type="dxa"/>
            <w:bottom w:w="0" w:type="dxa"/>
            <w:right w:w="0" w:type="dxa"/>
          </w:tblCellMar>
        </w:tblPrEx>
        <w:trPr>
          <w:tblCellSpacing w:w="0" w:type="dxa"/>
          <w:jc w:val="center"/>
        </w:trPr>
        <w:tc>
          <w:tcPr>
            <w:tcW w:w="16038" w:type="dxa"/>
            <w:gridSpan w:val="11"/>
            <w:vAlign w:val="center"/>
          </w:tcPr>
          <w:p>
            <w:pPr>
              <w:pStyle w:val="6"/>
              <w:jc w:val="center"/>
              <w:rPr>
                <w:sz w:val="22"/>
                <w:szCs w:val="22"/>
              </w:rPr>
            </w:pPr>
            <w:r>
              <w:rPr>
                <w:rFonts w:hint="eastAsia"/>
                <w:sz w:val="22"/>
                <w:szCs w:val="22"/>
              </w:rPr>
              <w:t xml:space="preserve">收入决算表 </w:t>
            </w:r>
          </w:p>
        </w:tc>
      </w:tr>
      <w:tr>
        <w:tblPrEx>
          <w:tblLayout w:type="fixed"/>
          <w:tblCellMar>
            <w:top w:w="0" w:type="dxa"/>
            <w:left w:w="0" w:type="dxa"/>
            <w:bottom w:w="0" w:type="dxa"/>
            <w:right w:w="0" w:type="dxa"/>
          </w:tblCellMar>
        </w:tblPrEx>
        <w:trPr>
          <w:tblCellSpacing w:w="0" w:type="dxa"/>
          <w:jc w:val="center"/>
        </w:trPr>
        <w:tc>
          <w:tcPr>
            <w:tcW w:w="402" w:type="dxa"/>
            <w:vAlign w:val="center"/>
          </w:tcPr>
          <w:p>
            <w:pPr>
              <w:pStyle w:val="6"/>
              <w:rPr>
                <w:sz w:val="22"/>
                <w:szCs w:val="22"/>
              </w:rPr>
            </w:pPr>
          </w:p>
        </w:tc>
        <w:tc>
          <w:tcPr>
            <w:tcW w:w="402" w:type="dxa"/>
            <w:vAlign w:val="center"/>
          </w:tcPr>
          <w:p>
            <w:pPr>
              <w:pStyle w:val="6"/>
              <w:rPr>
                <w:sz w:val="22"/>
                <w:szCs w:val="22"/>
              </w:rPr>
            </w:pPr>
          </w:p>
        </w:tc>
        <w:tc>
          <w:tcPr>
            <w:tcW w:w="408" w:type="dxa"/>
            <w:vAlign w:val="center"/>
          </w:tcPr>
          <w:p>
            <w:pPr>
              <w:pStyle w:val="6"/>
              <w:rPr>
                <w:sz w:val="22"/>
                <w:szCs w:val="22"/>
              </w:rPr>
            </w:pPr>
          </w:p>
        </w:tc>
        <w:tc>
          <w:tcPr>
            <w:tcW w:w="3525" w:type="dxa"/>
            <w:vAlign w:val="center"/>
          </w:tcPr>
          <w:p>
            <w:pPr>
              <w:pStyle w:val="6"/>
              <w:rPr>
                <w:sz w:val="22"/>
                <w:szCs w:val="22"/>
              </w:rPr>
            </w:pPr>
          </w:p>
        </w:tc>
        <w:tc>
          <w:tcPr>
            <w:tcW w:w="1613" w:type="dxa"/>
            <w:vAlign w:val="center"/>
          </w:tcPr>
          <w:p>
            <w:pPr>
              <w:pStyle w:val="6"/>
              <w:rPr>
                <w:sz w:val="22"/>
                <w:szCs w:val="22"/>
              </w:rPr>
            </w:pPr>
          </w:p>
        </w:tc>
        <w:tc>
          <w:tcPr>
            <w:tcW w:w="1613" w:type="dxa"/>
            <w:vAlign w:val="center"/>
          </w:tcPr>
          <w:p>
            <w:pPr>
              <w:pStyle w:val="6"/>
              <w:rPr>
                <w:sz w:val="22"/>
                <w:szCs w:val="22"/>
              </w:rPr>
            </w:pPr>
          </w:p>
        </w:tc>
        <w:tc>
          <w:tcPr>
            <w:tcW w:w="1613" w:type="dxa"/>
            <w:vAlign w:val="center"/>
          </w:tcPr>
          <w:p>
            <w:pPr>
              <w:pStyle w:val="6"/>
              <w:rPr>
                <w:sz w:val="22"/>
                <w:szCs w:val="22"/>
              </w:rPr>
            </w:pPr>
          </w:p>
        </w:tc>
        <w:tc>
          <w:tcPr>
            <w:tcW w:w="1613" w:type="dxa"/>
            <w:vAlign w:val="center"/>
          </w:tcPr>
          <w:p>
            <w:pPr>
              <w:pStyle w:val="6"/>
              <w:rPr>
                <w:sz w:val="22"/>
                <w:szCs w:val="22"/>
              </w:rPr>
            </w:pPr>
          </w:p>
        </w:tc>
        <w:tc>
          <w:tcPr>
            <w:tcW w:w="1613" w:type="dxa"/>
            <w:vAlign w:val="center"/>
          </w:tcPr>
          <w:p>
            <w:pPr>
              <w:pStyle w:val="6"/>
              <w:rPr>
                <w:sz w:val="22"/>
                <w:szCs w:val="22"/>
              </w:rPr>
            </w:pPr>
          </w:p>
        </w:tc>
        <w:tc>
          <w:tcPr>
            <w:tcW w:w="1613" w:type="dxa"/>
            <w:vAlign w:val="center"/>
          </w:tcPr>
          <w:p>
            <w:pPr>
              <w:pStyle w:val="6"/>
              <w:rPr>
                <w:sz w:val="22"/>
                <w:szCs w:val="22"/>
              </w:rPr>
            </w:pPr>
          </w:p>
        </w:tc>
        <w:tc>
          <w:tcPr>
            <w:tcW w:w="1623" w:type="dxa"/>
            <w:vAlign w:val="center"/>
          </w:tcPr>
          <w:p>
            <w:pPr>
              <w:pStyle w:val="6"/>
              <w:jc w:val="right"/>
              <w:rPr>
                <w:sz w:val="20"/>
                <w:szCs w:val="20"/>
              </w:rPr>
            </w:pPr>
            <w:r>
              <w:rPr>
                <w:rFonts w:hint="eastAsia"/>
                <w:sz w:val="20"/>
                <w:szCs w:val="20"/>
              </w:rPr>
              <w:t xml:space="preserve">公开02表 </w:t>
            </w:r>
          </w:p>
        </w:tc>
      </w:tr>
      <w:tr>
        <w:tblPrEx>
          <w:tblLayout w:type="fixed"/>
          <w:tblCellMar>
            <w:top w:w="0" w:type="dxa"/>
            <w:left w:w="0" w:type="dxa"/>
            <w:bottom w:w="0" w:type="dxa"/>
            <w:right w:w="0" w:type="dxa"/>
          </w:tblCellMar>
        </w:tblPrEx>
        <w:trPr>
          <w:tblCellSpacing w:w="0" w:type="dxa"/>
          <w:jc w:val="center"/>
        </w:trPr>
        <w:tc>
          <w:tcPr>
            <w:tcW w:w="4737" w:type="dxa"/>
            <w:gridSpan w:val="4"/>
            <w:vAlign w:val="center"/>
          </w:tcPr>
          <w:p>
            <w:pPr>
              <w:pStyle w:val="6"/>
              <w:rPr>
                <w:sz w:val="22"/>
                <w:szCs w:val="22"/>
              </w:rPr>
            </w:pPr>
            <w:r>
              <w:rPr>
                <w:rFonts w:hint="eastAsia"/>
                <w:sz w:val="22"/>
                <w:szCs w:val="22"/>
              </w:rPr>
              <w:t xml:space="preserve">部门：浏阳市发展和改革局 </w:t>
            </w:r>
          </w:p>
        </w:tc>
        <w:tc>
          <w:tcPr>
            <w:tcW w:w="1613" w:type="dxa"/>
            <w:vAlign w:val="center"/>
          </w:tcPr>
          <w:p>
            <w:pPr>
              <w:pStyle w:val="6"/>
              <w:rPr>
                <w:sz w:val="22"/>
                <w:szCs w:val="22"/>
              </w:rPr>
            </w:pPr>
          </w:p>
        </w:tc>
        <w:tc>
          <w:tcPr>
            <w:tcW w:w="1613" w:type="dxa"/>
            <w:vAlign w:val="center"/>
          </w:tcPr>
          <w:p>
            <w:pPr>
              <w:pStyle w:val="6"/>
              <w:rPr>
                <w:sz w:val="22"/>
                <w:szCs w:val="22"/>
              </w:rPr>
            </w:pPr>
          </w:p>
        </w:tc>
        <w:tc>
          <w:tcPr>
            <w:tcW w:w="1613" w:type="dxa"/>
            <w:vAlign w:val="center"/>
          </w:tcPr>
          <w:p>
            <w:pPr>
              <w:pStyle w:val="6"/>
              <w:rPr>
                <w:sz w:val="22"/>
                <w:szCs w:val="22"/>
              </w:rPr>
            </w:pPr>
          </w:p>
        </w:tc>
        <w:tc>
          <w:tcPr>
            <w:tcW w:w="1613" w:type="dxa"/>
            <w:vAlign w:val="center"/>
          </w:tcPr>
          <w:p>
            <w:pPr>
              <w:pStyle w:val="6"/>
              <w:rPr>
                <w:sz w:val="22"/>
                <w:szCs w:val="22"/>
              </w:rPr>
            </w:pPr>
          </w:p>
        </w:tc>
        <w:tc>
          <w:tcPr>
            <w:tcW w:w="1613" w:type="dxa"/>
            <w:vAlign w:val="center"/>
          </w:tcPr>
          <w:p>
            <w:pPr>
              <w:pStyle w:val="6"/>
              <w:rPr>
                <w:sz w:val="22"/>
                <w:szCs w:val="22"/>
              </w:rPr>
            </w:pPr>
          </w:p>
        </w:tc>
        <w:tc>
          <w:tcPr>
            <w:tcW w:w="1613" w:type="dxa"/>
            <w:vAlign w:val="center"/>
          </w:tcPr>
          <w:p>
            <w:pPr>
              <w:pStyle w:val="6"/>
              <w:rPr>
                <w:sz w:val="22"/>
                <w:szCs w:val="22"/>
              </w:rPr>
            </w:pPr>
          </w:p>
        </w:tc>
        <w:tc>
          <w:tcPr>
            <w:tcW w:w="1623" w:type="dxa"/>
            <w:vAlign w:val="center"/>
          </w:tcPr>
          <w:p>
            <w:pPr>
              <w:pStyle w:val="6"/>
              <w:jc w:val="right"/>
              <w:rPr>
                <w:sz w:val="20"/>
                <w:szCs w:val="20"/>
              </w:rPr>
            </w:pPr>
            <w:r>
              <w:rPr>
                <w:rFonts w:hint="eastAsia"/>
                <w:sz w:val="20"/>
                <w:szCs w:val="20"/>
              </w:rPr>
              <w:t xml:space="preserve">金额单位：万元 </w:t>
            </w:r>
          </w:p>
        </w:tc>
      </w:tr>
      <w:tr>
        <w:tblPrEx>
          <w:tblLayout w:type="fixed"/>
          <w:tblCellMar>
            <w:top w:w="0" w:type="dxa"/>
            <w:left w:w="0" w:type="dxa"/>
            <w:bottom w:w="0" w:type="dxa"/>
            <w:right w:w="0" w:type="dxa"/>
          </w:tblCellMar>
        </w:tblPrEx>
        <w:trPr>
          <w:tblCellSpacing w:w="0" w:type="dxa"/>
          <w:jc w:val="center"/>
        </w:trPr>
        <w:tc>
          <w:tcPr>
            <w:tcW w:w="4737" w:type="dxa"/>
            <w:gridSpan w:val="4"/>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项目 </w:t>
            </w:r>
          </w:p>
        </w:tc>
        <w:tc>
          <w:tcPr>
            <w:tcW w:w="1613"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本年收入合计 </w:t>
            </w:r>
          </w:p>
        </w:tc>
        <w:tc>
          <w:tcPr>
            <w:tcW w:w="1613"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财政拨款收入 </w:t>
            </w:r>
          </w:p>
        </w:tc>
        <w:tc>
          <w:tcPr>
            <w:tcW w:w="1613"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上级补助收入 </w:t>
            </w:r>
          </w:p>
        </w:tc>
        <w:tc>
          <w:tcPr>
            <w:tcW w:w="1613"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事业收入 </w:t>
            </w:r>
          </w:p>
        </w:tc>
        <w:tc>
          <w:tcPr>
            <w:tcW w:w="1613"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经营收入 </w:t>
            </w:r>
          </w:p>
        </w:tc>
        <w:tc>
          <w:tcPr>
            <w:tcW w:w="1613"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附属单位上缴收入 </w:t>
            </w:r>
          </w:p>
        </w:tc>
        <w:tc>
          <w:tcPr>
            <w:tcW w:w="1623"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其他收入 </w:t>
            </w:r>
          </w:p>
        </w:tc>
      </w:tr>
      <w:tr>
        <w:tblPrEx>
          <w:tblLayout w:type="fixed"/>
          <w:tblCellMar>
            <w:top w:w="0" w:type="dxa"/>
            <w:left w:w="0" w:type="dxa"/>
            <w:bottom w:w="0" w:type="dxa"/>
            <w:right w:w="0" w:type="dxa"/>
          </w:tblCellMar>
        </w:tblPrEx>
        <w:trPr>
          <w:trHeight w:val="285" w:hRule="atLeast"/>
          <w:tblCellSpacing w:w="0" w:type="dxa"/>
          <w:jc w:val="center"/>
        </w:trPr>
        <w:tc>
          <w:tcPr>
            <w:tcW w:w="1212" w:type="dxa"/>
            <w:gridSpan w:val="3"/>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功能分类科目编码 </w:t>
            </w:r>
          </w:p>
        </w:tc>
        <w:tc>
          <w:tcPr>
            <w:tcW w:w="3525"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科目名称 </w:t>
            </w:r>
          </w:p>
        </w:tc>
        <w:tc>
          <w:tcPr>
            <w:tcW w:w="161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61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61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61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61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61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62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Layout w:type="fixed"/>
          <w:tblCellMar>
            <w:top w:w="0" w:type="dxa"/>
            <w:left w:w="0" w:type="dxa"/>
            <w:bottom w:w="0" w:type="dxa"/>
            <w:right w:w="0" w:type="dxa"/>
          </w:tblCellMar>
        </w:tblPrEx>
        <w:trPr>
          <w:trHeight w:val="285" w:hRule="atLeast"/>
          <w:tblCellSpacing w:w="0" w:type="dxa"/>
          <w:jc w:val="center"/>
        </w:trPr>
        <w:tc>
          <w:tcPr>
            <w:tcW w:w="1212" w:type="dxa"/>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3525"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61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61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61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61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61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61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62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Layout w:type="fixed"/>
          <w:tblCellMar>
            <w:top w:w="0" w:type="dxa"/>
            <w:left w:w="0" w:type="dxa"/>
            <w:bottom w:w="0" w:type="dxa"/>
            <w:right w:w="0" w:type="dxa"/>
          </w:tblCellMar>
        </w:tblPrEx>
        <w:trPr>
          <w:trHeight w:val="285" w:hRule="atLeast"/>
          <w:tblCellSpacing w:w="0" w:type="dxa"/>
          <w:jc w:val="center"/>
        </w:trPr>
        <w:tc>
          <w:tcPr>
            <w:tcW w:w="1212" w:type="dxa"/>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3525"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61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61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61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61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61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61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62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Layout w:type="fixed"/>
          <w:tblCellMar>
            <w:top w:w="0" w:type="dxa"/>
            <w:left w:w="0" w:type="dxa"/>
            <w:bottom w:w="0" w:type="dxa"/>
            <w:right w:w="0" w:type="dxa"/>
          </w:tblCellMar>
        </w:tblPrEx>
        <w:trPr>
          <w:tblCellSpacing w:w="0" w:type="dxa"/>
          <w:jc w:val="center"/>
        </w:trPr>
        <w:tc>
          <w:tcPr>
            <w:tcW w:w="4737" w:type="dxa"/>
            <w:gridSpan w:val="4"/>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栏次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6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7 </w:t>
            </w:r>
          </w:p>
        </w:tc>
      </w:tr>
      <w:tr>
        <w:tblPrEx>
          <w:tblLayout w:type="fixed"/>
          <w:tblCellMar>
            <w:top w:w="0" w:type="dxa"/>
            <w:left w:w="0" w:type="dxa"/>
            <w:bottom w:w="0" w:type="dxa"/>
            <w:right w:w="0" w:type="dxa"/>
          </w:tblCellMar>
        </w:tblPrEx>
        <w:trPr>
          <w:tblCellSpacing w:w="0" w:type="dxa"/>
          <w:jc w:val="center"/>
        </w:trPr>
        <w:tc>
          <w:tcPr>
            <w:tcW w:w="4737" w:type="dxa"/>
            <w:gridSpan w:val="4"/>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合计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r>
              <w:rPr>
                <w:rFonts w:hint="eastAsia"/>
                <w:b/>
                <w:bCs/>
                <w:sz w:val="22"/>
                <w:szCs w:val="22"/>
              </w:rPr>
              <w:t xml:space="preserve">5,106.42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r>
              <w:rPr>
                <w:rFonts w:hint="eastAsia"/>
                <w:b/>
                <w:bCs/>
                <w:sz w:val="22"/>
                <w:szCs w:val="22"/>
              </w:rPr>
              <w:t xml:space="preserve">4,222.28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r>
              <w:rPr>
                <w:rFonts w:hint="eastAsia"/>
                <w:b/>
                <w:bCs/>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r>
              <w:rPr>
                <w:rFonts w:hint="eastAsia"/>
                <w:b/>
                <w:bCs/>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r>
              <w:rPr>
                <w:rFonts w:hint="eastAsia"/>
                <w:b/>
                <w:bCs/>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r>
              <w:rPr>
                <w:rFonts w:hint="eastAsia"/>
                <w:b/>
                <w:bCs/>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r>
              <w:rPr>
                <w:rFonts w:hint="eastAsia"/>
                <w:b/>
                <w:bCs/>
                <w:sz w:val="22"/>
                <w:szCs w:val="22"/>
              </w:rPr>
              <w:t xml:space="preserve">884.13 </w:t>
            </w:r>
          </w:p>
        </w:tc>
      </w:tr>
      <w:tr>
        <w:tblPrEx>
          <w:tblLayout w:type="fixed"/>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201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一般公共服务支出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3,510.00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2,977.27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532.73 </w:t>
            </w:r>
          </w:p>
        </w:tc>
      </w:tr>
      <w:tr>
        <w:tblPrEx>
          <w:tblLayout w:type="fixed"/>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20104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发展与改革事务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3,510.00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2,977.27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532.73 </w:t>
            </w:r>
          </w:p>
        </w:tc>
      </w:tr>
      <w:tr>
        <w:tblPrEx>
          <w:tblLayout w:type="fixed"/>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2010401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行政运行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1,975.04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1,975.04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2010402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一般行政管理事务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188.84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182.96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5.88 </w:t>
            </w:r>
          </w:p>
        </w:tc>
      </w:tr>
      <w:tr>
        <w:tblPrEx>
          <w:tblLayout w:type="fixed"/>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2010403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机关服务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19.00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19.00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2010404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战略规划与实施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42.00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42.00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2010406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社会事业发展规划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46.00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46.00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2010408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物价管理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60.85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37.00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23.85 </w:t>
            </w:r>
          </w:p>
        </w:tc>
      </w:tr>
      <w:tr>
        <w:tblPrEx>
          <w:tblLayout w:type="fixed"/>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2010499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其他发展与改革事务支出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1,178.27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675.27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503.00 </w:t>
            </w:r>
          </w:p>
        </w:tc>
      </w:tr>
      <w:tr>
        <w:tblPrEx>
          <w:tblLayout w:type="fixed"/>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208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社会保障和就业支出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234.60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234.60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20805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行政事业单位养老支出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234.60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234.60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2080501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行政单位离退休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218.93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218.93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2080502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事业单位离退休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15.68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15.68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210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卫生健康支出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1.50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1.50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21011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行政事业单位医疗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1.50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1.50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2101101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行政单位医疗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1.50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1.50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211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节能环保支出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179.40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87.40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92.00 </w:t>
            </w:r>
          </w:p>
        </w:tc>
      </w:tr>
      <w:tr>
        <w:tblPrEx>
          <w:tblLayout w:type="fixed"/>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21103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污染防治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57.40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57.40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2110301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大气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57.40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57.40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21110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能源节约利用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92.00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92.00 </w:t>
            </w:r>
          </w:p>
        </w:tc>
      </w:tr>
      <w:tr>
        <w:tblPrEx>
          <w:tblLayout w:type="fixed"/>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2111001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能源节约利用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92.00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92.00 </w:t>
            </w:r>
          </w:p>
        </w:tc>
      </w:tr>
      <w:tr>
        <w:tblPrEx>
          <w:tblLayout w:type="fixed"/>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21114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能源管理事务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2111407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能源行业管理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212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城乡社区支出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21299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其他城乡社区支出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2129901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其他城乡社区支出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213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农林水支出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304.40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304.40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21301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农业农村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299.40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299.40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2130199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其他农业农村支出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299.40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299.40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21305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扶贫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2130599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其他扶贫支出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216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商业服务业等支出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1.00 </w:t>
            </w:r>
          </w:p>
        </w:tc>
      </w:tr>
      <w:tr>
        <w:tblPrEx>
          <w:tblLayout w:type="fixed"/>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21602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商业流通事务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1.00 </w:t>
            </w:r>
          </w:p>
        </w:tc>
      </w:tr>
      <w:tr>
        <w:tblPrEx>
          <w:tblLayout w:type="fixed"/>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2160299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其他商业流通事务支出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1.00 </w:t>
            </w:r>
          </w:p>
        </w:tc>
      </w:tr>
      <w:tr>
        <w:tblPrEx>
          <w:tblLayout w:type="fixed"/>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222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粮油物资储备支出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685.51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597.11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88.40 </w:t>
            </w:r>
          </w:p>
        </w:tc>
      </w:tr>
      <w:tr>
        <w:tblPrEx>
          <w:tblLayout w:type="fixed"/>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22201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粮油事务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612.32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523.92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88.40 </w:t>
            </w:r>
          </w:p>
        </w:tc>
      </w:tr>
      <w:tr>
        <w:tblPrEx>
          <w:tblLayout w:type="fixed"/>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2220102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一般行政管理事务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6.00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6.00 </w:t>
            </w:r>
          </w:p>
        </w:tc>
      </w:tr>
      <w:tr>
        <w:tblPrEx>
          <w:tblLayout w:type="fixed"/>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2220106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粮食专项业务活动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50.00 </w:t>
            </w:r>
          </w:p>
        </w:tc>
      </w:tr>
      <w:tr>
        <w:tblPrEx>
          <w:tblLayout w:type="fixed"/>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2220115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粮食风险基金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231.92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231.92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2220199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其他粮油事务支出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324.40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292.00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32.40 </w:t>
            </w:r>
          </w:p>
        </w:tc>
      </w:tr>
      <w:tr>
        <w:tblPrEx>
          <w:tblLayout w:type="fixed"/>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22204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粮油储备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56.19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56.19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2220499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其他粮油储备支出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56.19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56.19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22205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重要商品储备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17.00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17.00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2220503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肉类储备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17.00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17.00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229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其他支出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170.00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170.00 </w:t>
            </w:r>
          </w:p>
        </w:tc>
      </w:tr>
      <w:tr>
        <w:tblPrEx>
          <w:tblLayout w:type="fixed"/>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22904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其他政府性基金及对应专项债务收入安排的支出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170.00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170.00 </w:t>
            </w:r>
          </w:p>
        </w:tc>
      </w:tr>
      <w:tr>
        <w:tblPrEx>
          <w:tblLayout w:type="fixed"/>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2290401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其他政府性基金安排的支出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170.00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170.00 </w:t>
            </w:r>
          </w:p>
        </w:tc>
      </w:tr>
      <w:tr>
        <w:tblPrEx>
          <w:tblLayout w:type="fixed"/>
          <w:tblCellMar>
            <w:top w:w="0" w:type="dxa"/>
            <w:left w:w="0" w:type="dxa"/>
            <w:bottom w:w="0" w:type="dxa"/>
            <w:right w:w="0" w:type="dxa"/>
          </w:tblCellMar>
        </w:tblPrEx>
        <w:trPr>
          <w:tblCellSpacing w:w="0" w:type="dxa"/>
          <w:jc w:val="center"/>
        </w:trPr>
        <w:tc>
          <w:tcPr>
            <w:tcW w:w="16038" w:type="dxa"/>
            <w:gridSpan w:val="11"/>
            <w:vAlign w:val="center"/>
          </w:tcPr>
          <w:p>
            <w:pPr>
              <w:pStyle w:val="6"/>
              <w:rPr>
                <w:sz w:val="22"/>
                <w:szCs w:val="22"/>
              </w:rPr>
            </w:pPr>
            <w:r>
              <w:rPr>
                <w:rFonts w:hint="eastAsia"/>
                <w:sz w:val="22"/>
                <w:szCs w:val="22"/>
              </w:rPr>
              <w:t xml:space="preserve">注：本表反映部门本年度取得的各项收入情况。本表金额转换为万元时，因四舍五入可能存在尾数误差。 </w:t>
            </w:r>
          </w:p>
        </w:tc>
      </w:tr>
    </w:tbl>
    <w:p>
      <w:pPr>
        <w:pStyle w:val="6"/>
        <w:rPr>
          <w:color w:val="000000"/>
        </w:rPr>
      </w:pPr>
    </w:p>
    <w:p>
      <w:pPr>
        <w:spacing w:after="2"/>
        <w:jc w:val="center"/>
        <w:rPr>
          <w:color w:val="000000"/>
          <w:szCs w:val="21"/>
        </w:rPr>
      </w:pPr>
    </w:p>
    <w:p>
      <w:pPr>
        <w:pStyle w:val="6"/>
        <w:rPr>
          <w:color w:val="000000"/>
        </w:rPr>
      </w:pPr>
    </w:p>
    <w:p>
      <w:pPr>
        <w:widowControl/>
        <w:jc w:val="left"/>
        <w:rPr>
          <w:rFonts w:ascii="宋体" w:hAnsi="宋体" w:eastAsia="宋体" w:cs="宋体"/>
          <w:color w:val="000000"/>
          <w:kern w:val="0"/>
          <w:sz w:val="24"/>
          <w:szCs w:val="24"/>
        </w:rPr>
        <w:sectPr>
          <w:pgSz w:w="16838" w:h="11906"/>
          <w:pgMar w:top="1080" w:right="400" w:bottom="1080" w:left="400" w:header="851" w:footer="992" w:gutter="0"/>
          <w:cols w:space="720" w:num="1"/>
          <w:docGrid w:type="lines" w:linePitch="160" w:charSpace="0"/>
        </w:sectPr>
      </w:pPr>
    </w:p>
    <w:p>
      <w:pPr>
        <w:pStyle w:val="6"/>
        <w:spacing w:before="0" w:beforeAutospacing="0" w:after="2" w:afterAutospacing="0"/>
        <w:rPr>
          <w:color w:val="000000"/>
        </w:rPr>
      </w:pPr>
    </w:p>
    <w:tbl>
      <w:tblPr>
        <w:tblStyle w:val="12"/>
        <w:tblW w:w="16038" w:type="dxa"/>
        <w:jc w:val="center"/>
        <w:tblCellSpacing w:w="0" w:type="dxa"/>
        <w:tblInd w:w="0" w:type="dxa"/>
        <w:tblLayout w:type="fixed"/>
        <w:tblCellMar>
          <w:top w:w="0" w:type="dxa"/>
          <w:left w:w="0" w:type="dxa"/>
          <w:bottom w:w="0" w:type="dxa"/>
          <w:right w:w="0" w:type="dxa"/>
        </w:tblCellMar>
      </w:tblPr>
      <w:tblGrid>
        <w:gridCol w:w="446"/>
        <w:gridCol w:w="446"/>
        <w:gridCol w:w="452"/>
        <w:gridCol w:w="3920"/>
        <w:gridCol w:w="1793"/>
        <w:gridCol w:w="1793"/>
        <w:gridCol w:w="1793"/>
        <w:gridCol w:w="1793"/>
        <w:gridCol w:w="1793"/>
        <w:gridCol w:w="1809"/>
      </w:tblGrid>
      <w:tr>
        <w:tblPrEx>
          <w:tblLayout w:type="fixed"/>
        </w:tblPrEx>
        <w:trPr>
          <w:tblCellSpacing w:w="0" w:type="dxa"/>
          <w:jc w:val="center"/>
        </w:trPr>
        <w:tc>
          <w:tcPr>
            <w:tcW w:w="16038" w:type="dxa"/>
            <w:gridSpan w:val="10"/>
            <w:vAlign w:val="center"/>
          </w:tcPr>
          <w:p>
            <w:pPr>
              <w:pStyle w:val="6"/>
              <w:jc w:val="center"/>
              <w:rPr>
                <w:sz w:val="22"/>
                <w:szCs w:val="22"/>
              </w:rPr>
            </w:pPr>
            <w:r>
              <w:rPr>
                <w:rFonts w:hint="eastAsia"/>
                <w:sz w:val="22"/>
                <w:szCs w:val="22"/>
              </w:rPr>
              <w:t xml:space="preserve">支出决算表 </w:t>
            </w:r>
          </w:p>
        </w:tc>
      </w:tr>
      <w:tr>
        <w:tblPrEx>
          <w:tblLayout w:type="fixed"/>
        </w:tblPrEx>
        <w:trPr>
          <w:tblCellSpacing w:w="0" w:type="dxa"/>
          <w:jc w:val="center"/>
        </w:trPr>
        <w:tc>
          <w:tcPr>
            <w:tcW w:w="446" w:type="dxa"/>
            <w:vAlign w:val="center"/>
          </w:tcPr>
          <w:p>
            <w:pPr>
              <w:pStyle w:val="6"/>
              <w:rPr>
                <w:sz w:val="22"/>
                <w:szCs w:val="22"/>
              </w:rPr>
            </w:pPr>
          </w:p>
        </w:tc>
        <w:tc>
          <w:tcPr>
            <w:tcW w:w="446" w:type="dxa"/>
            <w:vAlign w:val="center"/>
          </w:tcPr>
          <w:p>
            <w:pPr>
              <w:pStyle w:val="6"/>
              <w:rPr>
                <w:sz w:val="22"/>
                <w:szCs w:val="22"/>
              </w:rPr>
            </w:pPr>
          </w:p>
        </w:tc>
        <w:tc>
          <w:tcPr>
            <w:tcW w:w="452" w:type="dxa"/>
            <w:vAlign w:val="center"/>
          </w:tcPr>
          <w:p>
            <w:pPr>
              <w:pStyle w:val="6"/>
              <w:rPr>
                <w:sz w:val="22"/>
                <w:szCs w:val="22"/>
              </w:rPr>
            </w:pPr>
          </w:p>
        </w:tc>
        <w:tc>
          <w:tcPr>
            <w:tcW w:w="3920" w:type="dxa"/>
            <w:vAlign w:val="center"/>
          </w:tcPr>
          <w:p>
            <w:pPr>
              <w:pStyle w:val="6"/>
              <w:rPr>
                <w:sz w:val="22"/>
                <w:szCs w:val="22"/>
              </w:rPr>
            </w:pPr>
          </w:p>
        </w:tc>
        <w:tc>
          <w:tcPr>
            <w:tcW w:w="1793" w:type="dxa"/>
            <w:vAlign w:val="center"/>
          </w:tcPr>
          <w:p>
            <w:pPr>
              <w:pStyle w:val="6"/>
              <w:rPr>
                <w:sz w:val="22"/>
                <w:szCs w:val="22"/>
              </w:rPr>
            </w:pPr>
          </w:p>
        </w:tc>
        <w:tc>
          <w:tcPr>
            <w:tcW w:w="1793" w:type="dxa"/>
            <w:vAlign w:val="center"/>
          </w:tcPr>
          <w:p>
            <w:pPr>
              <w:pStyle w:val="6"/>
              <w:rPr>
                <w:sz w:val="22"/>
                <w:szCs w:val="22"/>
              </w:rPr>
            </w:pPr>
          </w:p>
        </w:tc>
        <w:tc>
          <w:tcPr>
            <w:tcW w:w="1793" w:type="dxa"/>
            <w:vAlign w:val="center"/>
          </w:tcPr>
          <w:p>
            <w:pPr>
              <w:pStyle w:val="6"/>
              <w:rPr>
                <w:sz w:val="22"/>
                <w:szCs w:val="22"/>
              </w:rPr>
            </w:pPr>
          </w:p>
        </w:tc>
        <w:tc>
          <w:tcPr>
            <w:tcW w:w="1793" w:type="dxa"/>
            <w:vAlign w:val="center"/>
          </w:tcPr>
          <w:p>
            <w:pPr>
              <w:pStyle w:val="6"/>
              <w:rPr>
                <w:sz w:val="22"/>
                <w:szCs w:val="22"/>
              </w:rPr>
            </w:pPr>
          </w:p>
        </w:tc>
        <w:tc>
          <w:tcPr>
            <w:tcW w:w="1793" w:type="dxa"/>
            <w:vAlign w:val="center"/>
          </w:tcPr>
          <w:p>
            <w:pPr>
              <w:pStyle w:val="6"/>
              <w:rPr>
                <w:sz w:val="22"/>
                <w:szCs w:val="22"/>
              </w:rPr>
            </w:pPr>
          </w:p>
        </w:tc>
        <w:tc>
          <w:tcPr>
            <w:tcW w:w="1809" w:type="dxa"/>
            <w:vAlign w:val="center"/>
          </w:tcPr>
          <w:p>
            <w:pPr>
              <w:pStyle w:val="6"/>
              <w:jc w:val="right"/>
              <w:rPr>
                <w:sz w:val="20"/>
                <w:szCs w:val="20"/>
              </w:rPr>
            </w:pPr>
            <w:r>
              <w:rPr>
                <w:rFonts w:hint="eastAsia"/>
                <w:sz w:val="20"/>
                <w:szCs w:val="20"/>
              </w:rPr>
              <w:t xml:space="preserve">公开03表 </w:t>
            </w:r>
          </w:p>
        </w:tc>
      </w:tr>
      <w:tr>
        <w:tblPrEx>
          <w:tblLayout w:type="fixed"/>
          <w:tblCellMar>
            <w:top w:w="0" w:type="dxa"/>
            <w:left w:w="0" w:type="dxa"/>
            <w:bottom w:w="0" w:type="dxa"/>
            <w:right w:w="0" w:type="dxa"/>
          </w:tblCellMar>
        </w:tblPrEx>
        <w:trPr>
          <w:tblCellSpacing w:w="0" w:type="dxa"/>
          <w:jc w:val="center"/>
        </w:trPr>
        <w:tc>
          <w:tcPr>
            <w:tcW w:w="5264" w:type="dxa"/>
            <w:gridSpan w:val="4"/>
            <w:vAlign w:val="center"/>
          </w:tcPr>
          <w:p>
            <w:pPr>
              <w:pStyle w:val="6"/>
              <w:rPr>
                <w:sz w:val="22"/>
                <w:szCs w:val="22"/>
              </w:rPr>
            </w:pPr>
            <w:r>
              <w:rPr>
                <w:rFonts w:hint="eastAsia"/>
                <w:sz w:val="22"/>
                <w:szCs w:val="22"/>
              </w:rPr>
              <w:t xml:space="preserve">部门：浏阳市发展和改革局 </w:t>
            </w:r>
          </w:p>
        </w:tc>
        <w:tc>
          <w:tcPr>
            <w:tcW w:w="1793" w:type="dxa"/>
            <w:vAlign w:val="center"/>
          </w:tcPr>
          <w:p>
            <w:pPr>
              <w:pStyle w:val="6"/>
              <w:rPr>
                <w:sz w:val="22"/>
                <w:szCs w:val="22"/>
              </w:rPr>
            </w:pPr>
          </w:p>
        </w:tc>
        <w:tc>
          <w:tcPr>
            <w:tcW w:w="1793" w:type="dxa"/>
            <w:vAlign w:val="center"/>
          </w:tcPr>
          <w:p>
            <w:pPr>
              <w:pStyle w:val="6"/>
              <w:rPr>
                <w:sz w:val="22"/>
                <w:szCs w:val="22"/>
              </w:rPr>
            </w:pPr>
          </w:p>
        </w:tc>
        <w:tc>
          <w:tcPr>
            <w:tcW w:w="1793" w:type="dxa"/>
            <w:vAlign w:val="center"/>
          </w:tcPr>
          <w:p>
            <w:pPr>
              <w:pStyle w:val="6"/>
              <w:rPr>
                <w:sz w:val="22"/>
                <w:szCs w:val="22"/>
              </w:rPr>
            </w:pPr>
          </w:p>
        </w:tc>
        <w:tc>
          <w:tcPr>
            <w:tcW w:w="1793" w:type="dxa"/>
            <w:vAlign w:val="center"/>
          </w:tcPr>
          <w:p>
            <w:pPr>
              <w:pStyle w:val="6"/>
              <w:rPr>
                <w:sz w:val="22"/>
                <w:szCs w:val="22"/>
              </w:rPr>
            </w:pPr>
          </w:p>
        </w:tc>
        <w:tc>
          <w:tcPr>
            <w:tcW w:w="1793" w:type="dxa"/>
            <w:vAlign w:val="center"/>
          </w:tcPr>
          <w:p>
            <w:pPr>
              <w:pStyle w:val="6"/>
              <w:rPr>
                <w:sz w:val="22"/>
                <w:szCs w:val="22"/>
              </w:rPr>
            </w:pPr>
          </w:p>
        </w:tc>
        <w:tc>
          <w:tcPr>
            <w:tcW w:w="1809" w:type="dxa"/>
            <w:vAlign w:val="center"/>
          </w:tcPr>
          <w:p>
            <w:pPr>
              <w:pStyle w:val="6"/>
              <w:jc w:val="right"/>
              <w:rPr>
                <w:sz w:val="20"/>
                <w:szCs w:val="20"/>
              </w:rPr>
            </w:pPr>
            <w:r>
              <w:rPr>
                <w:rFonts w:hint="eastAsia"/>
                <w:sz w:val="20"/>
                <w:szCs w:val="20"/>
              </w:rPr>
              <w:t xml:space="preserve">金额单位：万元 </w:t>
            </w:r>
          </w:p>
        </w:tc>
      </w:tr>
      <w:tr>
        <w:tblPrEx>
          <w:tblLayout w:type="fixed"/>
          <w:tblCellMar>
            <w:top w:w="0" w:type="dxa"/>
            <w:left w:w="0" w:type="dxa"/>
            <w:bottom w:w="0" w:type="dxa"/>
            <w:right w:w="0" w:type="dxa"/>
          </w:tblCellMar>
        </w:tblPrEx>
        <w:trPr>
          <w:tblCellSpacing w:w="0" w:type="dxa"/>
          <w:jc w:val="center"/>
        </w:trPr>
        <w:tc>
          <w:tcPr>
            <w:tcW w:w="5264" w:type="dxa"/>
            <w:gridSpan w:val="4"/>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项目 </w:t>
            </w:r>
          </w:p>
        </w:tc>
        <w:tc>
          <w:tcPr>
            <w:tcW w:w="1793"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本年支出合计 </w:t>
            </w:r>
          </w:p>
        </w:tc>
        <w:tc>
          <w:tcPr>
            <w:tcW w:w="1793"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基本支出 </w:t>
            </w:r>
          </w:p>
        </w:tc>
        <w:tc>
          <w:tcPr>
            <w:tcW w:w="1793"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项目支出 </w:t>
            </w:r>
          </w:p>
        </w:tc>
        <w:tc>
          <w:tcPr>
            <w:tcW w:w="1793"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上缴上级支出 </w:t>
            </w:r>
          </w:p>
        </w:tc>
        <w:tc>
          <w:tcPr>
            <w:tcW w:w="1793"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经营支出 </w:t>
            </w:r>
          </w:p>
        </w:tc>
        <w:tc>
          <w:tcPr>
            <w:tcW w:w="1809"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对附属单位补助支出 </w:t>
            </w:r>
          </w:p>
        </w:tc>
      </w:tr>
      <w:tr>
        <w:tblPrEx>
          <w:tblLayout w:type="fixed"/>
          <w:tblCellMar>
            <w:top w:w="0" w:type="dxa"/>
            <w:left w:w="0" w:type="dxa"/>
            <w:bottom w:w="0" w:type="dxa"/>
            <w:right w:w="0" w:type="dxa"/>
          </w:tblCellMar>
        </w:tblPrEx>
        <w:trPr>
          <w:trHeight w:val="285" w:hRule="atLeast"/>
          <w:tblCellSpacing w:w="0" w:type="dxa"/>
          <w:jc w:val="center"/>
        </w:trPr>
        <w:tc>
          <w:tcPr>
            <w:tcW w:w="1344" w:type="dxa"/>
            <w:gridSpan w:val="3"/>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功能分类科目编码 </w:t>
            </w:r>
          </w:p>
        </w:tc>
        <w:tc>
          <w:tcPr>
            <w:tcW w:w="3920"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科目名称 </w:t>
            </w:r>
          </w:p>
        </w:tc>
        <w:tc>
          <w:tcPr>
            <w:tcW w:w="179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809"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Layout w:type="fixed"/>
          <w:tblCellMar>
            <w:top w:w="0" w:type="dxa"/>
            <w:left w:w="0" w:type="dxa"/>
            <w:bottom w:w="0" w:type="dxa"/>
            <w:right w:w="0" w:type="dxa"/>
          </w:tblCellMar>
        </w:tblPrEx>
        <w:trPr>
          <w:trHeight w:val="285" w:hRule="atLeast"/>
          <w:tblCellSpacing w:w="0" w:type="dxa"/>
          <w:jc w:val="center"/>
        </w:trPr>
        <w:tc>
          <w:tcPr>
            <w:tcW w:w="1344" w:type="dxa"/>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3920"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809"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Layout w:type="fixed"/>
          <w:tblCellMar>
            <w:top w:w="0" w:type="dxa"/>
            <w:left w:w="0" w:type="dxa"/>
            <w:bottom w:w="0" w:type="dxa"/>
            <w:right w:w="0" w:type="dxa"/>
          </w:tblCellMar>
        </w:tblPrEx>
        <w:trPr>
          <w:trHeight w:val="285" w:hRule="atLeast"/>
          <w:tblCellSpacing w:w="0" w:type="dxa"/>
          <w:jc w:val="center"/>
        </w:trPr>
        <w:tc>
          <w:tcPr>
            <w:tcW w:w="1344" w:type="dxa"/>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3920"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809"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Layout w:type="fixed"/>
          <w:tblCellMar>
            <w:top w:w="0" w:type="dxa"/>
            <w:left w:w="0" w:type="dxa"/>
            <w:bottom w:w="0" w:type="dxa"/>
            <w:right w:w="0" w:type="dxa"/>
          </w:tblCellMar>
        </w:tblPrEx>
        <w:trPr>
          <w:tblCellSpacing w:w="0" w:type="dxa"/>
          <w:jc w:val="center"/>
        </w:trPr>
        <w:tc>
          <w:tcPr>
            <w:tcW w:w="5264" w:type="dxa"/>
            <w:gridSpan w:val="4"/>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栏次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6 </w:t>
            </w:r>
          </w:p>
        </w:tc>
      </w:tr>
      <w:tr>
        <w:tblPrEx>
          <w:tblLayout w:type="fixed"/>
          <w:tblCellMar>
            <w:top w:w="0" w:type="dxa"/>
            <w:left w:w="0" w:type="dxa"/>
            <w:bottom w:w="0" w:type="dxa"/>
            <w:right w:w="0" w:type="dxa"/>
          </w:tblCellMar>
        </w:tblPrEx>
        <w:trPr>
          <w:tblCellSpacing w:w="0" w:type="dxa"/>
          <w:jc w:val="center"/>
        </w:trPr>
        <w:tc>
          <w:tcPr>
            <w:tcW w:w="5264" w:type="dxa"/>
            <w:gridSpan w:val="4"/>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合计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r>
              <w:rPr>
                <w:rFonts w:hint="eastAsia"/>
                <w:b/>
                <w:bCs/>
                <w:sz w:val="22"/>
                <w:szCs w:val="22"/>
              </w:rPr>
              <w:t xml:space="preserve">5,106.42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r>
              <w:rPr>
                <w:rFonts w:hint="eastAsia"/>
                <w:b/>
                <w:bCs/>
                <w:sz w:val="22"/>
                <w:szCs w:val="22"/>
              </w:rPr>
              <w:t xml:space="preserve">2,209.65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r>
              <w:rPr>
                <w:rFonts w:hint="eastAsia"/>
                <w:b/>
                <w:bCs/>
                <w:sz w:val="22"/>
                <w:szCs w:val="22"/>
              </w:rPr>
              <w:t xml:space="preserve">2,896.77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r>
              <w:rPr>
                <w:rFonts w:hint="eastAsia"/>
                <w:b/>
                <w:bCs/>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r>
              <w:rPr>
                <w:rFonts w:hint="eastAsia"/>
                <w:b/>
                <w:bCs/>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r>
              <w:rPr>
                <w:rFonts w:hint="eastAsia"/>
                <w:b/>
                <w:bCs/>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201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一般公共服务支出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3,510.00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1,975.04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1,534.96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20104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发展与改革事务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3,510.00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1,975.04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1,534.96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2010401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行政运行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1,975.04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1,975.04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2010402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一般行政管理事务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188.84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188.84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2010403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机关服务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19.00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19.00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2010404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战略规划与实施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42.00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42.00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2010406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社会事业发展规划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46.00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46.00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2010408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物价管理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60.85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60.85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2010499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其他发展与改革事务支出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1,178.27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1,178.27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208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社会保障和就业支出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234.60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234.60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20805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行政事业单位养老支出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234.60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234.60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2080501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行政单位离退休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218.93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218.93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2080502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事业单位离退休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15.68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15.68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210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卫生健康支出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1.50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1.50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21011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行政事业单位医疗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1.50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1.50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2101101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行政单位医疗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1.50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1.50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211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节能环保支出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179.40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179.40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21103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污染防治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57.40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57.40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2110301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大气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57.40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57.40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21110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能源节约利用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92.00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92.00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2111001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能源节约利用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92.00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92.00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21114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能源管理事务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2111407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能源行业管理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212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城乡社区支出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21299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其他城乡社区支出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2129901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其他城乡社区支出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213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农林水支出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304.40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304.40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21301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农业农村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299.40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299.40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2130199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其他农业农村支出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299.40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299.40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21305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扶贫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2130599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其他扶贫支出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216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商业服务业等支出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21602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商业流通事务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2160299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其他商业流通事务支出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222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粮油物资储备支出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685.51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685.51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22201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粮油事务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612.32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612.32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2220102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一般行政管理事务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6.00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6.00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2220106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粮食专项业务活动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2220115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粮食风险基金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231.92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231.92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2220199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其他粮油事务支出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324.40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324.40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22204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粮油储备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56.19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56.19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2220499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其他粮油储备支出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56.19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56.19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22205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重要商品储备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17.00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17.00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2220503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肉类储备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17.00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17.00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229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其他支出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170.00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170.00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22904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其他政府性基金及对应专项债务收入安排的支出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170.00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170.00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2290401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其他政府性基金安排的支出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170.00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170.00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6038" w:type="dxa"/>
            <w:gridSpan w:val="10"/>
            <w:vAlign w:val="center"/>
          </w:tcPr>
          <w:p>
            <w:pPr>
              <w:pStyle w:val="6"/>
              <w:rPr>
                <w:sz w:val="22"/>
                <w:szCs w:val="22"/>
              </w:rPr>
            </w:pPr>
            <w:r>
              <w:rPr>
                <w:rFonts w:hint="eastAsia"/>
                <w:sz w:val="22"/>
                <w:szCs w:val="22"/>
              </w:rPr>
              <w:t xml:space="preserve">注：本表反映部门本年度各项支出情况。本表金额转换为万元时，因四舍五入可能存在尾数误差。 </w:t>
            </w:r>
          </w:p>
        </w:tc>
      </w:tr>
    </w:tbl>
    <w:p>
      <w:pPr>
        <w:pStyle w:val="6"/>
        <w:rPr>
          <w:color w:val="000000"/>
        </w:rPr>
      </w:pPr>
    </w:p>
    <w:p>
      <w:pPr>
        <w:spacing w:after="2"/>
        <w:jc w:val="center"/>
        <w:rPr>
          <w:color w:val="000000"/>
          <w:szCs w:val="21"/>
        </w:rPr>
      </w:pPr>
    </w:p>
    <w:p>
      <w:pPr>
        <w:pStyle w:val="6"/>
        <w:rPr>
          <w:color w:val="000000"/>
        </w:rPr>
      </w:pPr>
    </w:p>
    <w:p>
      <w:pPr>
        <w:widowControl/>
        <w:jc w:val="left"/>
        <w:rPr>
          <w:rFonts w:ascii="宋体" w:hAnsi="宋体" w:eastAsia="宋体" w:cs="宋体"/>
          <w:color w:val="000000"/>
          <w:kern w:val="0"/>
          <w:sz w:val="24"/>
          <w:szCs w:val="24"/>
        </w:rPr>
        <w:sectPr>
          <w:pgSz w:w="16838" w:h="11906"/>
          <w:pgMar w:top="1080" w:right="400" w:bottom="1080" w:left="400" w:header="851" w:footer="992" w:gutter="0"/>
          <w:cols w:space="720" w:num="1"/>
          <w:docGrid w:type="lines" w:linePitch="160" w:charSpace="0"/>
        </w:sectPr>
      </w:pPr>
    </w:p>
    <w:p>
      <w:pPr>
        <w:pStyle w:val="6"/>
        <w:spacing w:before="0" w:beforeAutospacing="0" w:after="2" w:afterAutospacing="0"/>
        <w:rPr>
          <w:color w:val="000000"/>
        </w:rPr>
      </w:pPr>
    </w:p>
    <w:tbl>
      <w:tblPr>
        <w:tblStyle w:val="12"/>
        <w:tblW w:w="16038" w:type="dxa"/>
        <w:jc w:val="center"/>
        <w:tblCellSpacing w:w="0" w:type="dxa"/>
        <w:tblInd w:w="0" w:type="dxa"/>
        <w:tblLayout w:type="fixed"/>
        <w:tblCellMar>
          <w:top w:w="0" w:type="dxa"/>
          <w:left w:w="0" w:type="dxa"/>
          <w:bottom w:w="0" w:type="dxa"/>
          <w:right w:w="0" w:type="dxa"/>
        </w:tblCellMar>
      </w:tblPr>
      <w:tblGrid>
        <w:gridCol w:w="3160"/>
        <w:gridCol w:w="549"/>
        <w:gridCol w:w="1626"/>
        <w:gridCol w:w="3538"/>
        <w:gridCol w:w="548"/>
        <w:gridCol w:w="1623"/>
        <w:gridCol w:w="1623"/>
        <w:gridCol w:w="1623"/>
        <w:gridCol w:w="1748"/>
      </w:tblGrid>
      <w:tr>
        <w:tblPrEx>
          <w:tblLayout w:type="fixed"/>
          <w:tblCellMar>
            <w:top w:w="0" w:type="dxa"/>
            <w:left w:w="0" w:type="dxa"/>
            <w:bottom w:w="0" w:type="dxa"/>
            <w:right w:w="0" w:type="dxa"/>
          </w:tblCellMar>
        </w:tblPrEx>
        <w:trPr>
          <w:tblCellSpacing w:w="0" w:type="dxa"/>
          <w:jc w:val="center"/>
        </w:trPr>
        <w:tc>
          <w:tcPr>
            <w:tcW w:w="16038" w:type="dxa"/>
            <w:gridSpan w:val="9"/>
            <w:vAlign w:val="center"/>
          </w:tcPr>
          <w:p>
            <w:pPr>
              <w:pStyle w:val="6"/>
              <w:jc w:val="center"/>
              <w:rPr>
                <w:sz w:val="22"/>
                <w:szCs w:val="22"/>
              </w:rPr>
            </w:pPr>
            <w:r>
              <w:rPr>
                <w:rFonts w:hint="eastAsia"/>
                <w:sz w:val="22"/>
                <w:szCs w:val="22"/>
              </w:rPr>
              <w:t xml:space="preserve">财政拨款收入支出决算总表 </w:t>
            </w:r>
          </w:p>
        </w:tc>
      </w:tr>
      <w:tr>
        <w:tblPrEx>
          <w:tblLayout w:type="fixed"/>
          <w:tblCellMar>
            <w:top w:w="0" w:type="dxa"/>
            <w:left w:w="0" w:type="dxa"/>
            <w:bottom w:w="0" w:type="dxa"/>
            <w:right w:w="0" w:type="dxa"/>
          </w:tblCellMar>
        </w:tblPrEx>
        <w:trPr>
          <w:tblCellSpacing w:w="0" w:type="dxa"/>
          <w:jc w:val="center"/>
        </w:trPr>
        <w:tc>
          <w:tcPr>
            <w:tcW w:w="3160" w:type="dxa"/>
            <w:vAlign w:val="center"/>
          </w:tcPr>
          <w:p>
            <w:pPr>
              <w:pStyle w:val="6"/>
              <w:rPr>
                <w:sz w:val="22"/>
                <w:szCs w:val="22"/>
              </w:rPr>
            </w:pPr>
          </w:p>
        </w:tc>
        <w:tc>
          <w:tcPr>
            <w:tcW w:w="549" w:type="dxa"/>
            <w:vAlign w:val="center"/>
          </w:tcPr>
          <w:p>
            <w:pPr>
              <w:pStyle w:val="6"/>
              <w:rPr>
                <w:sz w:val="22"/>
                <w:szCs w:val="22"/>
              </w:rPr>
            </w:pPr>
          </w:p>
        </w:tc>
        <w:tc>
          <w:tcPr>
            <w:tcW w:w="1626" w:type="dxa"/>
            <w:vAlign w:val="center"/>
          </w:tcPr>
          <w:p>
            <w:pPr>
              <w:pStyle w:val="6"/>
              <w:rPr>
                <w:sz w:val="22"/>
                <w:szCs w:val="22"/>
              </w:rPr>
            </w:pPr>
          </w:p>
        </w:tc>
        <w:tc>
          <w:tcPr>
            <w:tcW w:w="3538" w:type="dxa"/>
            <w:vAlign w:val="center"/>
          </w:tcPr>
          <w:p>
            <w:pPr>
              <w:pStyle w:val="6"/>
              <w:rPr>
                <w:sz w:val="22"/>
                <w:szCs w:val="22"/>
              </w:rPr>
            </w:pPr>
          </w:p>
        </w:tc>
        <w:tc>
          <w:tcPr>
            <w:tcW w:w="548" w:type="dxa"/>
            <w:vAlign w:val="center"/>
          </w:tcPr>
          <w:p>
            <w:pPr>
              <w:pStyle w:val="6"/>
              <w:rPr>
                <w:sz w:val="22"/>
                <w:szCs w:val="22"/>
              </w:rPr>
            </w:pPr>
          </w:p>
        </w:tc>
        <w:tc>
          <w:tcPr>
            <w:tcW w:w="1623" w:type="dxa"/>
            <w:vAlign w:val="center"/>
          </w:tcPr>
          <w:p>
            <w:pPr>
              <w:pStyle w:val="6"/>
              <w:rPr>
                <w:sz w:val="22"/>
                <w:szCs w:val="22"/>
              </w:rPr>
            </w:pPr>
          </w:p>
        </w:tc>
        <w:tc>
          <w:tcPr>
            <w:tcW w:w="1623" w:type="dxa"/>
            <w:vAlign w:val="center"/>
          </w:tcPr>
          <w:p>
            <w:pPr>
              <w:pStyle w:val="6"/>
              <w:rPr>
                <w:sz w:val="22"/>
                <w:szCs w:val="22"/>
              </w:rPr>
            </w:pPr>
          </w:p>
        </w:tc>
        <w:tc>
          <w:tcPr>
            <w:tcW w:w="1623" w:type="dxa"/>
            <w:vAlign w:val="center"/>
          </w:tcPr>
          <w:p>
            <w:pPr>
              <w:pStyle w:val="6"/>
              <w:rPr>
                <w:sz w:val="22"/>
                <w:szCs w:val="22"/>
              </w:rPr>
            </w:pPr>
          </w:p>
        </w:tc>
        <w:tc>
          <w:tcPr>
            <w:tcW w:w="1748" w:type="dxa"/>
            <w:vAlign w:val="center"/>
          </w:tcPr>
          <w:p>
            <w:pPr>
              <w:pStyle w:val="6"/>
              <w:jc w:val="right"/>
              <w:rPr>
                <w:sz w:val="20"/>
                <w:szCs w:val="20"/>
              </w:rPr>
            </w:pPr>
            <w:r>
              <w:rPr>
                <w:rFonts w:hint="eastAsia"/>
                <w:sz w:val="20"/>
                <w:szCs w:val="20"/>
              </w:rPr>
              <w:t xml:space="preserve">公开04表 </w:t>
            </w:r>
          </w:p>
        </w:tc>
      </w:tr>
      <w:tr>
        <w:tblPrEx>
          <w:tblLayout w:type="fixed"/>
          <w:tblCellMar>
            <w:top w:w="0" w:type="dxa"/>
            <w:left w:w="0" w:type="dxa"/>
            <w:bottom w:w="0" w:type="dxa"/>
            <w:right w:w="0" w:type="dxa"/>
          </w:tblCellMar>
        </w:tblPrEx>
        <w:trPr>
          <w:tblCellSpacing w:w="0" w:type="dxa"/>
          <w:jc w:val="center"/>
        </w:trPr>
        <w:tc>
          <w:tcPr>
            <w:tcW w:w="3160" w:type="dxa"/>
            <w:vAlign w:val="center"/>
          </w:tcPr>
          <w:p>
            <w:pPr>
              <w:pStyle w:val="6"/>
              <w:rPr>
                <w:sz w:val="20"/>
                <w:szCs w:val="20"/>
              </w:rPr>
            </w:pPr>
            <w:r>
              <w:rPr>
                <w:rFonts w:hint="eastAsia"/>
                <w:sz w:val="20"/>
                <w:szCs w:val="20"/>
              </w:rPr>
              <w:t xml:space="preserve">部门：浏阳市发展和改革局 </w:t>
            </w:r>
          </w:p>
        </w:tc>
        <w:tc>
          <w:tcPr>
            <w:tcW w:w="549" w:type="dxa"/>
            <w:vAlign w:val="center"/>
          </w:tcPr>
          <w:p>
            <w:pPr>
              <w:pStyle w:val="6"/>
              <w:rPr>
                <w:sz w:val="22"/>
                <w:szCs w:val="22"/>
              </w:rPr>
            </w:pPr>
          </w:p>
        </w:tc>
        <w:tc>
          <w:tcPr>
            <w:tcW w:w="1626" w:type="dxa"/>
            <w:vAlign w:val="center"/>
          </w:tcPr>
          <w:p>
            <w:pPr>
              <w:pStyle w:val="6"/>
              <w:rPr>
                <w:sz w:val="22"/>
                <w:szCs w:val="22"/>
              </w:rPr>
            </w:pPr>
          </w:p>
        </w:tc>
        <w:tc>
          <w:tcPr>
            <w:tcW w:w="3538" w:type="dxa"/>
            <w:vAlign w:val="center"/>
          </w:tcPr>
          <w:p>
            <w:pPr>
              <w:pStyle w:val="6"/>
              <w:rPr>
                <w:sz w:val="22"/>
                <w:szCs w:val="22"/>
              </w:rPr>
            </w:pPr>
          </w:p>
        </w:tc>
        <w:tc>
          <w:tcPr>
            <w:tcW w:w="548" w:type="dxa"/>
            <w:vAlign w:val="center"/>
          </w:tcPr>
          <w:p>
            <w:pPr>
              <w:pStyle w:val="6"/>
              <w:rPr>
                <w:sz w:val="22"/>
                <w:szCs w:val="22"/>
              </w:rPr>
            </w:pPr>
          </w:p>
        </w:tc>
        <w:tc>
          <w:tcPr>
            <w:tcW w:w="1623" w:type="dxa"/>
            <w:vAlign w:val="center"/>
          </w:tcPr>
          <w:p>
            <w:pPr>
              <w:pStyle w:val="6"/>
              <w:rPr>
                <w:sz w:val="22"/>
                <w:szCs w:val="22"/>
              </w:rPr>
            </w:pPr>
          </w:p>
        </w:tc>
        <w:tc>
          <w:tcPr>
            <w:tcW w:w="1623" w:type="dxa"/>
            <w:vAlign w:val="center"/>
          </w:tcPr>
          <w:p>
            <w:pPr>
              <w:pStyle w:val="6"/>
              <w:rPr>
                <w:sz w:val="22"/>
                <w:szCs w:val="22"/>
              </w:rPr>
            </w:pPr>
          </w:p>
        </w:tc>
        <w:tc>
          <w:tcPr>
            <w:tcW w:w="1623" w:type="dxa"/>
            <w:vAlign w:val="center"/>
          </w:tcPr>
          <w:p>
            <w:pPr>
              <w:pStyle w:val="6"/>
              <w:rPr>
                <w:sz w:val="22"/>
                <w:szCs w:val="22"/>
              </w:rPr>
            </w:pPr>
          </w:p>
        </w:tc>
        <w:tc>
          <w:tcPr>
            <w:tcW w:w="1748" w:type="dxa"/>
            <w:vAlign w:val="center"/>
          </w:tcPr>
          <w:p>
            <w:pPr>
              <w:pStyle w:val="6"/>
              <w:jc w:val="right"/>
              <w:rPr>
                <w:sz w:val="20"/>
                <w:szCs w:val="20"/>
              </w:rPr>
            </w:pPr>
            <w:r>
              <w:rPr>
                <w:rFonts w:hint="eastAsia"/>
                <w:sz w:val="20"/>
                <w:szCs w:val="20"/>
              </w:rPr>
              <w:t xml:space="preserve">金额单位：万元 </w:t>
            </w:r>
          </w:p>
        </w:tc>
      </w:tr>
      <w:tr>
        <w:tblPrEx>
          <w:tblLayout w:type="fixed"/>
          <w:tblCellMar>
            <w:top w:w="0" w:type="dxa"/>
            <w:left w:w="0" w:type="dxa"/>
            <w:bottom w:w="0" w:type="dxa"/>
            <w:right w:w="0" w:type="dxa"/>
          </w:tblCellMar>
        </w:tblPrEx>
        <w:trPr>
          <w:tblCellSpacing w:w="0" w:type="dxa"/>
          <w:jc w:val="center"/>
        </w:trPr>
        <w:tc>
          <w:tcPr>
            <w:tcW w:w="5335" w:type="dxa"/>
            <w:gridSpan w:val="3"/>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收 入 </w:t>
            </w:r>
          </w:p>
        </w:tc>
        <w:tc>
          <w:tcPr>
            <w:tcW w:w="10703" w:type="dxa"/>
            <w:gridSpan w:val="6"/>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支 出 </w:t>
            </w:r>
          </w:p>
        </w:tc>
      </w:tr>
      <w:tr>
        <w:tblPrEx>
          <w:tblLayout w:type="fixed"/>
          <w:tblCellMar>
            <w:top w:w="0" w:type="dxa"/>
            <w:left w:w="0" w:type="dxa"/>
            <w:bottom w:w="0" w:type="dxa"/>
            <w:right w:w="0" w:type="dxa"/>
          </w:tblCellMar>
        </w:tblPrEx>
        <w:trPr>
          <w:trHeight w:val="285" w:hRule="atLeast"/>
          <w:tblCellSpacing w:w="0" w:type="dxa"/>
          <w:jc w:val="center"/>
        </w:trPr>
        <w:tc>
          <w:tcPr>
            <w:tcW w:w="3160"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项目 </w:t>
            </w:r>
          </w:p>
        </w:tc>
        <w:tc>
          <w:tcPr>
            <w:tcW w:w="549"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行次 </w:t>
            </w:r>
          </w:p>
        </w:tc>
        <w:tc>
          <w:tcPr>
            <w:tcW w:w="1626"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金额 </w:t>
            </w:r>
          </w:p>
        </w:tc>
        <w:tc>
          <w:tcPr>
            <w:tcW w:w="3538"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项目 </w:t>
            </w:r>
          </w:p>
        </w:tc>
        <w:tc>
          <w:tcPr>
            <w:tcW w:w="548"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行次 </w:t>
            </w:r>
          </w:p>
        </w:tc>
        <w:tc>
          <w:tcPr>
            <w:tcW w:w="1623"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合计 </w:t>
            </w:r>
          </w:p>
        </w:tc>
        <w:tc>
          <w:tcPr>
            <w:tcW w:w="1623"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一般公共预算财政拨款 </w:t>
            </w:r>
          </w:p>
        </w:tc>
        <w:tc>
          <w:tcPr>
            <w:tcW w:w="1623"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政府性基金预算财政拨款 </w:t>
            </w:r>
          </w:p>
        </w:tc>
        <w:tc>
          <w:tcPr>
            <w:tcW w:w="1748"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国有资本经营预算财政拨款 </w:t>
            </w:r>
          </w:p>
        </w:tc>
      </w:tr>
      <w:tr>
        <w:tblPrEx>
          <w:tblLayout w:type="fixed"/>
          <w:tblCellMar>
            <w:top w:w="0" w:type="dxa"/>
            <w:left w:w="0" w:type="dxa"/>
            <w:bottom w:w="0" w:type="dxa"/>
            <w:right w:w="0" w:type="dxa"/>
          </w:tblCellMar>
        </w:tblPrEx>
        <w:trPr>
          <w:trHeight w:val="285" w:hRule="atLeast"/>
          <w:tblCellSpacing w:w="0" w:type="dxa"/>
          <w:jc w:val="center"/>
        </w:trPr>
        <w:tc>
          <w:tcPr>
            <w:tcW w:w="3160"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549"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626"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3538"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548"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62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62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62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48"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Layout w:type="fixed"/>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栏次 </w:t>
            </w: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 </w:t>
            </w: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栏次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 </w:t>
            </w:r>
          </w:p>
        </w:tc>
      </w:tr>
      <w:tr>
        <w:tblPrEx>
          <w:tblLayout w:type="fixed"/>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一、一般公共预算财政拨款 </w:t>
            </w: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4,222.28 </w:t>
            </w: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一、一般公共服务支出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33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2,977.27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2,977.27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二、政府性基金预算财政拨款 </w:t>
            </w: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二、外交支出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34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三、国有资本经营财政拨款 </w:t>
            </w: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三、国防支出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35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四、公共安全支出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36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五、教育支出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37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6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六、科学技术支出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38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7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七、文化旅游体育与传媒支出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39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8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八、社会保障和就业支出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234.60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234.60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9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九、卫生健康支出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41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1.50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1.50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10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十、节能环保支出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42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87.40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87.40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11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十一、城乡社区支出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43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12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十二、农林水支出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44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304.40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304.40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13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十三、交通运输支出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45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14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十四、资源勘探工业信息等支出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46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15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十五、商业服务业等支出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47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16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十六、金融支出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48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17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十七、援助其他地区支出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49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18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十八、自然资源海洋气象等支出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19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十九、住房保障支出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51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20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二十、粮油物资储备支出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52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597.11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597.11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21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二十一、国有资本经营预算支出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53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22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二十二、灾害防治及应急管理支出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54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23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二十三、其他支出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55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24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二十四、债务还本支出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56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25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二十五、债务付息支出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57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26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二十六、抗疫特别国债安排的支出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58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本年收入合计 </w:t>
            </w: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27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4,222.28 </w:t>
            </w: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本年支出合计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59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4,222.28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4,222.28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年初财政拨款结转和结余 </w:t>
            </w: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28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年末财政拨款结转和结余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60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一般公共预算财政拨款 </w:t>
            </w: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29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61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Layout w:type="fixed"/>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政府性基金预算财政拨款 </w:t>
            </w: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30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62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Layout w:type="fixed"/>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国有资本经营预算财政拨款 </w:t>
            </w: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31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63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Layout w:type="fixed"/>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总计 </w:t>
            </w: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32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4,222.28 </w:t>
            </w: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总计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64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4,222.28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4,222.28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6038" w:type="dxa"/>
            <w:gridSpan w:val="9"/>
            <w:vAlign w:val="center"/>
          </w:tcPr>
          <w:p>
            <w:pPr>
              <w:pStyle w:val="6"/>
              <w:rPr>
                <w:sz w:val="22"/>
                <w:szCs w:val="22"/>
              </w:rPr>
            </w:pPr>
            <w:r>
              <w:rPr>
                <w:rFonts w:hint="eastAsia"/>
                <w:sz w:val="22"/>
                <w:szCs w:val="22"/>
              </w:rPr>
              <w:t xml:space="preserve">注：本表反映部门本年度一般公共预算财政拨款、政府性基金预算财政拨款和国有资本经营预算财政拨款的总收支和年末结转结余情况。本表金额转换为万元时，因四舍五入可能存在尾数误差。 </w:t>
            </w:r>
          </w:p>
        </w:tc>
      </w:tr>
    </w:tbl>
    <w:p>
      <w:pPr>
        <w:pStyle w:val="6"/>
        <w:rPr>
          <w:color w:val="000000"/>
        </w:rPr>
      </w:pPr>
    </w:p>
    <w:p>
      <w:pPr>
        <w:spacing w:after="2"/>
        <w:jc w:val="center"/>
        <w:rPr>
          <w:color w:val="000000"/>
          <w:szCs w:val="21"/>
        </w:rPr>
      </w:pPr>
    </w:p>
    <w:p>
      <w:pPr>
        <w:pStyle w:val="6"/>
        <w:rPr>
          <w:color w:val="000000"/>
        </w:rPr>
      </w:pPr>
    </w:p>
    <w:p>
      <w:pPr>
        <w:widowControl/>
        <w:jc w:val="left"/>
        <w:rPr>
          <w:rFonts w:ascii="宋体" w:hAnsi="宋体" w:eastAsia="宋体" w:cs="宋体"/>
          <w:color w:val="000000"/>
          <w:kern w:val="0"/>
          <w:sz w:val="24"/>
          <w:szCs w:val="24"/>
        </w:rPr>
        <w:sectPr>
          <w:pgSz w:w="16838" w:h="11906"/>
          <w:pgMar w:top="1080" w:right="400" w:bottom="1080" w:left="400" w:header="851" w:footer="992" w:gutter="0"/>
          <w:cols w:space="720" w:num="1"/>
          <w:docGrid w:type="lines" w:linePitch="160" w:charSpace="0"/>
        </w:sectPr>
      </w:pPr>
    </w:p>
    <w:p>
      <w:pPr>
        <w:pStyle w:val="6"/>
        <w:spacing w:before="0" w:beforeAutospacing="0" w:after="2" w:afterAutospacing="0"/>
        <w:rPr>
          <w:color w:val="000000"/>
        </w:rPr>
      </w:pPr>
    </w:p>
    <w:tbl>
      <w:tblPr>
        <w:tblStyle w:val="12"/>
        <w:tblW w:w="16038" w:type="dxa"/>
        <w:jc w:val="center"/>
        <w:tblCellSpacing w:w="0" w:type="dxa"/>
        <w:tblInd w:w="0" w:type="dxa"/>
        <w:tblLayout w:type="fixed"/>
        <w:tblCellMar>
          <w:top w:w="0" w:type="dxa"/>
          <w:left w:w="0" w:type="dxa"/>
          <w:bottom w:w="0" w:type="dxa"/>
          <w:right w:w="0" w:type="dxa"/>
        </w:tblCellMar>
      </w:tblPr>
      <w:tblGrid>
        <w:gridCol w:w="453"/>
        <w:gridCol w:w="453"/>
        <w:gridCol w:w="455"/>
        <w:gridCol w:w="5398"/>
        <w:gridCol w:w="3092"/>
        <w:gridCol w:w="3092"/>
        <w:gridCol w:w="3095"/>
      </w:tblGrid>
      <w:tr>
        <w:tblPrEx>
          <w:tblLayout w:type="fixed"/>
          <w:tblCellMar>
            <w:top w:w="0" w:type="dxa"/>
            <w:left w:w="0" w:type="dxa"/>
            <w:bottom w:w="0" w:type="dxa"/>
            <w:right w:w="0" w:type="dxa"/>
          </w:tblCellMar>
        </w:tblPrEx>
        <w:trPr>
          <w:tblCellSpacing w:w="0" w:type="dxa"/>
          <w:jc w:val="center"/>
        </w:trPr>
        <w:tc>
          <w:tcPr>
            <w:tcW w:w="16038" w:type="dxa"/>
            <w:gridSpan w:val="7"/>
            <w:vAlign w:val="center"/>
          </w:tcPr>
          <w:p>
            <w:pPr>
              <w:pStyle w:val="6"/>
              <w:jc w:val="center"/>
              <w:rPr>
                <w:sz w:val="22"/>
                <w:szCs w:val="22"/>
              </w:rPr>
            </w:pPr>
            <w:r>
              <w:rPr>
                <w:rFonts w:hint="eastAsia"/>
                <w:sz w:val="22"/>
                <w:szCs w:val="22"/>
              </w:rPr>
              <w:t xml:space="preserve">一般公共预算财政拨款支出决算表 </w:t>
            </w:r>
          </w:p>
        </w:tc>
      </w:tr>
      <w:tr>
        <w:tblPrEx>
          <w:tblLayout w:type="fixed"/>
          <w:tblCellMar>
            <w:top w:w="0" w:type="dxa"/>
            <w:left w:w="0" w:type="dxa"/>
            <w:bottom w:w="0" w:type="dxa"/>
            <w:right w:w="0" w:type="dxa"/>
          </w:tblCellMar>
        </w:tblPrEx>
        <w:trPr>
          <w:tblCellSpacing w:w="0" w:type="dxa"/>
          <w:jc w:val="center"/>
        </w:trPr>
        <w:tc>
          <w:tcPr>
            <w:tcW w:w="453" w:type="dxa"/>
            <w:vAlign w:val="center"/>
          </w:tcPr>
          <w:p>
            <w:pPr>
              <w:pStyle w:val="6"/>
              <w:rPr>
                <w:sz w:val="22"/>
                <w:szCs w:val="22"/>
              </w:rPr>
            </w:pPr>
          </w:p>
        </w:tc>
        <w:tc>
          <w:tcPr>
            <w:tcW w:w="453" w:type="dxa"/>
            <w:vAlign w:val="center"/>
          </w:tcPr>
          <w:p>
            <w:pPr>
              <w:pStyle w:val="6"/>
              <w:rPr>
                <w:sz w:val="22"/>
                <w:szCs w:val="22"/>
              </w:rPr>
            </w:pPr>
          </w:p>
        </w:tc>
        <w:tc>
          <w:tcPr>
            <w:tcW w:w="455" w:type="dxa"/>
            <w:vAlign w:val="center"/>
          </w:tcPr>
          <w:p>
            <w:pPr>
              <w:pStyle w:val="6"/>
              <w:rPr>
                <w:sz w:val="22"/>
                <w:szCs w:val="22"/>
              </w:rPr>
            </w:pPr>
          </w:p>
        </w:tc>
        <w:tc>
          <w:tcPr>
            <w:tcW w:w="5398" w:type="dxa"/>
            <w:vAlign w:val="center"/>
          </w:tcPr>
          <w:p>
            <w:pPr>
              <w:pStyle w:val="6"/>
              <w:rPr>
                <w:sz w:val="22"/>
                <w:szCs w:val="22"/>
              </w:rPr>
            </w:pPr>
          </w:p>
        </w:tc>
        <w:tc>
          <w:tcPr>
            <w:tcW w:w="3092" w:type="dxa"/>
            <w:vAlign w:val="center"/>
          </w:tcPr>
          <w:p>
            <w:pPr>
              <w:pStyle w:val="6"/>
              <w:rPr>
                <w:sz w:val="22"/>
                <w:szCs w:val="22"/>
              </w:rPr>
            </w:pPr>
          </w:p>
        </w:tc>
        <w:tc>
          <w:tcPr>
            <w:tcW w:w="3092" w:type="dxa"/>
            <w:vAlign w:val="center"/>
          </w:tcPr>
          <w:p>
            <w:pPr>
              <w:pStyle w:val="6"/>
              <w:rPr>
                <w:sz w:val="22"/>
                <w:szCs w:val="22"/>
              </w:rPr>
            </w:pPr>
          </w:p>
        </w:tc>
        <w:tc>
          <w:tcPr>
            <w:tcW w:w="3095" w:type="dxa"/>
            <w:vAlign w:val="center"/>
          </w:tcPr>
          <w:p>
            <w:pPr>
              <w:pStyle w:val="6"/>
              <w:jc w:val="right"/>
              <w:rPr>
                <w:sz w:val="20"/>
                <w:szCs w:val="20"/>
              </w:rPr>
            </w:pPr>
            <w:r>
              <w:rPr>
                <w:rFonts w:hint="eastAsia"/>
                <w:sz w:val="20"/>
                <w:szCs w:val="20"/>
              </w:rPr>
              <w:t xml:space="preserve">公开05表 </w:t>
            </w:r>
          </w:p>
        </w:tc>
      </w:tr>
      <w:tr>
        <w:tblPrEx>
          <w:tblLayout w:type="fixed"/>
          <w:tblCellMar>
            <w:top w:w="0" w:type="dxa"/>
            <w:left w:w="0" w:type="dxa"/>
            <w:bottom w:w="0" w:type="dxa"/>
            <w:right w:w="0" w:type="dxa"/>
          </w:tblCellMar>
        </w:tblPrEx>
        <w:trPr>
          <w:tblCellSpacing w:w="0" w:type="dxa"/>
          <w:jc w:val="center"/>
        </w:trPr>
        <w:tc>
          <w:tcPr>
            <w:tcW w:w="6759" w:type="dxa"/>
            <w:gridSpan w:val="4"/>
            <w:vAlign w:val="center"/>
          </w:tcPr>
          <w:p>
            <w:pPr>
              <w:pStyle w:val="6"/>
              <w:rPr>
                <w:sz w:val="22"/>
                <w:szCs w:val="22"/>
              </w:rPr>
            </w:pPr>
            <w:r>
              <w:rPr>
                <w:rFonts w:hint="eastAsia"/>
                <w:sz w:val="22"/>
                <w:szCs w:val="22"/>
              </w:rPr>
              <w:t xml:space="preserve">部门：浏阳市发展和改革局 </w:t>
            </w:r>
          </w:p>
        </w:tc>
        <w:tc>
          <w:tcPr>
            <w:tcW w:w="3092" w:type="dxa"/>
            <w:vAlign w:val="center"/>
          </w:tcPr>
          <w:p>
            <w:pPr>
              <w:pStyle w:val="6"/>
              <w:rPr>
                <w:sz w:val="22"/>
                <w:szCs w:val="22"/>
              </w:rPr>
            </w:pPr>
          </w:p>
        </w:tc>
        <w:tc>
          <w:tcPr>
            <w:tcW w:w="3092" w:type="dxa"/>
            <w:vAlign w:val="center"/>
          </w:tcPr>
          <w:p>
            <w:pPr>
              <w:pStyle w:val="6"/>
              <w:rPr>
                <w:sz w:val="22"/>
                <w:szCs w:val="22"/>
              </w:rPr>
            </w:pPr>
          </w:p>
        </w:tc>
        <w:tc>
          <w:tcPr>
            <w:tcW w:w="3095" w:type="dxa"/>
            <w:vAlign w:val="center"/>
          </w:tcPr>
          <w:p>
            <w:pPr>
              <w:pStyle w:val="6"/>
              <w:jc w:val="right"/>
              <w:rPr>
                <w:sz w:val="20"/>
                <w:szCs w:val="20"/>
              </w:rPr>
            </w:pPr>
            <w:r>
              <w:rPr>
                <w:rFonts w:hint="eastAsia"/>
                <w:sz w:val="20"/>
                <w:szCs w:val="20"/>
              </w:rPr>
              <w:t xml:space="preserve">金额单位：万元 </w:t>
            </w:r>
          </w:p>
        </w:tc>
      </w:tr>
      <w:tr>
        <w:tblPrEx>
          <w:tblLayout w:type="fixed"/>
          <w:tblCellMar>
            <w:top w:w="0" w:type="dxa"/>
            <w:left w:w="0" w:type="dxa"/>
            <w:bottom w:w="0" w:type="dxa"/>
            <w:right w:w="0" w:type="dxa"/>
          </w:tblCellMar>
        </w:tblPrEx>
        <w:trPr>
          <w:tblCellSpacing w:w="0" w:type="dxa"/>
          <w:jc w:val="center"/>
        </w:trPr>
        <w:tc>
          <w:tcPr>
            <w:tcW w:w="6759" w:type="dxa"/>
            <w:gridSpan w:val="4"/>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项目 </w:t>
            </w:r>
          </w:p>
        </w:tc>
        <w:tc>
          <w:tcPr>
            <w:tcW w:w="9279" w:type="dxa"/>
            <w:gridSpan w:val="3"/>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本年支出 </w:t>
            </w:r>
          </w:p>
        </w:tc>
      </w:tr>
      <w:tr>
        <w:tblPrEx>
          <w:tblLayout w:type="fixed"/>
          <w:tblCellMar>
            <w:top w:w="0" w:type="dxa"/>
            <w:left w:w="0" w:type="dxa"/>
            <w:bottom w:w="0" w:type="dxa"/>
            <w:right w:w="0" w:type="dxa"/>
          </w:tblCellMar>
        </w:tblPrEx>
        <w:trPr>
          <w:trHeight w:val="285" w:hRule="atLeast"/>
          <w:tblCellSpacing w:w="0" w:type="dxa"/>
          <w:jc w:val="center"/>
        </w:trPr>
        <w:tc>
          <w:tcPr>
            <w:tcW w:w="1361" w:type="dxa"/>
            <w:gridSpan w:val="3"/>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功能分类科目编码 </w:t>
            </w:r>
          </w:p>
        </w:tc>
        <w:tc>
          <w:tcPr>
            <w:tcW w:w="5398"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科目名称 </w:t>
            </w:r>
          </w:p>
        </w:tc>
        <w:tc>
          <w:tcPr>
            <w:tcW w:w="3092"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小计 </w:t>
            </w:r>
          </w:p>
        </w:tc>
        <w:tc>
          <w:tcPr>
            <w:tcW w:w="3092"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基本支出 </w:t>
            </w:r>
          </w:p>
        </w:tc>
        <w:tc>
          <w:tcPr>
            <w:tcW w:w="3095"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项目支出 </w:t>
            </w:r>
          </w:p>
        </w:tc>
      </w:tr>
      <w:tr>
        <w:tblPrEx>
          <w:tblLayout w:type="fixed"/>
          <w:tblCellMar>
            <w:top w:w="0" w:type="dxa"/>
            <w:left w:w="0" w:type="dxa"/>
            <w:bottom w:w="0" w:type="dxa"/>
            <w:right w:w="0" w:type="dxa"/>
          </w:tblCellMar>
        </w:tblPrEx>
        <w:trPr>
          <w:trHeight w:val="285" w:hRule="atLeast"/>
          <w:tblCellSpacing w:w="0" w:type="dxa"/>
          <w:jc w:val="center"/>
        </w:trPr>
        <w:tc>
          <w:tcPr>
            <w:tcW w:w="1361" w:type="dxa"/>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5398"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3092"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3092"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3095"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Layout w:type="fixed"/>
          <w:tblCellMar>
            <w:top w:w="0" w:type="dxa"/>
            <w:left w:w="0" w:type="dxa"/>
            <w:bottom w:w="0" w:type="dxa"/>
            <w:right w:w="0" w:type="dxa"/>
          </w:tblCellMar>
        </w:tblPrEx>
        <w:trPr>
          <w:trHeight w:val="285" w:hRule="atLeast"/>
          <w:tblCellSpacing w:w="0" w:type="dxa"/>
          <w:jc w:val="center"/>
        </w:trPr>
        <w:tc>
          <w:tcPr>
            <w:tcW w:w="1361" w:type="dxa"/>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5398"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3092"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3092"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3095"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Layout w:type="fixed"/>
          <w:tblCellMar>
            <w:top w:w="0" w:type="dxa"/>
            <w:left w:w="0" w:type="dxa"/>
            <w:bottom w:w="0" w:type="dxa"/>
            <w:right w:w="0" w:type="dxa"/>
          </w:tblCellMar>
        </w:tblPrEx>
        <w:trPr>
          <w:tblCellSpacing w:w="0" w:type="dxa"/>
          <w:jc w:val="center"/>
        </w:trPr>
        <w:tc>
          <w:tcPr>
            <w:tcW w:w="6759" w:type="dxa"/>
            <w:gridSpan w:val="4"/>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栏次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 </w:t>
            </w:r>
          </w:p>
        </w:tc>
        <w:tc>
          <w:tcPr>
            <w:tcW w:w="3095"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 </w:t>
            </w:r>
          </w:p>
        </w:tc>
      </w:tr>
      <w:tr>
        <w:tblPrEx>
          <w:tblLayout w:type="fixed"/>
          <w:tblCellMar>
            <w:top w:w="0" w:type="dxa"/>
            <w:left w:w="0" w:type="dxa"/>
            <w:bottom w:w="0" w:type="dxa"/>
            <w:right w:w="0" w:type="dxa"/>
          </w:tblCellMar>
        </w:tblPrEx>
        <w:trPr>
          <w:tblCellSpacing w:w="0" w:type="dxa"/>
          <w:jc w:val="center"/>
        </w:trPr>
        <w:tc>
          <w:tcPr>
            <w:tcW w:w="6759" w:type="dxa"/>
            <w:gridSpan w:val="4"/>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合计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r>
              <w:rPr>
                <w:rFonts w:hint="eastAsia"/>
                <w:b/>
                <w:bCs/>
                <w:sz w:val="22"/>
                <w:szCs w:val="22"/>
              </w:rPr>
              <w:t xml:space="preserve">4,222.28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r>
              <w:rPr>
                <w:rFonts w:hint="eastAsia"/>
                <w:b/>
                <w:bCs/>
                <w:sz w:val="22"/>
                <w:szCs w:val="22"/>
              </w:rPr>
              <w:t xml:space="preserve">2,209.65 </w:t>
            </w:r>
          </w:p>
        </w:tc>
        <w:tc>
          <w:tcPr>
            <w:tcW w:w="3095" w:type="dxa"/>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r>
              <w:rPr>
                <w:rFonts w:hint="eastAsia"/>
                <w:b/>
                <w:bCs/>
                <w:sz w:val="22"/>
                <w:szCs w:val="22"/>
              </w:rPr>
              <w:t xml:space="preserve">2,012.64 </w:t>
            </w:r>
          </w:p>
        </w:tc>
      </w:tr>
      <w:tr>
        <w:tblPrEx>
          <w:tblLayout w:type="fixed"/>
          <w:tblCellMar>
            <w:top w:w="0" w:type="dxa"/>
            <w:left w:w="0" w:type="dxa"/>
            <w:bottom w:w="0" w:type="dxa"/>
            <w:right w:w="0" w:type="dxa"/>
          </w:tblCellMar>
        </w:tblPrEx>
        <w:trPr>
          <w:tblCellSpacing w:w="0" w:type="dxa"/>
          <w:jc w:val="center"/>
        </w:trPr>
        <w:tc>
          <w:tcPr>
            <w:tcW w:w="1361"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201 </w:t>
            </w:r>
          </w:p>
        </w:tc>
        <w:tc>
          <w:tcPr>
            <w:tcW w:w="539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一般公共服务支出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2,977.27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1,975.04 </w:t>
            </w:r>
          </w:p>
        </w:tc>
        <w:tc>
          <w:tcPr>
            <w:tcW w:w="3095"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1,002.23 </w:t>
            </w:r>
          </w:p>
        </w:tc>
      </w:tr>
      <w:tr>
        <w:tblPrEx>
          <w:tblLayout w:type="fixed"/>
          <w:tblCellMar>
            <w:top w:w="0" w:type="dxa"/>
            <w:left w:w="0" w:type="dxa"/>
            <w:bottom w:w="0" w:type="dxa"/>
            <w:right w:w="0" w:type="dxa"/>
          </w:tblCellMar>
        </w:tblPrEx>
        <w:trPr>
          <w:tblCellSpacing w:w="0" w:type="dxa"/>
          <w:jc w:val="center"/>
        </w:trPr>
        <w:tc>
          <w:tcPr>
            <w:tcW w:w="1361"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20104 </w:t>
            </w:r>
          </w:p>
        </w:tc>
        <w:tc>
          <w:tcPr>
            <w:tcW w:w="539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发展与改革事务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2,977.27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1,975.04 </w:t>
            </w:r>
          </w:p>
        </w:tc>
        <w:tc>
          <w:tcPr>
            <w:tcW w:w="3095"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1,002.23 </w:t>
            </w:r>
          </w:p>
        </w:tc>
      </w:tr>
      <w:tr>
        <w:tblPrEx>
          <w:tblLayout w:type="fixed"/>
          <w:tblCellMar>
            <w:top w:w="0" w:type="dxa"/>
            <w:left w:w="0" w:type="dxa"/>
            <w:bottom w:w="0" w:type="dxa"/>
            <w:right w:w="0" w:type="dxa"/>
          </w:tblCellMar>
        </w:tblPrEx>
        <w:trPr>
          <w:tblCellSpacing w:w="0" w:type="dxa"/>
          <w:jc w:val="center"/>
        </w:trPr>
        <w:tc>
          <w:tcPr>
            <w:tcW w:w="1361"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2010401 </w:t>
            </w:r>
          </w:p>
        </w:tc>
        <w:tc>
          <w:tcPr>
            <w:tcW w:w="539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行政运行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1,975.04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1,975.04 </w:t>
            </w:r>
          </w:p>
        </w:tc>
        <w:tc>
          <w:tcPr>
            <w:tcW w:w="3095"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61"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2010402 </w:t>
            </w:r>
          </w:p>
        </w:tc>
        <w:tc>
          <w:tcPr>
            <w:tcW w:w="539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一般行政管理事务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182.96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3095"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182.96 </w:t>
            </w:r>
          </w:p>
        </w:tc>
      </w:tr>
      <w:tr>
        <w:tblPrEx>
          <w:tblLayout w:type="fixed"/>
          <w:tblCellMar>
            <w:top w:w="0" w:type="dxa"/>
            <w:left w:w="0" w:type="dxa"/>
            <w:bottom w:w="0" w:type="dxa"/>
            <w:right w:w="0" w:type="dxa"/>
          </w:tblCellMar>
        </w:tblPrEx>
        <w:trPr>
          <w:tblCellSpacing w:w="0" w:type="dxa"/>
          <w:jc w:val="center"/>
        </w:trPr>
        <w:tc>
          <w:tcPr>
            <w:tcW w:w="1361"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2010403 </w:t>
            </w:r>
          </w:p>
        </w:tc>
        <w:tc>
          <w:tcPr>
            <w:tcW w:w="539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机关服务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19.00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3095"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19.00 </w:t>
            </w:r>
          </w:p>
        </w:tc>
      </w:tr>
      <w:tr>
        <w:tblPrEx>
          <w:tblLayout w:type="fixed"/>
          <w:tblCellMar>
            <w:top w:w="0" w:type="dxa"/>
            <w:left w:w="0" w:type="dxa"/>
            <w:bottom w:w="0" w:type="dxa"/>
            <w:right w:w="0" w:type="dxa"/>
          </w:tblCellMar>
        </w:tblPrEx>
        <w:trPr>
          <w:tblCellSpacing w:w="0" w:type="dxa"/>
          <w:jc w:val="center"/>
        </w:trPr>
        <w:tc>
          <w:tcPr>
            <w:tcW w:w="1361"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2010404 </w:t>
            </w:r>
          </w:p>
        </w:tc>
        <w:tc>
          <w:tcPr>
            <w:tcW w:w="539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战略规划与实施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42.00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3095"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42.00 </w:t>
            </w:r>
          </w:p>
        </w:tc>
      </w:tr>
      <w:tr>
        <w:tblPrEx>
          <w:tblLayout w:type="fixed"/>
          <w:tblCellMar>
            <w:top w:w="0" w:type="dxa"/>
            <w:left w:w="0" w:type="dxa"/>
            <w:bottom w:w="0" w:type="dxa"/>
            <w:right w:w="0" w:type="dxa"/>
          </w:tblCellMar>
        </w:tblPrEx>
        <w:trPr>
          <w:tblCellSpacing w:w="0" w:type="dxa"/>
          <w:jc w:val="center"/>
        </w:trPr>
        <w:tc>
          <w:tcPr>
            <w:tcW w:w="1361"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2010406 </w:t>
            </w:r>
          </w:p>
        </w:tc>
        <w:tc>
          <w:tcPr>
            <w:tcW w:w="539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社会事业发展规划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46.00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3095"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46.00 </w:t>
            </w:r>
          </w:p>
        </w:tc>
      </w:tr>
      <w:tr>
        <w:tblPrEx>
          <w:tblLayout w:type="fixed"/>
          <w:tblCellMar>
            <w:top w:w="0" w:type="dxa"/>
            <w:left w:w="0" w:type="dxa"/>
            <w:bottom w:w="0" w:type="dxa"/>
            <w:right w:w="0" w:type="dxa"/>
          </w:tblCellMar>
        </w:tblPrEx>
        <w:trPr>
          <w:tblCellSpacing w:w="0" w:type="dxa"/>
          <w:jc w:val="center"/>
        </w:trPr>
        <w:tc>
          <w:tcPr>
            <w:tcW w:w="1361"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2010408 </w:t>
            </w:r>
          </w:p>
        </w:tc>
        <w:tc>
          <w:tcPr>
            <w:tcW w:w="539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物价管理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37.00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3095"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37.00 </w:t>
            </w:r>
          </w:p>
        </w:tc>
      </w:tr>
      <w:tr>
        <w:tblPrEx>
          <w:tblLayout w:type="fixed"/>
          <w:tblCellMar>
            <w:top w:w="0" w:type="dxa"/>
            <w:left w:w="0" w:type="dxa"/>
            <w:bottom w:w="0" w:type="dxa"/>
            <w:right w:w="0" w:type="dxa"/>
          </w:tblCellMar>
        </w:tblPrEx>
        <w:trPr>
          <w:tblCellSpacing w:w="0" w:type="dxa"/>
          <w:jc w:val="center"/>
        </w:trPr>
        <w:tc>
          <w:tcPr>
            <w:tcW w:w="1361"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2010499 </w:t>
            </w:r>
          </w:p>
        </w:tc>
        <w:tc>
          <w:tcPr>
            <w:tcW w:w="539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其他发展与改革事务支出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675.27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3095"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675.27 </w:t>
            </w:r>
          </w:p>
        </w:tc>
      </w:tr>
      <w:tr>
        <w:tblPrEx>
          <w:tblLayout w:type="fixed"/>
          <w:tblCellMar>
            <w:top w:w="0" w:type="dxa"/>
            <w:left w:w="0" w:type="dxa"/>
            <w:bottom w:w="0" w:type="dxa"/>
            <w:right w:w="0" w:type="dxa"/>
          </w:tblCellMar>
        </w:tblPrEx>
        <w:trPr>
          <w:tblCellSpacing w:w="0" w:type="dxa"/>
          <w:jc w:val="center"/>
        </w:trPr>
        <w:tc>
          <w:tcPr>
            <w:tcW w:w="1361"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208 </w:t>
            </w:r>
          </w:p>
        </w:tc>
        <w:tc>
          <w:tcPr>
            <w:tcW w:w="539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社会保障和就业支出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234.60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234.60 </w:t>
            </w:r>
          </w:p>
        </w:tc>
        <w:tc>
          <w:tcPr>
            <w:tcW w:w="3095"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61"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20805 </w:t>
            </w:r>
          </w:p>
        </w:tc>
        <w:tc>
          <w:tcPr>
            <w:tcW w:w="539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行政事业单位养老支出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234.60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234.60 </w:t>
            </w:r>
          </w:p>
        </w:tc>
        <w:tc>
          <w:tcPr>
            <w:tcW w:w="3095"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61"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2080501 </w:t>
            </w:r>
          </w:p>
        </w:tc>
        <w:tc>
          <w:tcPr>
            <w:tcW w:w="539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行政单位离退休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218.93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218.93 </w:t>
            </w:r>
          </w:p>
        </w:tc>
        <w:tc>
          <w:tcPr>
            <w:tcW w:w="3095"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61"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2080502 </w:t>
            </w:r>
          </w:p>
        </w:tc>
        <w:tc>
          <w:tcPr>
            <w:tcW w:w="539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事业单位离退休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15.68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15.68 </w:t>
            </w:r>
          </w:p>
        </w:tc>
        <w:tc>
          <w:tcPr>
            <w:tcW w:w="3095"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Layout w:type="fixed"/>
          <w:tblCellMar>
            <w:top w:w="0" w:type="dxa"/>
            <w:left w:w="0" w:type="dxa"/>
            <w:bottom w:w="0" w:type="dxa"/>
            <w:right w:w="0" w:type="dxa"/>
          </w:tblCellMar>
        </w:tblPrEx>
        <w:trPr>
          <w:tblCellSpacing w:w="0" w:type="dxa"/>
          <w:jc w:val="center"/>
        </w:trPr>
        <w:tc>
          <w:tcPr>
            <w:tcW w:w="1361"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210 </w:t>
            </w:r>
          </w:p>
        </w:tc>
        <w:tc>
          <w:tcPr>
            <w:tcW w:w="539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卫生健康支出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1.50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3095"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1.50 </w:t>
            </w:r>
          </w:p>
        </w:tc>
      </w:tr>
      <w:tr>
        <w:tblPrEx>
          <w:tblLayout w:type="fixed"/>
          <w:tblCellMar>
            <w:top w:w="0" w:type="dxa"/>
            <w:left w:w="0" w:type="dxa"/>
            <w:bottom w:w="0" w:type="dxa"/>
            <w:right w:w="0" w:type="dxa"/>
          </w:tblCellMar>
        </w:tblPrEx>
        <w:trPr>
          <w:tblCellSpacing w:w="0" w:type="dxa"/>
          <w:jc w:val="center"/>
        </w:trPr>
        <w:tc>
          <w:tcPr>
            <w:tcW w:w="1361"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21011 </w:t>
            </w:r>
          </w:p>
        </w:tc>
        <w:tc>
          <w:tcPr>
            <w:tcW w:w="539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行政事业单位医疗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1.50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3095"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1.50 </w:t>
            </w:r>
          </w:p>
        </w:tc>
      </w:tr>
      <w:tr>
        <w:tblPrEx>
          <w:tblLayout w:type="fixed"/>
          <w:tblCellMar>
            <w:top w:w="0" w:type="dxa"/>
            <w:left w:w="0" w:type="dxa"/>
            <w:bottom w:w="0" w:type="dxa"/>
            <w:right w:w="0" w:type="dxa"/>
          </w:tblCellMar>
        </w:tblPrEx>
        <w:trPr>
          <w:tblCellSpacing w:w="0" w:type="dxa"/>
          <w:jc w:val="center"/>
        </w:trPr>
        <w:tc>
          <w:tcPr>
            <w:tcW w:w="1361"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2101101 </w:t>
            </w:r>
          </w:p>
        </w:tc>
        <w:tc>
          <w:tcPr>
            <w:tcW w:w="539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行政单位医疗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1.50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3095"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1.50 </w:t>
            </w:r>
          </w:p>
        </w:tc>
      </w:tr>
      <w:tr>
        <w:tblPrEx>
          <w:tblLayout w:type="fixed"/>
          <w:tblCellMar>
            <w:top w:w="0" w:type="dxa"/>
            <w:left w:w="0" w:type="dxa"/>
            <w:bottom w:w="0" w:type="dxa"/>
            <w:right w:w="0" w:type="dxa"/>
          </w:tblCellMar>
        </w:tblPrEx>
        <w:trPr>
          <w:tblCellSpacing w:w="0" w:type="dxa"/>
          <w:jc w:val="center"/>
        </w:trPr>
        <w:tc>
          <w:tcPr>
            <w:tcW w:w="1361"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211 </w:t>
            </w:r>
          </w:p>
        </w:tc>
        <w:tc>
          <w:tcPr>
            <w:tcW w:w="539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节能环保支出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87.40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3095"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87.40 </w:t>
            </w:r>
          </w:p>
        </w:tc>
      </w:tr>
      <w:tr>
        <w:tblPrEx>
          <w:tblLayout w:type="fixed"/>
          <w:tblCellMar>
            <w:top w:w="0" w:type="dxa"/>
            <w:left w:w="0" w:type="dxa"/>
            <w:bottom w:w="0" w:type="dxa"/>
            <w:right w:w="0" w:type="dxa"/>
          </w:tblCellMar>
        </w:tblPrEx>
        <w:trPr>
          <w:tblCellSpacing w:w="0" w:type="dxa"/>
          <w:jc w:val="center"/>
        </w:trPr>
        <w:tc>
          <w:tcPr>
            <w:tcW w:w="1361"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21103 </w:t>
            </w:r>
          </w:p>
        </w:tc>
        <w:tc>
          <w:tcPr>
            <w:tcW w:w="539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污染防治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57.40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3095"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57.40 </w:t>
            </w:r>
          </w:p>
        </w:tc>
      </w:tr>
      <w:tr>
        <w:tblPrEx>
          <w:tblLayout w:type="fixed"/>
          <w:tblCellMar>
            <w:top w:w="0" w:type="dxa"/>
            <w:left w:w="0" w:type="dxa"/>
            <w:bottom w:w="0" w:type="dxa"/>
            <w:right w:w="0" w:type="dxa"/>
          </w:tblCellMar>
        </w:tblPrEx>
        <w:trPr>
          <w:tblCellSpacing w:w="0" w:type="dxa"/>
          <w:jc w:val="center"/>
        </w:trPr>
        <w:tc>
          <w:tcPr>
            <w:tcW w:w="1361"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2110301 </w:t>
            </w:r>
          </w:p>
        </w:tc>
        <w:tc>
          <w:tcPr>
            <w:tcW w:w="539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大气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57.40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3095"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57.40 </w:t>
            </w:r>
          </w:p>
        </w:tc>
      </w:tr>
      <w:tr>
        <w:tblPrEx>
          <w:tblLayout w:type="fixed"/>
          <w:tblCellMar>
            <w:top w:w="0" w:type="dxa"/>
            <w:left w:w="0" w:type="dxa"/>
            <w:bottom w:w="0" w:type="dxa"/>
            <w:right w:w="0" w:type="dxa"/>
          </w:tblCellMar>
        </w:tblPrEx>
        <w:trPr>
          <w:tblCellSpacing w:w="0" w:type="dxa"/>
          <w:jc w:val="center"/>
        </w:trPr>
        <w:tc>
          <w:tcPr>
            <w:tcW w:w="1361"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21114 </w:t>
            </w:r>
          </w:p>
        </w:tc>
        <w:tc>
          <w:tcPr>
            <w:tcW w:w="539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能源管理事务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30.00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3095"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30.00 </w:t>
            </w:r>
          </w:p>
        </w:tc>
      </w:tr>
      <w:tr>
        <w:tblPrEx>
          <w:tblLayout w:type="fixed"/>
          <w:tblCellMar>
            <w:top w:w="0" w:type="dxa"/>
            <w:left w:w="0" w:type="dxa"/>
            <w:bottom w:w="0" w:type="dxa"/>
            <w:right w:w="0" w:type="dxa"/>
          </w:tblCellMar>
        </w:tblPrEx>
        <w:trPr>
          <w:tblCellSpacing w:w="0" w:type="dxa"/>
          <w:jc w:val="center"/>
        </w:trPr>
        <w:tc>
          <w:tcPr>
            <w:tcW w:w="1361"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2111407 </w:t>
            </w:r>
          </w:p>
        </w:tc>
        <w:tc>
          <w:tcPr>
            <w:tcW w:w="539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能源行业管理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30.00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3095"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30.00 </w:t>
            </w:r>
          </w:p>
        </w:tc>
      </w:tr>
      <w:tr>
        <w:tblPrEx>
          <w:tblLayout w:type="fixed"/>
          <w:tblCellMar>
            <w:top w:w="0" w:type="dxa"/>
            <w:left w:w="0" w:type="dxa"/>
            <w:bottom w:w="0" w:type="dxa"/>
            <w:right w:w="0" w:type="dxa"/>
          </w:tblCellMar>
        </w:tblPrEx>
        <w:trPr>
          <w:tblCellSpacing w:w="0" w:type="dxa"/>
          <w:jc w:val="center"/>
        </w:trPr>
        <w:tc>
          <w:tcPr>
            <w:tcW w:w="1361"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212 </w:t>
            </w:r>
          </w:p>
        </w:tc>
        <w:tc>
          <w:tcPr>
            <w:tcW w:w="539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城乡社区支出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20.00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3095"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20.00 </w:t>
            </w:r>
          </w:p>
        </w:tc>
      </w:tr>
      <w:tr>
        <w:tblPrEx>
          <w:tblLayout w:type="fixed"/>
          <w:tblCellMar>
            <w:top w:w="0" w:type="dxa"/>
            <w:left w:w="0" w:type="dxa"/>
            <w:bottom w:w="0" w:type="dxa"/>
            <w:right w:w="0" w:type="dxa"/>
          </w:tblCellMar>
        </w:tblPrEx>
        <w:trPr>
          <w:tblCellSpacing w:w="0" w:type="dxa"/>
          <w:jc w:val="center"/>
        </w:trPr>
        <w:tc>
          <w:tcPr>
            <w:tcW w:w="1361"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21299 </w:t>
            </w:r>
          </w:p>
        </w:tc>
        <w:tc>
          <w:tcPr>
            <w:tcW w:w="539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其他城乡社区支出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20.00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3095"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20.00 </w:t>
            </w:r>
          </w:p>
        </w:tc>
      </w:tr>
      <w:tr>
        <w:tblPrEx>
          <w:tblLayout w:type="fixed"/>
          <w:tblCellMar>
            <w:top w:w="0" w:type="dxa"/>
            <w:left w:w="0" w:type="dxa"/>
            <w:bottom w:w="0" w:type="dxa"/>
            <w:right w:w="0" w:type="dxa"/>
          </w:tblCellMar>
        </w:tblPrEx>
        <w:trPr>
          <w:tblCellSpacing w:w="0" w:type="dxa"/>
          <w:jc w:val="center"/>
        </w:trPr>
        <w:tc>
          <w:tcPr>
            <w:tcW w:w="1361"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2129901 </w:t>
            </w:r>
          </w:p>
        </w:tc>
        <w:tc>
          <w:tcPr>
            <w:tcW w:w="539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其他城乡社区支出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20.00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3095"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20.00 </w:t>
            </w:r>
          </w:p>
        </w:tc>
      </w:tr>
      <w:tr>
        <w:tblPrEx>
          <w:tblLayout w:type="fixed"/>
          <w:tblCellMar>
            <w:top w:w="0" w:type="dxa"/>
            <w:left w:w="0" w:type="dxa"/>
            <w:bottom w:w="0" w:type="dxa"/>
            <w:right w:w="0" w:type="dxa"/>
          </w:tblCellMar>
        </w:tblPrEx>
        <w:trPr>
          <w:tblCellSpacing w:w="0" w:type="dxa"/>
          <w:jc w:val="center"/>
        </w:trPr>
        <w:tc>
          <w:tcPr>
            <w:tcW w:w="1361"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213 </w:t>
            </w:r>
          </w:p>
        </w:tc>
        <w:tc>
          <w:tcPr>
            <w:tcW w:w="539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农林水支出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304.40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3095"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304.40 </w:t>
            </w:r>
          </w:p>
        </w:tc>
      </w:tr>
      <w:tr>
        <w:tblPrEx>
          <w:tblLayout w:type="fixed"/>
          <w:tblCellMar>
            <w:top w:w="0" w:type="dxa"/>
            <w:left w:w="0" w:type="dxa"/>
            <w:bottom w:w="0" w:type="dxa"/>
            <w:right w:w="0" w:type="dxa"/>
          </w:tblCellMar>
        </w:tblPrEx>
        <w:trPr>
          <w:tblCellSpacing w:w="0" w:type="dxa"/>
          <w:jc w:val="center"/>
        </w:trPr>
        <w:tc>
          <w:tcPr>
            <w:tcW w:w="1361"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21301 </w:t>
            </w:r>
          </w:p>
        </w:tc>
        <w:tc>
          <w:tcPr>
            <w:tcW w:w="539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农业农村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299.40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3095"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299.40 </w:t>
            </w:r>
          </w:p>
        </w:tc>
      </w:tr>
      <w:tr>
        <w:tblPrEx>
          <w:tblLayout w:type="fixed"/>
          <w:tblCellMar>
            <w:top w:w="0" w:type="dxa"/>
            <w:left w:w="0" w:type="dxa"/>
            <w:bottom w:w="0" w:type="dxa"/>
            <w:right w:w="0" w:type="dxa"/>
          </w:tblCellMar>
        </w:tblPrEx>
        <w:trPr>
          <w:tblCellSpacing w:w="0" w:type="dxa"/>
          <w:jc w:val="center"/>
        </w:trPr>
        <w:tc>
          <w:tcPr>
            <w:tcW w:w="1361"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2130199 </w:t>
            </w:r>
          </w:p>
        </w:tc>
        <w:tc>
          <w:tcPr>
            <w:tcW w:w="539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其他农业农村支出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299.40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3095"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299.40 </w:t>
            </w:r>
          </w:p>
        </w:tc>
      </w:tr>
      <w:tr>
        <w:tblPrEx>
          <w:tblLayout w:type="fixed"/>
          <w:tblCellMar>
            <w:top w:w="0" w:type="dxa"/>
            <w:left w:w="0" w:type="dxa"/>
            <w:bottom w:w="0" w:type="dxa"/>
            <w:right w:w="0" w:type="dxa"/>
          </w:tblCellMar>
        </w:tblPrEx>
        <w:trPr>
          <w:tblCellSpacing w:w="0" w:type="dxa"/>
          <w:jc w:val="center"/>
        </w:trPr>
        <w:tc>
          <w:tcPr>
            <w:tcW w:w="1361"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21305 </w:t>
            </w:r>
          </w:p>
        </w:tc>
        <w:tc>
          <w:tcPr>
            <w:tcW w:w="539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扶贫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5.00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3095"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5.00 </w:t>
            </w:r>
          </w:p>
        </w:tc>
      </w:tr>
      <w:tr>
        <w:tblPrEx>
          <w:tblLayout w:type="fixed"/>
          <w:tblCellMar>
            <w:top w:w="0" w:type="dxa"/>
            <w:left w:w="0" w:type="dxa"/>
            <w:bottom w:w="0" w:type="dxa"/>
            <w:right w:w="0" w:type="dxa"/>
          </w:tblCellMar>
        </w:tblPrEx>
        <w:trPr>
          <w:tblCellSpacing w:w="0" w:type="dxa"/>
          <w:jc w:val="center"/>
        </w:trPr>
        <w:tc>
          <w:tcPr>
            <w:tcW w:w="1361"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2130599 </w:t>
            </w:r>
          </w:p>
        </w:tc>
        <w:tc>
          <w:tcPr>
            <w:tcW w:w="539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其他扶贫支出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5.00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3095"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5.00 </w:t>
            </w:r>
          </w:p>
        </w:tc>
      </w:tr>
      <w:tr>
        <w:tblPrEx>
          <w:tblLayout w:type="fixed"/>
          <w:tblCellMar>
            <w:top w:w="0" w:type="dxa"/>
            <w:left w:w="0" w:type="dxa"/>
            <w:bottom w:w="0" w:type="dxa"/>
            <w:right w:w="0" w:type="dxa"/>
          </w:tblCellMar>
        </w:tblPrEx>
        <w:trPr>
          <w:tblCellSpacing w:w="0" w:type="dxa"/>
          <w:jc w:val="center"/>
        </w:trPr>
        <w:tc>
          <w:tcPr>
            <w:tcW w:w="1361"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222 </w:t>
            </w:r>
          </w:p>
        </w:tc>
        <w:tc>
          <w:tcPr>
            <w:tcW w:w="539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粮油物资储备支出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597.11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3095"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597.11 </w:t>
            </w:r>
          </w:p>
        </w:tc>
      </w:tr>
      <w:tr>
        <w:tblPrEx>
          <w:tblLayout w:type="fixed"/>
          <w:tblCellMar>
            <w:top w:w="0" w:type="dxa"/>
            <w:left w:w="0" w:type="dxa"/>
            <w:bottom w:w="0" w:type="dxa"/>
            <w:right w:w="0" w:type="dxa"/>
          </w:tblCellMar>
        </w:tblPrEx>
        <w:trPr>
          <w:tblCellSpacing w:w="0" w:type="dxa"/>
          <w:jc w:val="center"/>
        </w:trPr>
        <w:tc>
          <w:tcPr>
            <w:tcW w:w="1361"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22201 </w:t>
            </w:r>
          </w:p>
        </w:tc>
        <w:tc>
          <w:tcPr>
            <w:tcW w:w="539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粮油事务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523.92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3095"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523.92 </w:t>
            </w:r>
          </w:p>
        </w:tc>
      </w:tr>
      <w:tr>
        <w:tblPrEx>
          <w:tblLayout w:type="fixed"/>
          <w:tblCellMar>
            <w:top w:w="0" w:type="dxa"/>
            <w:left w:w="0" w:type="dxa"/>
            <w:bottom w:w="0" w:type="dxa"/>
            <w:right w:w="0" w:type="dxa"/>
          </w:tblCellMar>
        </w:tblPrEx>
        <w:trPr>
          <w:tblCellSpacing w:w="0" w:type="dxa"/>
          <w:jc w:val="center"/>
        </w:trPr>
        <w:tc>
          <w:tcPr>
            <w:tcW w:w="1361"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2220115 </w:t>
            </w:r>
          </w:p>
        </w:tc>
        <w:tc>
          <w:tcPr>
            <w:tcW w:w="539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粮食风险基金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231.92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3095"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231.92 </w:t>
            </w:r>
          </w:p>
        </w:tc>
      </w:tr>
      <w:tr>
        <w:tblPrEx>
          <w:tblLayout w:type="fixed"/>
          <w:tblCellMar>
            <w:top w:w="0" w:type="dxa"/>
            <w:left w:w="0" w:type="dxa"/>
            <w:bottom w:w="0" w:type="dxa"/>
            <w:right w:w="0" w:type="dxa"/>
          </w:tblCellMar>
        </w:tblPrEx>
        <w:trPr>
          <w:tblCellSpacing w:w="0" w:type="dxa"/>
          <w:jc w:val="center"/>
        </w:trPr>
        <w:tc>
          <w:tcPr>
            <w:tcW w:w="1361"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2220199 </w:t>
            </w:r>
          </w:p>
        </w:tc>
        <w:tc>
          <w:tcPr>
            <w:tcW w:w="539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其他粮油事务支出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292.00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3095"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292.00 </w:t>
            </w:r>
          </w:p>
        </w:tc>
      </w:tr>
      <w:tr>
        <w:tblPrEx>
          <w:tblLayout w:type="fixed"/>
          <w:tblCellMar>
            <w:top w:w="0" w:type="dxa"/>
            <w:left w:w="0" w:type="dxa"/>
            <w:bottom w:w="0" w:type="dxa"/>
            <w:right w:w="0" w:type="dxa"/>
          </w:tblCellMar>
        </w:tblPrEx>
        <w:trPr>
          <w:tblCellSpacing w:w="0" w:type="dxa"/>
          <w:jc w:val="center"/>
        </w:trPr>
        <w:tc>
          <w:tcPr>
            <w:tcW w:w="1361"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22204 </w:t>
            </w:r>
          </w:p>
        </w:tc>
        <w:tc>
          <w:tcPr>
            <w:tcW w:w="539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粮油储备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56.19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3095"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56.19 </w:t>
            </w:r>
          </w:p>
        </w:tc>
      </w:tr>
      <w:tr>
        <w:tblPrEx>
          <w:tblLayout w:type="fixed"/>
          <w:tblCellMar>
            <w:top w:w="0" w:type="dxa"/>
            <w:left w:w="0" w:type="dxa"/>
            <w:bottom w:w="0" w:type="dxa"/>
            <w:right w:w="0" w:type="dxa"/>
          </w:tblCellMar>
        </w:tblPrEx>
        <w:trPr>
          <w:tblCellSpacing w:w="0" w:type="dxa"/>
          <w:jc w:val="center"/>
        </w:trPr>
        <w:tc>
          <w:tcPr>
            <w:tcW w:w="1361"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2220499 </w:t>
            </w:r>
          </w:p>
        </w:tc>
        <w:tc>
          <w:tcPr>
            <w:tcW w:w="539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其他粮油储备支出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56.19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3095"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56.19 </w:t>
            </w:r>
          </w:p>
        </w:tc>
      </w:tr>
      <w:tr>
        <w:tblPrEx>
          <w:tblLayout w:type="fixed"/>
          <w:tblCellMar>
            <w:top w:w="0" w:type="dxa"/>
            <w:left w:w="0" w:type="dxa"/>
            <w:bottom w:w="0" w:type="dxa"/>
            <w:right w:w="0" w:type="dxa"/>
          </w:tblCellMar>
        </w:tblPrEx>
        <w:trPr>
          <w:tblCellSpacing w:w="0" w:type="dxa"/>
          <w:jc w:val="center"/>
        </w:trPr>
        <w:tc>
          <w:tcPr>
            <w:tcW w:w="1361"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22205 </w:t>
            </w:r>
          </w:p>
        </w:tc>
        <w:tc>
          <w:tcPr>
            <w:tcW w:w="539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重要商品储备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17.00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3095"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17.00 </w:t>
            </w:r>
          </w:p>
        </w:tc>
      </w:tr>
      <w:tr>
        <w:tblPrEx>
          <w:tblLayout w:type="fixed"/>
          <w:tblCellMar>
            <w:top w:w="0" w:type="dxa"/>
            <w:left w:w="0" w:type="dxa"/>
            <w:bottom w:w="0" w:type="dxa"/>
            <w:right w:w="0" w:type="dxa"/>
          </w:tblCellMar>
        </w:tblPrEx>
        <w:trPr>
          <w:tblCellSpacing w:w="0" w:type="dxa"/>
          <w:jc w:val="center"/>
        </w:trPr>
        <w:tc>
          <w:tcPr>
            <w:tcW w:w="1361"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2220503 </w:t>
            </w:r>
          </w:p>
        </w:tc>
        <w:tc>
          <w:tcPr>
            <w:tcW w:w="539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肉类储备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17.00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3095"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17.00 </w:t>
            </w:r>
          </w:p>
        </w:tc>
      </w:tr>
      <w:tr>
        <w:tblPrEx>
          <w:tblLayout w:type="fixed"/>
          <w:tblCellMar>
            <w:top w:w="0" w:type="dxa"/>
            <w:left w:w="0" w:type="dxa"/>
            <w:bottom w:w="0" w:type="dxa"/>
            <w:right w:w="0" w:type="dxa"/>
          </w:tblCellMar>
        </w:tblPrEx>
        <w:trPr>
          <w:tblCellSpacing w:w="0" w:type="dxa"/>
          <w:jc w:val="center"/>
        </w:trPr>
        <w:tc>
          <w:tcPr>
            <w:tcW w:w="16038" w:type="dxa"/>
            <w:gridSpan w:val="7"/>
            <w:vAlign w:val="center"/>
          </w:tcPr>
          <w:p>
            <w:pPr>
              <w:pStyle w:val="6"/>
              <w:rPr>
                <w:sz w:val="22"/>
                <w:szCs w:val="22"/>
              </w:rPr>
            </w:pPr>
            <w:r>
              <w:rPr>
                <w:rFonts w:hint="eastAsia"/>
                <w:sz w:val="22"/>
                <w:szCs w:val="22"/>
              </w:rPr>
              <w:t xml:space="preserve">注：本表反映部门本年度一般公共预算财政拨款支出情况。本表金额转换为万元时，因四舍五入可能存在尾数误差。 </w:t>
            </w:r>
          </w:p>
        </w:tc>
      </w:tr>
    </w:tbl>
    <w:p>
      <w:pPr>
        <w:pStyle w:val="6"/>
        <w:rPr>
          <w:color w:val="000000"/>
        </w:rPr>
      </w:pPr>
    </w:p>
    <w:p>
      <w:pPr>
        <w:spacing w:after="2"/>
        <w:jc w:val="center"/>
        <w:rPr>
          <w:color w:val="000000"/>
          <w:szCs w:val="21"/>
        </w:rPr>
      </w:pPr>
    </w:p>
    <w:p>
      <w:pPr>
        <w:pStyle w:val="6"/>
        <w:rPr>
          <w:color w:val="000000"/>
        </w:rPr>
      </w:pPr>
    </w:p>
    <w:p>
      <w:pPr>
        <w:widowControl/>
        <w:jc w:val="left"/>
        <w:rPr>
          <w:rFonts w:ascii="宋体" w:hAnsi="宋体" w:eastAsia="宋体" w:cs="宋体"/>
          <w:color w:val="000000"/>
          <w:kern w:val="0"/>
          <w:sz w:val="24"/>
          <w:szCs w:val="24"/>
        </w:rPr>
        <w:sectPr>
          <w:pgSz w:w="16838" w:h="11906"/>
          <w:pgMar w:top="1080" w:right="400" w:bottom="1080" w:left="400" w:header="851" w:footer="992" w:gutter="0"/>
          <w:cols w:space="720" w:num="1"/>
          <w:docGrid w:type="lines" w:linePitch="160" w:charSpace="0"/>
        </w:sectPr>
      </w:pPr>
    </w:p>
    <w:p>
      <w:pPr>
        <w:pStyle w:val="6"/>
        <w:spacing w:before="0" w:beforeAutospacing="0" w:after="2" w:afterAutospacing="0"/>
        <w:rPr>
          <w:color w:val="000000"/>
        </w:rPr>
      </w:pPr>
    </w:p>
    <w:tbl>
      <w:tblPr>
        <w:tblStyle w:val="12"/>
        <w:tblW w:w="16038" w:type="dxa"/>
        <w:jc w:val="center"/>
        <w:tblCellSpacing w:w="0" w:type="dxa"/>
        <w:tblInd w:w="0" w:type="dxa"/>
        <w:tblLayout w:type="fixed"/>
        <w:tblCellMar>
          <w:top w:w="0" w:type="dxa"/>
          <w:left w:w="0" w:type="dxa"/>
          <w:bottom w:w="0" w:type="dxa"/>
          <w:right w:w="0" w:type="dxa"/>
        </w:tblCellMar>
      </w:tblPr>
      <w:tblGrid>
        <w:gridCol w:w="761"/>
        <w:gridCol w:w="2989"/>
        <w:gridCol w:w="1527"/>
        <w:gridCol w:w="760"/>
        <w:gridCol w:w="2351"/>
        <w:gridCol w:w="1524"/>
        <w:gridCol w:w="760"/>
        <w:gridCol w:w="3836"/>
        <w:gridCol w:w="1530"/>
      </w:tblGrid>
      <w:tr>
        <w:tblPrEx>
          <w:tblLayout w:type="fixed"/>
          <w:tblCellMar>
            <w:top w:w="0" w:type="dxa"/>
            <w:left w:w="0" w:type="dxa"/>
            <w:bottom w:w="0" w:type="dxa"/>
            <w:right w:w="0" w:type="dxa"/>
          </w:tblCellMar>
        </w:tblPrEx>
        <w:trPr>
          <w:tblCellSpacing w:w="0" w:type="dxa"/>
          <w:jc w:val="center"/>
        </w:trPr>
        <w:tc>
          <w:tcPr>
            <w:tcW w:w="16038" w:type="dxa"/>
            <w:gridSpan w:val="9"/>
            <w:vAlign w:val="center"/>
          </w:tcPr>
          <w:p>
            <w:pPr>
              <w:pStyle w:val="6"/>
              <w:jc w:val="center"/>
              <w:rPr>
                <w:sz w:val="22"/>
                <w:szCs w:val="22"/>
              </w:rPr>
            </w:pPr>
            <w:r>
              <w:rPr>
                <w:rFonts w:hint="eastAsia"/>
                <w:sz w:val="22"/>
                <w:szCs w:val="22"/>
              </w:rPr>
              <w:t xml:space="preserve">一般公共预算财政拨款基本支出决算表 </w:t>
            </w:r>
          </w:p>
        </w:tc>
      </w:tr>
      <w:tr>
        <w:tblPrEx>
          <w:tblLayout w:type="fixed"/>
          <w:tblCellMar>
            <w:top w:w="0" w:type="dxa"/>
            <w:left w:w="0" w:type="dxa"/>
            <w:bottom w:w="0" w:type="dxa"/>
            <w:right w:w="0" w:type="dxa"/>
          </w:tblCellMar>
        </w:tblPrEx>
        <w:trPr>
          <w:tblCellSpacing w:w="0" w:type="dxa"/>
          <w:jc w:val="center"/>
        </w:trPr>
        <w:tc>
          <w:tcPr>
            <w:tcW w:w="761" w:type="dxa"/>
            <w:vAlign w:val="center"/>
          </w:tcPr>
          <w:p>
            <w:pPr>
              <w:pStyle w:val="6"/>
              <w:rPr>
                <w:sz w:val="22"/>
                <w:szCs w:val="22"/>
              </w:rPr>
            </w:pPr>
          </w:p>
        </w:tc>
        <w:tc>
          <w:tcPr>
            <w:tcW w:w="2989" w:type="dxa"/>
            <w:vAlign w:val="center"/>
          </w:tcPr>
          <w:p>
            <w:pPr>
              <w:pStyle w:val="6"/>
              <w:rPr>
                <w:sz w:val="22"/>
                <w:szCs w:val="22"/>
              </w:rPr>
            </w:pPr>
          </w:p>
        </w:tc>
        <w:tc>
          <w:tcPr>
            <w:tcW w:w="1527" w:type="dxa"/>
            <w:vAlign w:val="center"/>
          </w:tcPr>
          <w:p>
            <w:pPr>
              <w:pStyle w:val="6"/>
              <w:rPr>
                <w:sz w:val="22"/>
                <w:szCs w:val="22"/>
              </w:rPr>
            </w:pPr>
          </w:p>
        </w:tc>
        <w:tc>
          <w:tcPr>
            <w:tcW w:w="760" w:type="dxa"/>
            <w:vAlign w:val="center"/>
          </w:tcPr>
          <w:p>
            <w:pPr>
              <w:pStyle w:val="6"/>
              <w:rPr>
                <w:sz w:val="22"/>
                <w:szCs w:val="22"/>
              </w:rPr>
            </w:pPr>
          </w:p>
        </w:tc>
        <w:tc>
          <w:tcPr>
            <w:tcW w:w="2351" w:type="dxa"/>
            <w:vAlign w:val="center"/>
          </w:tcPr>
          <w:p>
            <w:pPr>
              <w:pStyle w:val="6"/>
              <w:rPr>
                <w:sz w:val="22"/>
                <w:szCs w:val="22"/>
              </w:rPr>
            </w:pPr>
          </w:p>
        </w:tc>
        <w:tc>
          <w:tcPr>
            <w:tcW w:w="1524" w:type="dxa"/>
            <w:vAlign w:val="center"/>
          </w:tcPr>
          <w:p>
            <w:pPr>
              <w:pStyle w:val="6"/>
              <w:rPr>
                <w:sz w:val="22"/>
                <w:szCs w:val="22"/>
              </w:rPr>
            </w:pPr>
          </w:p>
        </w:tc>
        <w:tc>
          <w:tcPr>
            <w:tcW w:w="760" w:type="dxa"/>
            <w:vAlign w:val="center"/>
          </w:tcPr>
          <w:p>
            <w:pPr>
              <w:pStyle w:val="6"/>
              <w:rPr>
                <w:sz w:val="22"/>
                <w:szCs w:val="22"/>
              </w:rPr>
            </w:pPr>
          </w:p>
        </w:tc>
        <w:tc>
          <w:tcPr>
            <w:tcW w:w="3836" w:type="dxa"/>
            <w:vAlign w:val="center"/>
          </w:tcPr>
          <w:p>
            <w:pPr>
              <w:pStyle w:val="6"/>
              <w:rPr>
                <w:sz w:val="22"/>
                <w:szCs w:val="22"/>
              </w:rPr>
            </w:pPr>
          </w:p>
        </w:tc>
        <w:tc>
          <w:tcPr>
            <w:tcW w:w="1530" w:type="dxa"/>
            <w:vAlign w:val="center"/>
          </w:tcPr>
          <w:p>
            <w:pPr>
              <w:pStyle w:val="6"/>
              <w:jc w:val="right"/>
              <w:rPr>
                <w:sz w:val="18"/>
                <w:szCs w:val="18"/>
              </w:rPr>
            </w:pPr>
            <w:r>
              <w:rPr>
                <w:rFonts w:hint="eastAsia"/>
                <w:sz w:val="18"/>
                <w:szCs w:val="18"/>
              </w:rPr>
              <w:t xml:space="preserve">公开06表 </w:t>
            </w:r>
          </w:p>
        </w:tc>
      </w:tr>
      <w:tr>
        <w:tblPrEx>
          <w:tblLayout w:type="fixed"/>
          <w:tblCellMar>
            <w:top w:w="0" w:type="dxa"/>
            <w:left w:w="0" w:type="dxa"/>
            <w:bottom w:w="0" w:type="dxa"/>
            <w:right w:w="0" w:type="dxa"/>
          </w:tblCellMar>
        </w:tblPrEx>
        <w:trPr>
          <w:tblCellSpacing w:w="0" w:type="dxa"/>
          <w:jc w:val="center"/>
        </w:trPr>
        <w:tc>
          <w:tcPr>
            <w:tcW w:w="3750" w:type="dxa"/>
            <w:gridSpan w:val="2"/>
            <w:vAlign w:val="center"/>
          </w:tcPr>
          <w:p>
            <w:pPr>
              <w:pStyle w:val="6"/>
              <w:rPr>
                <w:sz w:val="22"/>
                <w:szCs w:val="22"/>
              </w:rPr>
            </w:pPr>
            <w:r>
              <w:rPr>
                <w:rFonts w:hint="eastAsia"/>
                <w:sz w:val="22"/>
                <w:szCs w:val="22"/>
              </w:rPr>
              <w:t xml:space="preserve">部门：浏阳市发展和改革局 </w:t>
            </w:r>
          </w:p>
        </w:tc>
        <w:tc>
          <w:tcPr>
            <w:tcW w:w="1527" w:type="dxa"/>
            <w:vAlign w:val="center"/>
          </w:tcPr>
          <w:p>
            <w:pPr>
              <w:pStyle w:val="6"/>
              <w:rPr>
                <w:sz w:val="22"/>
                <w:szCs w:val="22"/>
              </w:rPr>
            </w:pPr>
          </w:p>
        </w:tc>
        <w:tc>
          <w:tcPr>
            <w:tcW w:w="760" w:type="dxa"/>
            <w:vAlign w:val="center"/>
          </w:tcPr>
          <w:p>
            <w:pPr>
              <w:pStyle w:val="6"/>
              <w:rPr>
                <w:sz w:val="22"/>
                <w:szCs w:val="22"/>
              </w:rPr>
            </w:pPr>
          </w:p>
        </w:tc>
        <w:tc>
          <w:tcPr>
            <w:tcW w:w="2351" w:type="dxa"/>
            <w:vAlign w:val="center"/>
          </w:tcPr>
          <w:p>
            <w:pPr>
              <w:pStyle w:val="6"/>
              <w:rPr>
                <w:sz w:val="22"/>
                <w:szCs w:val="22"/>
              </w:rPr>
            </w:pPr>
          </w:p>
        </w:tc>
        <w:tc>
          <w:tcPr>
            <w:tcW w:w="1524" w:type="dxa"/>
            <w:vAlign w:val="center"/>
          </w:tcPr>
          <w:p>
            <w:pPr>
              <w:pStyle w:val="6"/>
              <w:rPr>
                <w:sz w:val="22"/>
                <w:szCs w:val="22"/>
              </w:rPr>
            </w:pPr>
          </w:p>
        </w:tc>
        <w:tc>
          <w:tcPr>
            <w:tcW w:w="760" w:type="dxa"/>
            <w:vAlign w:val="center"/>
          </w:tcPr>
          <w:p>
            <w:pPr>
              <w:pStyle w:val="6"/>
              <w:rPr>
                <w:sz w:val="22"/>
                <w:szCs w:val="22"/>
              </w:rPr>
            </w:pPr>
          </w:p>
        </w:tc>
        <w:tc>
          <w:tcPr>
            <w:tcW w:w="3836" w:type="dxa"/>
            <w:vAlign w:val="center"/>
          </w:tcPr>
          <w:p>
            <w:pPr>
              <w:pStyle w:val="6"/>
              <w:rPr>
                <w:sz w:val="22"/>
                <w:szCs w:val="22"/>
              </w:rPr>
            </w:pPr>
          </w:p>
        </w:tc>
        <w:tc>
          <w:tcPr>
            <w:tcW w:w="1530" w:type="dxa"/>
            <w:vAlign w:val="center"/>
          </w:tcPr>
          <w:p>
            <w:pPr>
              <w:pStyle w:val="6"/>
              <w:jc w:val="right"/>
              <w:rPr>
                <w:sz w:val="18"/>
                <w:szCs w:val="18"/>
              </w:rPr>
            </w:pPr>
            <w:r>
              <w:rPr>
                <w:rFonts w:hint="eastAsia"/>
                <w:sz w:val="18"/>
                <w:szCs w:val="18"/>
              </w:rPr>
              <w:t xml:space="preserve">金额单位：万元 </w:t>
            </w:r>
          </w:p>
        </w:tc>
      </w:tr>
      <w:tr>
        <w:tblPrEx>
          <w:tblLayout w:type="fixed"/>
          <w:tblCellMar>
            <w:top w:w="0" w:type="dxa"/>
            <w:left w:w="0" w:type="dxa"/>
            <w:bottom w:w="0" w:type="dxa"/>
            <w:right w:w="0" w:type="dxa"/>
          </w:tblCellMar>
        </w:tblPrEx>
        <w:trPr>
          <w:tblCellSpacing w:w="0" w:type="dxa"/>
          <w:jc w:val="center"/>
        </w:trPr>
        <w:tc>
          <w:tcPr>
            <w:tcW w:w="5277" w:type="dxa"/>
            <w:gridSpan w:val="3"/>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人员经费 </w:t>
            </w:r>
          </w:p>
        </w:tc>
        <w:tc>
          <w:tcPr>
            <w:tcW w:w="10761" w:type="dxa"/>
            <w:gridSpan w:val="6"/>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公用经费 </w:t>
            </w:r>
          </w:p>
        </w:tc>
      </w:tr>
      <w:tr>
        <w:tblPrEx>
          <w:tblLayout w:type="fixed"/>
          <w:tblCellMar>
            <w:top w:w="0" w:type="dxa"/>
            <w:left w:w="0" w:type="dxa"/>
            <w:bottom w:w="0" w:type="dxa"/>
            <w:right w:w="0" w:type="dxa"/>
          </w:tblCellMar>
        </w:tblPrEx>
        <w:trPr>
          <w:trHeight w:val="285" w:hRule="atLeast"/>
          <w:tblCellSpacing w:w="0" w:type="dxa"/>
          <w:jc w:val="center"/>
        </w:trPr>
        <w:tc>
          <w:tcPr>
            <w:tcW w:w="761"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科目编码 </w:t>
            </w:r>
          </w:p>
        </w:tc>
        <w:tc>
          <w:tcPr>
            <w:tcW w:w="2989"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科目名称 </w:t>
            </w:r>
          </w:p>
        </w:tc>
        <w:tc>
          <w:tcPr>
            <w:tcW w:w="1527"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决算数 </w:t>
            </w:r>
          </w:p>
        </w:tc>
        <w:tc>
          <w:tcPr>
            <w:tcW w:w="760"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科目编码 </w:t>
            </w:r>
          </w:p>
        </w:tc>
        <w:tc>
          <w:tcPr>
            <w:tcW w:w="2351"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科目名称 </w:t>
            </w:r>
          </w:p>
        </w:tc>
        <w:tc>
          <w:tcPr>
            <w:tcW w:w="1524"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决算数 </w:t>
            </w:r>
          </w:p>
        </w:tc>
        <w:tc>
          <w:tcPr>
            <w:tcW w:w="760"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科目编码 </w:t>
            </w:r>
          </w:p>
        </w:tc>
        <w:tc>
          <w:tcPr>
            <w:tcW w:w="3836"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科目名称 </w:t>
            </w:r>
          </w:p>
        </w:tc>
        <w:tc>
          <w:tcPr>
            <w:tcW w:w="1530"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决算数 </w:t>
            </w:r>
          </w:p>
        </w:tc>
      </w:tr>
      <w:tr>
        <w:tblPrEx>
          <w:tblLayout w:type="fixed"/>
          <w:tblCellMar>
            <w:top w:w="0" w:type="dxa"/>
            <w:left w:w="0" w:type="dxa"/>
            <w:bottom w:w="0" w:type="dxa"/>
            <w:right w:w="0" w:type="dxa"/>
          </w:tblCellMar>
        </w:tblPrEx>
        <w:trPr>
          <w:trHeight w:val="285" w:hRule="atLeast"/>
          <w:tblCellSpacing w:w="0" w:type="dxa"/>
          <w:jc w:val="center"/>
        </w:trPr>
        <w:tc>
          <w:tcPr>
            <w:tcW w:w="761"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2989"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527"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760"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2351"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524"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760"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3836"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530"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Layout w:type="fixed"/>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301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工资福利支出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1,889.03 </w:t>
            </w: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商品和服务支出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80.64 </w:t>
            </w: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307 </w:t>
            </w: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债务利息及费用支出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Layout w:type="fixed"/>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30101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基本工资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333.12 </w:t>
            </w: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30201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办公费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30701 </w:t>
            </w: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国内债务付息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Layout w:type="fixed"/>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30102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津贴补贴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184.68 </w:t>
            </w: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30202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印刷费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30702 </w:t>
            </w: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国外债务付息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Layout w:type="fixed"/>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30103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奖金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745.52 </w:t>
            </w: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30203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咨询费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310 </w:t>
            </w: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资本性支出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Layout w:type="fixed"/>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30106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伙食补助费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30204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手续费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31001 </w:t>
            </w: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房屋建筑物购建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Layout w:type="fixed"/>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30107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绩效工资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216.02 </w:t>
            </w: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30205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水费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31002 </w:t>
            </w: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办公设备购置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Layout w:type="fixed"/>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30108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机关事业单位基本养老保险缴费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141.39 </w:t>
            </w: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30206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电费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31003 </w:t>
            </w: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专用设备购置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Layout w:type="fixed"/>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30109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职业年金缴费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12.15 </w:t>
            </w: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30207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邮电费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31005 </w:t>
            </w: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基础设施建设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Layout w:type="fixed"/>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30110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职工基本医疗保险缴费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58.56 </w:t>
            </w: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30208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取暖费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31006 </w:t>
            </w: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大型修缮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Layout w:type="fixed"/>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30111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公务员医疗补助缴费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27.88 </w:t>
            </w: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30209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物业管理费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31007 </w:t>
            </w: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信息网络及软件购置更新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Layout w:type="fixed"/>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30112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其他社会保障缴费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9.29 </w:t>
            </w: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30211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差旅费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31008 </w:t>
            </w: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物资储备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Layout w:type="fixed"/>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30113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住房公积金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92.19 </w:t>
            </w: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30212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因公出国（境）费用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31009 </w:t>
            </w: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土地补偿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Layout w:type="fixed"/>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30114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医疗费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30213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维修（护）费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31010 </w:t>
            </w: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安置补助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Layout w:type="fixed"/>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30199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其他工资福利支出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68.22 </w:t>
            </w: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30214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租赁费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31011 </w:t>
            </w: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地上附着物和青苗补偿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Layout w:type="fixed"/>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303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对个人和家庭的补助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239.98 </w:t>
            </w: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30215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会议费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31012 </w:t>
            </w: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拆迁补偿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Layout w:type="fixed"/>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30301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离休费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30216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培训费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31013 </w:t>
            </w: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公务用车购置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Layout w:type="fixed"/>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30302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退休费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112.91 </w:t>
            </w: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30217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公务接待费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31019 </w:t>
            </w: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其他交通工具购置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Layout w:type="fixed"/>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30303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退职（役）费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30218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专用材料费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31021 </w:t>
            </w: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文物和陈列品购置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Layout w:type="fixed"/>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30304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抚恤金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114.25 </w:t>
            </w: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30224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被装购置费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31022 </w:t>
            </w: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无形资产购置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Layout w:type="fixed"/>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30305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生活补助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9.92 </w:t>
            </w: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30225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专用燃料费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31099 </w:t>
            </w: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其他资本性支出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Layout w:type="fixed"/>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30306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救济费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30226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劳务费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14.04 </w:t>
            </w: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399 </w:t>
            </w: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其他支出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Layout w:type="fixed"/>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30307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医疗费补助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30227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委托业务费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39906 </w:t>
            </w: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赠与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Layout w:type="fixed"/>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30308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助学金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30228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工会经费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56.39 </w:t>
            </w: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39907 </w:t>
            </w: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国家赔偿费用支出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Layout w:type="fixed"/>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30309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奖励金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2.71 </w:t>
            </w: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30229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福利费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2.50 </w:t>
            </w: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39908 </w:t>
            </w: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对民间非营利组织和群众性自治组织补贴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Layout w:type="fixed"/>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30310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个人农业生产补贴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30231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公务用车运行维护费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39999 </w:t>
            </w: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其他支出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Layout w:type="fixed"/>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30311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代缴社会保险费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30239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其他交通费用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0.50 </w:t>
            </w: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Layout w:type="fixed"/>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30399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其他对个人和家庭的补助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0.18 </w:t>
            </w: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30240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税金及附加费用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Layout w:type="fixed"/>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30299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其他商品和服务支出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7.21 </w:t>
            </w: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Layout w:type="fixed"/>
          <w:tblCellMar>
            <w:top w:w="0" w:type="dxa"/>
            <w:left w:w="0" w:type="dxa"/>
            <w:bottom w:w="0" w:type="dxa"/>
            <w:right w:w="0" w:type="dxa"/>
          </w:tblCellMar>
        </w:tblPrEx>
        <w:trPr>
          <w:tblCellSpacing w:w="0" w:type="dxa"/>
          <w:jc w:val="center"/>
        </w:trPr>
        <w:tc>
          <w:tcPr>
            <w:tcW w:w="3750" w:type="dxa"/>
            <w:gridSpan w:val="2"/>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人员经费合计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2,129.01 </w:t>
            </w:r>
          </w:p>
        </w:tc>
        <w:tc>
          <w:tcPr>
            <w:tcW w:w="9231" w:type="dxa"/>
            <w:gridSpan w:val="5"/>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公用经费合计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80.64 </w:t>
            </w:r>
          </w:p>
        </w:tc>
      </w:tr>
      <w:tr>
        <w:tblPrEx>
          <w:tblLayout w:type="fixed"/>
          <w:tblCellMar>
            <w:top w:w="0" w:type="dxa"/>
            <w:left w:w="0" w:type="dxa"/>
            <w:bottom w:w="0" w:type="dxa"/>
            <w:right w:w="0" w:type="dxa"/>
          </w:tblCellMar>
        </w:tblPrEx>
        <w:trPr>
          <w:tblCellSpacing w:w="0" w:type="dxa"/>
          <w:jc w:val="center"/>
        </w:trPr>
        <w:tc>
          <w:tcPr>
            <w:tcW w:w="16038" w:type="dxa"/>
            <w:gridSpan w:val="9"/>
            <w:vAlign w:val="center"/>
          </w:tcPr>
          <w:p>
            <w:pPr>
              <w:pStyle w:val="6"/>
              <w:rPr>
                <w:sz w:val="22"/>
                <w:szCs w:val="22"/>
              </w:rPr>
            </w:pPr>
            <w:r>
              <w:rPr>
                <w:rFonts w:hint="eastAsia"/>
                <w:sz w:val="22"/>
                <w:szCs w:val="22"/>
              </w:rPr>
              <w:t xml:space="preserve">注：本表反映部门本年度一般公共预算财政拨款基本支出明细情况。本表金额转换为万元时，因四舍五入可能存在尾数误差。 </w:t>
            </w:r>
          </w:p>
        </w:tc>
      </w:tr>
    </w:tbl>
    <w:p>
      <w:pPr>
        <w:pStyle w:val="6"/>
        <w:rPr>
          <w:color w:val="000000"/>
        </w:rPr>
      </w:pPr>
    </w:p>
    <w:p>
      <w:pPr>
        <w:spacing w:after="2"/>
        <w:jc w:val="center"/>
        <w:rPr>
          <w:color w:val="000000"/>
          <w:szCs w:val="21"/>
        </w:rPr>
      </w:pPr>
    </w:p>
    <w:p>
      <w:pPr>
        <w:pStyle w:val="6"/>
        <w:rPr>
          <w:color w:val="000000"/>
        </w:rPr>
      </w:pPr>
    </w:p>
    <w:p>
      <w:pPr>
        <w:widowControl/>
        <w:jc w:val="left"/>
        <w:rPr>
          <w:rFonts w:ascii="宋体" w:hAnsi="宋体" w:eastAsia="宋体" w:cs="宋体"/>
          <w:color w:val="000000"/>
          <w:kern w:val="0"/>
          <w:sz w:val="24"/>
          <w:szCs w:val="24"/>
        </w:rPr>
        <w:sectPr>
          <w:pgSz w:w="16838" w:h="11906"/>
          <w:pgMar w:top="1080" w:right="400" w:bottom="1080" w:left="400" w:header="851" w:footer="992" w:gutter="0"/>
          <w:cols w:space="720" w:num="1"/>
          <w:docGrid w:type="lines" w:linePitch="160" w:charSpace="0"/>
        </w:sectPr>
      </w:pPr>
    </w:p>
    <w:p>
      <w:pPr>
        <w:pStyle w:val="6"/>
        <w:spacing w:before="0" w:beforeAutospacing="0" w:after="2" w:afterAutospacing="0"/>
        <w:rPr>
          <w:color w:val="000000"/>
        </w:rPr>
      </w:pPr>
    </w:p>
    <w:tbl>
      <w:tblPr>
        <w:tblStyle w:val="12"/>
        <w:tblW w:w="16038" w:type="dxa"/>
        <w:jc w:val="center"/>
        <w:tblCellSpacing w:w="0" w:type="dxa"/>
        <w:tblInd w:w="0" w:type="dxa"/>
        <w:tblLayout w:type="fixed"/>
        <w:tblCellMar>
          <w:top w:w="0" w:type="dxa"/>
          <w:left w:w="0" w:type="dxa"/>
          <w:bottom w:w="0" w:type="dxa"/>
          <w:right w:w="0" w:type="dxa"/>
        </w:tblCellMar>
      </w:tblPr>
      <w:tblGrid>
        <w:gridCol w:w="1335"/>
        <w:gridCol w:w="1335"/>
        <w:gridCol w:w="1341"/>
        <w:gridCol w:w="1334"/>
        <w:gridCol w:w="1334"/>
        <w:gridCol w:w="1341"/>
        <w:gridCol w:w="1334"/>
        <w:gridCol w:w="1334"/>
        <w:gridCol w:w="1334"/>
        <w:gridCol w:w="1334"/>
        <w:gridCol w:w="1341"/>
        <w:gridCol w:w="1341"/>
      </w:tblGrid>
      <w:tr>
        <w:tblPrEx>
          <w:tblLayout w:type="fixed"/>
          <w:tblCellMar>
            <w:top w:w="0" w:type="dxa"/>
            <w:left w:w="0" w:type="dxa"/>
            <w:bottom w:w="0" w:type="dxa"/>
            <w:right w:w="0" w:type="dxa"/>
          </w:tblCellMar>
        </w:tblPrEx>
        <w:trPr>
          <w:tblCellSpacing w:w="0" w:type="dxa"/>
          <w:jc w:val="center"/>
        </w:trPr>
        <w:tc>
          <w:tcPr>
            <w:tcW w:w="16038" w:type="dxa"/>
            <w:gridSpan w:val="12"/>
            <w:vAlign w:val="center"/>
          </w:tcPr>
          <w:p>
            <w:pPr>
              <w:pStyle w:val="6"/>
              <w:jc w:val="center"/>
              <w:rPr>
                <w:sz w:val="22"/>
                <w:szCs w:val="22"/>
              </w:rPr>
            </w:pPr>
            <w:r>
              <w:rPr>
                <w:rFonts w:hint="eastAsia"/>
                <w:sz w:val="22"/>
                <w:szCs w:val="22"/>
              </w:rPr>
              <w:t xml:space="preserve">一般公共预算财政拨款“三公”经费支出决算表 </w:t>
            </w:r>
          </w:p>
        </w:tc>
      </w:tr>
      <w:tr>
        <w:tblPrEx>
          <w:tblLayout w:type="fixed"/>
          <w:tblCellMar>
            <w:top w:w="0" w:type="dxa"/>
            <w:left w:w="0" w:type="dxa"/>
            <w:bottom w:w="0" w:type="dxa"/>
            <w:right w:w="0" w:type="dxa"/>
          </w:tblCellMar>
        </w:tblPrEx>
        <w:trPr>
          <w:tblCellSpacing w:w="0" w:type="dxa"/>
          <w:jc w:val="center"/>
        </w:trPr>
        <w:tc>
          <w:tcPr>
            <w:tcW w:w="1335" w:type="dxa"/>
            <w:vAlign w:val="center"/>
          </w:tcPr>
          <w:p>
            <w:pPr>
              <w:pStyle w:val="6"/>
              <w:rPr>
                <w:sz w:val="22"/>
                <w:szCs w:val="22"/>
              </w:rPr>
            </w:pPr>
          </w:p>
        </w:tc>
        <w:tc>
          <w:tcPr>
            <w:tcW w:w="1335" w:type="dxa"/>
            <w:vAlign w:val="center"/>
          </w:tcPr>
          <w:p>
            <w:pPr>
              <w:pStyle w:val="6"/>
              <w:rPr>
                <w:sz w:val="22"/>
                <w:szCs w:val="22"/>
              </w:rPr>
            </w:pPr>
          </w:p>
        </w:tc>
        <w:tc>
          <w:tcPr>
            <w:tcW w:w="1341" w:type="dxa"/>
            <w:vAlign w:val="center"/>
          </w:tcPr>
          <w:p>
            <w:pPr>
              <w:pStyle w:val="6"/>
              <w:rPr>
                <w:sz w:val="22"/>
                <w:szCs w:val="22"/>
              </w:rPr>
            </w:pPr>
          </w:p>
        </w:tc>
        <w:tc>
          <w:tcPr>
            <w:tcW w:w="1334" w:type="dxa"/>
            <w:vAlign w:val="center"/>
          </w:tcPr>
          <w:p>
            <w:pPr>
              <w:pStyle w:val="6"/>
              <w:rPr>
                <w:sz w:val="22"/>
                <w:szCs w:val="22"/>
              </w:rPr>
            </w:pPr>
          </w:p>
        </w:tc>
        <w:tc>
          <w:tcPr>
            <w:tcW w:w="1334" w:type="dxa"/>
            <w:vAlign w:val="center"/>
          </w:tcPr>
          <w:p>
            <w:pPr>
              <w:pStyle w:val="6"/>
              <w:rPr>
                <w:sz w:val="22"/>
                <w:szCs w:val="22"/>
              </w:rPr>
            </w:pPr>
          </w:p>
        </w:tc>
        <w:tc>
          <w:tcPr>
            <w:tcW w:w="1341" w:type="dxa"/>
            <w:vAlign w:val="center"/>
          </w:tcPr>
          <w:p>
            <w:pPr>
              <w:pStyle w:val="6"/>
              <w:rPr>
                <w:sz w:val="22"/>
                <w:szCs w:val="22"/>
              </w:rPr>
            </w:pPr>
          </w:p>
        </w:tc>
        <w:tc>
          <w:tcPr>
            <w:tcW w:w="1334" w:type="dxa"/>
            <w:vAlign w:val="center"/>
          </w:tcPr>
          <w:p>
            <w:pPr>
              <w:pStyle w:val="6"/>
              <w:rPr>
                <w:sz w:val="22"/>
                <w:szCs w:val="22"/>
              </w:rPr>
            </w:pPr>
          </w:p>
        </w:tc>
        <w:tc>
          <w:tcPr>
            <w:tcW w:w="1334" w:type="dxa"/>
            <w:vAlign w:val="center"/>
          </w:tcPr>
          <w:p>
            <w:pPr>
              <w:pStyle w:val="6"/>
              <w:rPr>
                <w:sz w:val="22"/>
                <w:szCs w:val="22"/>
              </w:rPr>
            </w:pPr>
          </w:p>
        </w:tc>
        <w:tc>
          <w:tcPr>
            <w:tcW w:w="1334" w:type="dxa"/>
            <w:vAlign w:val="center"/>
          </w:tcPr>
          <w:p>
            <w:pPr>
              <w:pStyle w:val="6"/>
              <w:rPr>
                <w:sz w:val="22"/>
                <w:szCs w:val="22"/>
              </w:rPr>
            </w:pPr>
          </w:p>
        </w:tc>
        <w:tc>
          <w:tcPr>
            <w:tcW w:w="1334" w:type="dxa"/>
            <w:vAlign w:val="center"/>
          </w:tcPr>
          <w:p>
            <w:pPr>
              <w:pStyle w:val="6"/>
              <w:rPr>
                <w:sz w:val="22"/>
                <w:szCs w:val="22"/>
              </w:rPr>
            </w:pPr>
          </w:p>
        </w:tc>
        <w:tc>
          <w:tcPr>
            <w:tcW w:w="2682" w:type="dxa"/>
            <w:gridSpan w:val="2"/>
            <w:vAlign w:val="center"/>
          </w:tcPr>
          <w:p>
            <w:pPr>
              <w:pStyle w:val="6"/>
              <w:jc w:val="right"/>
              <w:rPr>
                <w:sz w:val="20"/>
                <w:szCs w:val="20"/>
              </w:rPr>
            </w:pPr>
            <w:r>
              <w:rPr>
                <w:rFonts w:hint="eastAsia"/>
                <w:sz w:val="20"/>
                <w:szCs w:val="20"/>
              </w:rPr>
              <w:t xml:space="preserve">公开07表 </w:t>
            </w:r>
          </w:p>
        </w:tc>
      </w:tr>
      <w:tr>
        <w:tblPrEx>
          <w:tblLayout w:type="fixed"/>
          <w:tblCellMar>
            <w:top w:w="0" w:type="dxa"/>
            <w:left w:w="0" w:type="dxa"/>
            <w:bottom w:w="0" w:type="dxa"/>
            <w:right w:w="0" w:type="dxa"/>
          </w:tblCellMar>
        </w:tblPrEx>
        <w:trPr>
          <w:tblCellSpacing w:w="0" w:type="dxa"/>
          <w:jc w:val="center"/>
        </w:trPr>
        <w:tc>
          <w:tcPr>
            <w:tcW w:w="4011" w:type="dxa"/>
            <w:gridSpan w:val="3"/>
            <w:vAlign w:val="center"/>
          </w:tcPr>
          <w:p>
            <w:pPr>
              <w:pStyle w:val="6"/>
              <w:rPr>
                <w:sz w:val="22"/>
                <w:szCs w:val="22"/>
              </w:rPr>
            </w:pPr>
            <w:r>
              <w:rPr>
                <w:rFonts w:hint="eastAsia"/>
                <w:sz w:val="22"/>
                <w:szCs w:val="22"/>
              </w:rPr>
              <w:t xml:space="preserve">部门：浏阳市发展和改革局 </w:t>
            </w:r>
          </w:p>
        </w:tc>
        <w:tc>
          <w:tcPr>
            <w:tcW w:w="1334" w:type="dxa"/>
            <w:vAlign w:val="center"/>
          </w:tcPr>
          <w:p>
            <w:pPr>
              <w:pStyle w:val="6"/>
              <w:rPr>
                <w:sz w:val="22"/>
                <w:szCs w:val="22"/>
              </w:rPr>
            </w:pPr>
          </w:p>
        </w:tc>
        <w:tc>
          <w:tcPr>
            <w:tcW w:w="1334" w:type="dxa"/>
            <w:vAlign w:val="center"/>
          </w:tcPr>
          <w:p>
            <w:pPr>
              <w:pStyle w:val="6"/>
              <w:rPr>
                <w:sz w:val="22"/>
                <w:szCs w:val="22"/>
              </w:rPr>
            </w:pPr>
          </w:p>
        </w:tc>
        <w:tc>
          <w:tcPr>
            <w:tcW w:w="1341" w:type="dxa"/>
            <w:vAlign w:val="center"/>
          </w:tcPr>
          <w:p>
            <w:pPr>
              <w:pStyle w:val="6"/>
              <w:rPr>
                <w:sz w:val="22"/>
                <w:szCs w:val="22"/>
              </w:rPr>
            </w:pPr>
          </w:p>
        </w:tc>
        <w:tc>
          <w:tcPr>
            <w:tcW w:w="1334" w:type="dxa"/>
            <w:vAlign w:val="center"/>
          </w:tcPr>
          <w:p>
            <w:pPr>
              <w:pStyle w:val="6"/>
              <w:rPr>
                <w:sz w:val="22"/>
                <w:szCs w:val="22"/>
              </w:rPr>
            </w:pPr>
          </w:p>
        </w:tc>
        <w:tc>
          <w:tcPr>
            <w:tcW w:w="1334" w:type="dxa"/>
            <w:vAlign w:val="center"/>
          </w:tcPr>
          <w:p>
            <w:pPr>
              <w:pStyle w:val="6"/>
              <w:rPr>
                <w:sz w:val="22"/>
                <w:szCs w:val="22"/>
              </w:rPr>
            </w:pPr>
          </w:p>
        </w:tc>
        <w:tc>
          <w:tcPr>
            <w:tcW w:w="1334" w:type="dxa"/>
            <w:vAlign w:val="center"/>
          </w:tcPr>
          <w:p>
            <w:pPr>
              <w:pStyle w:val="6"/>
              <w:rPr>
                <w:sz w:val="22"/>
                <w:szCs w:val="22"/>
              </w:rPr>
            </w:pPr>
          </w:p>
        </w:tc>
        <w:tc>
          <w:tcPr>
            <w:tcW w:w="1334" w:type="dxa"/>
            <w:vAlign w:val="center"/>
          </w:tcPr>
          <w:p>
            <w:pPr>
              <w:pStyle w:val="6"/>
              <w:rPr>
                <w:sz w:val="22"/>
                <w:szCs w:val="22"/>
              </w:rPr>
            </w:pPr>
          </w:p>
        </w:tc>
        <w:tc>
          <w:tcPr>
            <w:tcW w:w="2682" w:type="dxa"/>
            <w:gridSpan w:val="2"/>
            <w:vAlign w:val="center"/>
          </w:tcPr>
          <w:p>
            <w:pPr>
              <w:pStyle w:val="6"/>
              <w:jc w:val="right"/>
              <w:rPr>
                <w:sz w:val="20"/>
                <w:szCs w:val="20"/>
              </w:rPr>
            </w:pPr>
            <w:r>
              <w:rPr>
                <w:rFonts w:hint="eastAsia"/>
                <w:sz w:val="20"/>
                <w:szCs w:val="20"/>
              </w:rPr>
              <w:t xml:space="preserve">金额单位：万元 </w:t>
            </w:r>
          </w:p>
        </w:tc>
      </w:tr>
      <w:tr>
        <w:tblPrEx>
          <w:tblLayout w:type="fixed"/>
          <w:tblCellMar>
            <w:top w:w="0" w:type="dxa"/>
            <w:left w:w="0" w:type="dxa"/>
            <w:bottom w:w="0" w:type="dxa"/>
            <w:right w:w="0" w:type="dxa"/>
          </w:tblCellMar>
        </w:tblPrEx>
        <w:trPr>
          <w:tblCellSpacing w:w="0" w:type="dxa"/>
          <w:jc w:val="center"/>
        </w:trPr>
        <w:tc>
          <w:tcPr>
            <w:tcW w:w="8020" w:type="dxa"/>
            <w:gridSpan w:val="6"/>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预算数 </w:t>
            </w:r>
          </w:p>
        </w:tc>
        <w:tc>
          <w:tcPr>
            <w:tcW w:w="8018" w:type="dxa"/>
            <w:gridSpan w:val="6"/>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决算数 </w:t>
            </w:r>
          </w:p>
        </w:tc>
      </w:tr>
      <w:tr>
        <w:tblPrEx>
          <w:tblLayout w:type="fixed"/>
          <w:tblCellMar>
            <w:top w:w="0" w:type="dxa"/>
            <w:left w:w="0" w:type="dxa"/>
            <w:bottom w:w="0" w:type="dxa"/>
            <w:right w:w="0" w:type="dxa"/>
          </w:tblCellMar>
        </w:tblPrEx>
        <w:trPr>
          <w:tblCellSpacing w:w="0" w:type="dxa"/>
          <w:jc w:val="center"/>
        </w:trPr>
        <w:tc>
          <w:tcPr>
            <w:tcW w:w="1335"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合计 </w:t>
            </w:r>
          </w:p>
        </w:tc>
        <w:tc>
          <w:tcPr>
            <w:tcW w:w="1335"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因公出国（境）费 </w:t>
            </w:r>
          </w:p>
        </w:tc>
        <w:tc>
          <w:tcPr>
            <w:tcW w:w="4009" w:type="dxa"/>
            <w:gridSpan w:val="3"/>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公务用车购置及运行费 </w:t>
            </w:r>
          </w:p>
        </w:tc>
        <w:tc>
          <w:tcPr>
            <w:tcW w:w="1341"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公务接待费 </w:t>
            </w:r>
          </w:p>
        </w:tc>
        <w:tc>
          <w:tcPr>
            <w:tcW w:w="1334"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合计 </w:t>
            </w:r>
          </w:p>
        </w:tc>
        <w:tc>
          <w:tcPr>
            <w:tcW w:w="1334"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因公出国（境）费 </w:t>
            </w:r>
          </w:p>
        </w:tc>
        <w:tc>
          <w:tcPr>
            <w:tcW w:w="4009" w:type="dxa"/>
            <w:gridSpan w:val="3"/>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公务用车购置及运行费 </w:t>
            </w:r>
          </w:p>
        </w:tc>
        <w:tc>
          <w:tcPr>
            <w:tcW w:w="1341"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公务接待费 </w:t>
            </w:r>
          </w:p>
        </w:tc>
      </w:tr>
      <w:tr>
        <w:tblPrEx>
          <w:tblLayout w:type="fixed"/>
          <w:tblCellMar>
            <w:top w:w="0" w:type="dxa"/>
            <w:left w:w="0" w:type="dxa"/>
            <w:bottom w:w="0" w:type="dxa"/>
            <w:right w:w="0" w:type="dxa"/>
          </w:tblCellMar>
        </w:tblPrEx>
        <w:trPr>
          <w:tblCellSpacing w:w="0" w:type="dxa"/>
          <w:jc w:val="center"/>
        </w:trPr>
        <w:tc>
          <w:tcPr>
            <w:tcW w:w="1335"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335"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341"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小计 </w:t>
            </w:r>
          </w:p>
        </w:tc>
        <w:tc>
          <w:tcPr>
            <w:tcW w:w="1334"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公务用车购置费 </w:t>
            </w:r>
          </w:p>
        </w:tc>
        <w:tc>
          <w:tcPr>
            <w:tcW w:w="1334"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公务用车运行费 </w:t>
            </w:r>
          </w:p>
        </w:tc>
        <w:tc>
          <w:tcPr>
            <w:tcW w:w="1341"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334"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334"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334"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小计 </w:t>
            </w:r>
          </w:p>
        </w:tc>
        <w:tc>
          <w:tcPr>
            <w:tcW w:w="1334"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公务用车购置费 </w:t>
            </w:r>
          </w:p>
        </w:tc>
        <w:tc>
          <w:tcPr>
            <w:tcW w:w="1341"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公务用车运行费 </w:t>
            </w:r>
          </w:p>
        </w:tc>
        <w:tc>
          <w:tcPr>
            <w:tcW w:w="1341"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Layout w:type="fixed"/>
          <w:tblCellMar>
            <w:top w:w="0" w:type="dxa"/>
            <w:left w:w="0" w:type="dxa"/>
            <w:bottom w:w="0" w:type="dxa"/>
            <w:right w:w="0" w:type="dxa"/>
          </w:tblCellMar>
        </w:tblPrEx>
        <w:trPr>
          <w:tblCellSpacing w:w="0" w:type="dxa"/>
          <w:jc w:val="center"/>
        </w:trPr>
        <w:tc>
          <w:tcPr>
            <w:tcW w:w="1335"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 </w:t>
            </w:r>
          </w:p>
        </w:tc>
        <w:tc>
          <w:tcPr>
            <w:tcW w:w="1335"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 </w:t>
            </w:r>
          </w:p>
        </w:tc>
        <w:tc>
          <w:tcPr>
            <w:tcW w:w="1341"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 </w:t>
            </w:r>
          </w:p>
        </w:tc>
        <w:tc>
          <w:tcPr>
            <w:tcW w:w="1334"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 </w:t>
            </w:r>
          </w:p>
        </w:tc>
        <w:tc>
          <w:tcPr>
            <w:tcW w:w="1334"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 </w:t>
            </w:r>
          </w:p>
        </w:tc>
        <w:tc>
          <w:tcPr>
            <w:tcW w:w="1341"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6 </w:t>
            </w:r>
          </w:p>
        </w:tc>
        <w:tc>
          <w:tcPr>
            <w:tcW w:w="1334"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7 </w:t>
            </w:r>
          </w:p>
        </w:tc>
        <w:tc>
          <w:tcPr>
            <w:tcW w:w="1334"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8 </w:t>
            </w:r>
          </w:p>
        </w:tc>
        <w:tc>
          <w:tcPr>
            <w:tcW w:w="1334"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9 </w:t>
            </w:r>
          </w:p>
        </w:tc>
        <w:tc>
          <w:tcPr>
            <w:tcW w:w="1334"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10 </w:t>
            </w:r>
          </w:p>
        </w:tc>
        <w:tc>
          <w:tcPr>
            <w:tcW w:w="1341"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11 </w:t>
            </w:r>
          </w:p>
        </w:tc>
        <w:tc>
          <w:tcPr>
            <w:tcW w:w="1341"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12 </w:t>
            </w:r>
          </w:p>
        </w:tc>
      </w:tr>
      <w:tr>
        <w:tblPrEx>
          <w:tblLayout w:type="fixed"/>
          <w:tblCellMar>
            <w:top w:w="0" w:type="dxa"/>
            <w:left w:w="0" w:type="dxa"/>
            <w:bottom w:w="0" w:type="dxa"/>
            <w:right w:w="0" w:type="dxa"/>
          </w:tblCellMar>
        </w:tblPrEx>
        <w:trPr>
          <w:tblCellSpacing w:w="0" w:type="dxa"/>
          <w:jc w:val="center"/>
        </w:trPr>
        <w:tc>
          <w:tcPr>
            <w:tcW w:w="1335"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53.34 </w:t>
            </w:r>
          </w:p>
        </w:tc>
        <w:tc>
          <w:tcPr>
            <w:tcW w:w="1335"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341"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33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33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341"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53.34 </w:t>
            </w:r>
          </w:p>
        </w:tc>
        <w:tc>
          <w:tcPr>
            <w:tcW w:w="133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4.63 </w:t>
            </w:r>
          </w:p>
        </w:tc>
        <w:tc>
          <w:tcPr>
            <w:tcW w:w="133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33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33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341"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341"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4.63 </w:t>
            </w:r>
          </w:p>
        </w:tc>
      </w:tr>
      <w:tr>
        <w:tblPrEx>
          <w:tblLayout w:type="fixed"/>
          <w:tblCellMar>
            <w:top w:w="0" w:type="dxa"/>
            <w:left w:w="0" w:type="dxa"/>
            <w:bottom w:w="0" w:type="dxa"/>
            <w:right w:w="0" w:type="dxa"/>
          </w:tblCellMar>
        </w:tblPrEx>
        <w:trPr>
          <w:tblCellSpacing w:w="0" w:type="dxa"/>
          <w:jc w:val="center"/>
        </w:trPr>
        <w:tc>
          <w:tcPr>
            <w:tcW w:w="16038" w:type="dxa"/>
            <w:gridSpan w:val="12"/>
            <w:vAlign w:val="center"/>
          </w:tcPr>
          <w:p>
            <w:pPr>
              <w:pStyle w:val="6"/>
              <w:jc w:val="right"/>
              <w:rPr>
                <w:sz w:val="22"/>
                <w:szCs w:val="22"/>
              </w:rPr>
            </w:pPr>
            <w:r>
              <w:rPr>
                <w:rFonts w:hint="eastAsia"/>
                <w:sz w:val="22"/>
                <w:szCs w:val="22"/>
              </w:rPr>
              <w:t xml:space="preserve">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数误差。 </w:t>
            </w:r>
          </w:p>
        </w:tc>
      </w:tr>
    </w:tbl>
    <w:p>
      <w:pPr>
        <w:pStyle w:val="6"/>
        <w:rPr>
          <w:color w:val="000000"/>
        </w:rPr>
      </w:pPr>
    </w:p>
    <w:p>
      <w:pPr>
        <w:spacing w:after="2"/>
        <w:jc w:val="center"/>
        <w:rPr>
          <w:color w:val="000000"/>
          <w:szCs w:val="21"/>
        </w:rPr>
      </w:pPr>
    </w:p>
    <w:p>
      <w:pPr>
        <w:pStyle w:val="6"/>
        <w:rPr>
          <w:color w:val="000000"/>
        </w:rPr>
      </w:pPr>
    </w:p>
    <w:p>
      <w:pPr>
        <w:widowControl/>
        <w:jc w:val="left"/>
        <w:rPr>
          <w:rFonts w:ascii="宋体" w:hAnsi="宋体" w:eastAsia="宋体" w:cs="宋体"/>
          <w:color w:val="000000"/>
          <w:kern w:val="0"/>
          <w:sz w:val="24"/>
          <w:szCs w:val="24"/>
        </w:rPr>
        <w:sectPr>
          <w:pgSz w:w="16838" w:h="11906"/>
          <w:pgMar w:top="1080" w:right="400" w:bottom="1080" w:left="400" w:header="851" w:footer="992" w:gutter="0"/>
          <w:cols w:space="720" w:num="1"/>
          <w:docGrid w:type="lines" w:linePitch="160" w:charSpace="0"/>
        </w:sectPr>
      </w:pPr>
    </w:p>
    <w:p>
      <w:pPr>
        <w:pStyle w:val="6"/>
        <w:spacing w:before="0" w:beforeAutospacing="0" w:after="2" w:afterAutospacing="0"/>
        <w:rPr>
          <w:color w:val="000000"/>
        </w:rPr>
      </w:pPr>
    </w:p>
    <w:tbl>
      <w:tblPr>
        <w:tblStyle w:val="12"/>
        <w:tblW w:w="16038" w:type="dxa"/>
        <w:jc w:val="center"/>
        <w:tblCellSpacing w:w="0" w:type="dxa"/>
        <w:tblInd w:w="0" w:type="dxa"/>
        <w:tblLayout w:type="fixed"/>
        <w:tblCellMar>
          <w:top w:w="0" w:type="dxa"/>
          <w:left w:w="0" w:type="dxa"/>
          <w:bottom w:w="0" w:type="dxa"/>
          <w:right w:w="0" w:type="dxa"/>
        </w:tblCellMar>
      </w:tblPr>
      <w:tblGrid>
        <w:gridCol w:w="446"/>
        <w:gridCol w:w="446"/>
        <w:gridCol w:w="452"/>
        <w:gridCol w:w="3920"/>
        <w:gridCol w:w="1793"/>
        <w:gridCol w:w="1793"/>
        <w:gridCol w:w="1793"/>
        <w:gridCol w:w="1793"/>
        <w:gridCol w:w="1799"/>
        <w:gridCol w:w="1803"/>
      </w:tblGrid>
      <w:tr>
        <w:tblPrEx>
          <w:tblLayout w:type="fixed"/>
          <w:tblCellMar>
            <w:top w:w="0" w:type="dxa"/>
            <w:left w:w="0" w:type="dxa"/>
            <w:bottom w:w="0" w:type="dxa"/>
            <w:right w:w="0" w:type="dxa"/>
          </w:tblCellMar>
        </w:tblPrEx>
        <w:trPr>
          <w:tblCellSpacing w:w="0" w:type="dxa"/>
          <w:jc w:val="center"/>
        </w:trPr>
        <w:tc>
          <w:tcPr>
            <w:tcW w:w="16038" w:type="dxa"/>
            <w:gridSpan w:val="10"/>
            <w:vAlign w:val="center"/>
          </w:tcPr>
          <w:p>
            <w:pPr>
              <w:pStyle w:val="6"/>
              <w:jc w:val="center"/>
              <w:rPr>
                <w:sz w:val="22"/>
                <w:szCs w:val="22"/>
              </w:rPr>
            </w:pPr>
            <w:r>
              <w:rPr>
                <w:rFonts w:hint="eastAsia"/>
                <w:sz w:val="22"/>
                <w:szCs w:val="22"/>
              </w:rPr>
              <w:t xml:space="preserve">政府性基金预算财政拨款收入支出决算表 </w:t>
            </w:r>
          </w:p>
        </w:tc>
      </w:tr>
      <w:tr>
        <w:tblPrEx>
          <w:tblLayout w:type="fixed"/>
          <w:tblCellMar>
            <w:top w:w="0" w:type="dxa"/>
            <w:left w:w="0" w:type="dxa"/>
            <w:bottom w:w="0" w:type="dxa"/>
            <w:right w:w="0" w:type="dxa"/>
          </w:tblCellMar>
        </w:tblPrEx>
        <w:trPr>
          <w:tblCellSpacing w:w="0" w:type="dxa"/>
          <w:jc w:val="center"/>
        </w:trPr>
        <w:tc>
          <w:tcPr>
            <w:tcW w:w="446" w:type="dxa"/>
            <w:vAlign w:val="center"/>
          </w:tcPr>
          <w:p>
            <w:pPr>
              <w:pStyle w:val="6"/>
              <w:rPr>
                <w:sz w:val="22"/>
                <w:szCs w:val="22"/>
              </w:rPr>
            </w:pPr>
          </w:p>
        </w:tc>
        <w:tc>
          <w:tcPr>
            <w:tcW w:w="446" w:type="dxa"/>
            <w:vAlign w:val="center"/>
          </w:tcPr>
          <w:p>
            <w:pPr>
              <w:pStyle w:val="6"/>
              <w:rPr>
                <w:sz w:val="22"/>
                <w:szCs w:val="22"/>
              </w:rPr>
            </w:pPr>
          </w:p>
        </w:tc>
        <w:tc>
          <w:tcPr>
            <w:tcW w:w="452" w:type="dxa"/>
            <w:vAlign w:val="center"/>
          </w:tcPr>
          <w:p>
            <w:pPr>
              <w:pStyle w:val="6"/>
              <w:rPr>
                <w:sz w:val="22"/>
                <w:szCs w:val="22"/>
              </w:rPr>
            </w:pPr>
          </w:p>
        </w:tc>
        <w:tc>
          <w:tcPr>
            <w:tcW w:w="3920" w:type="dxa"/>
            <w:vAlign w:val="center"/>
          </w:tcPr>
          <w:p>
            <w:pPr>
              <w:pStyle w:val="6"/>
              <w:rPr>
                <w:sz w:val="22"/>
                <w:szCs w:val="22"/>
              </w:rPr>
            </w:pPr>
          </w:p>
        </w:tc>
        <w:tc>
          <w:tcPr>
            <w:tcW w:w="1793" w:type="dxa"/>
            <w:vAlign w:val="center"/>
          </w:tcPr>
          <w:p>
            <w:pPr>
              <w:pStyle w:val="6"/>
              <w:rPr>
                <w:sz w:val="22"/>
                <w:szCs w:val="22"/>
              </w:rPr>
            </w:pPr>
          </w:p>
        </w:tc>
        <w:tc>
          <w:tcPr>
            <w:tcW w:w="1793" w:type="dxa"/>
            <w:vAlign w:val="center"/>
          </w:tcPr>
          <w:p>
            <w:pPr>
              <w:pStyle w:val="6"/>
              <w:rPr>
                <w:sz w:val="22"/>
                <w:szCs w:val="22"/>
              </w:rPr>
            </w:pPr>
          </w:p>
        </w:tc>
        <w:tc>
          <w:tcPr>
            <w:tcW w:w="7188" w:type="dxa"/>
            <w:gridSpan w:val="4"/>
            <w:vAlign w:val="center"/>
          </w:tcPr>
          <w:p>
            <w:pPr>
              <w:pStyle w:val="6"/>
              <w:jc w:val="right"/>
              <w:rPr>
                <w:sz w:val="20"/>
                <w:szCs w:val="20"/>
              </w:rPr>
            </w:pPr>
            <w:r>
              <w:rPr>
                <w:rFonts w:hint="eastAsia"/>
                <w:sz w:val="20"/>
                <w:szCs w:val="20"/>
              </w:rPr>
              <w:t xml:space="preserve">公开08表 </w:t>
            </w:r>
          </w:p>
        </w:tc>
      </w:tr>
      <w:tr>
        <w:tblPrEx>
          <w:tblLayout w:type="fixed"/>
          <w:tblCellMar>
            <w:top w:w="0" w:type="dxa"/>
            <w:left w:w="0" w:type="dxa"/>
            <w:bottom w:w="0" w:type="dxa"/>
            <w:right w:w="0" w:type="dxa"/>
          </w:tblCellMar>
        </w:tblPrEx>
        <w:trPr>
          <w:tblCellSpacing w:w="0" w:type="dxa"/>
          <w:jc w:val="center"/>
        </w:trPr>
        <w:tc>
          <w:tcPr>
            <w:tcW w:w="5264" w:type="dxa"/>
            <w:gridSpan w:val="4"/>
            <w:vAlign w:val="center"/>
          </w:tcPr>
          <w:p>
            <w:pPr>
              <w:pStyle w:val="6"/>
              <w:rPr>
                <w:sz w:val="22"/>
                <w:szCs w:val="22"/>
              </w:rPr>
            </w:pPr>
            <w:r>
              <w:rPr>
                <w:rFonts w:hint="eastAsia"/>
                <w:sz w:val="22"/>
                <w:szCs w:val="22"/>
              </w:rPr>
              <w:t xml:space="preserve">部门：浏阳市发展和改革局 </w:t>
            </w:r>
          </w:p>
        </w:tc>
        <w:tc>
          <w:tcPr>
            <w:tcW w:w="1793" w:type="dxa"/>
            <w:vAlign w:val="center"/>
          </w:tcPr>
          <w:p>
            <w:pPr>
              <w:pStyle w:val="6"/>
              <w:rPr>
                <w:sz w:val="22"/>
                <w:szCs w:val="22"/>
              </w:rPr>
            </w:pPr>
          </w:p>
        </w:tc>
        <w:tc>
          <w:tcPr>
            <w:tcW w:w="1793" w:type="dxa"/>
            <w:vAlign w:val="center"/>
          </w:tcPr>
          <w:p>
            <w:pPr>
              <w:pStyle w:val="6"/>
              <w:rPr>
                <w:sz w:val="22"/>
                <w:szCs w:val="22"/>
              </w:rPr>
            </w:pPr>
          </w:p>
        </w:tc>
        <w:tc>
          <w:tcPr>
            <w:tcW w:w="7188" w:type="dxa"/>
            <w:gridSpan w:val="4"/>
            <w:vAlign w:val="center"/>
          </w:tcPr>
          <w:p>
            <w:pPr>
              <w:pStyle w:val="6"/>
              <w:jc w:val="right"/>
              <w:rPr>
                <w:sz w:val="20"/>
                <w:szCs w:val="20"/>
              </w:rPr>
            </w:pPr>
            <w:r>
              <w:rPr>
                <w:rFonts w:hint="eastAsia"/>
                <w:sz w:val="20"/>
                <w:szCs w:val="20"/>
              </w:rPr>
              <w:t xml:space="preserve">金额单位：万元 </w:t>
            </w:r>
          </w:p>
        </w:tc>
      </w:tr>
      <w:tr>
        <w:tblPrEx>
          <w:tblLayout w:type="fixed"/>
          <w:tblCellMar>
            <w:top w:w="0" w:type="dxa"/>
            <w:left w:w="0" w:type="dxa"/>
            <w:bottom w:w="0" w:type="dxa"/>
            <w:right w:w="0" w:type="dxa"/>
          </w:tblCellMar>
        </w:tblPrEx>
        <w:trPr>
          <w:tblCellSpacing w:w="0" w:type="dxa"/>
          <w:jc w:val="center"/>
        </w:trPr>
        <w:tc>
          <w:tcPr>
            <w:tcW w:w="5264" w:type="dxa"/>
            <w:gridSpan w:val="4"/>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项目 </w:t>
            </w:r>
          </w:p>
        </w:tc>
        <w:tc>
          <w:tcPr>
            <w:tcW w:w="1793"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年初结转和结余 </w:t>
            </w:r>
          </w:p>
        </w:tc>
        <w:tc>
          <w:tcPr>
            <w:tcW w:w="1793"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本年收入 </w:t>
            </w:r>
          </w:p>
        </w:tc>
        <w:tc>
          <w:tcPr>
            <w:tcW w:w="5385" w:type="dxa"/>
            <w:gridSpan w:val="3"/>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本年支出 </w:t>
            </w:r>
          </w:p>
        </w:tc>
        <w:tc>
          <w:tcPr>
            <w:tcW w:w="1803"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年末结转和结余 </w:t>
            </w:r>
          </w:p>
        </w:tc>
      </w:tr>
      <w:tr>
        <w:tblPrEx>
          <w:tblLayout w:type="fixed"/>
          <w:tblCellMar>
            <w:top w:w="0" w:type="dxa"/>
            <w:left w:w="0" w:type="dxa"/>
            <w:bottom w:w="0" w:type="dxa"/>
            <w:right w:w="0" w:type="dxa"/>
          </w:tblCellMar>
        </w:tblPrEx>
        <w:trPr>
          <w:trHeight w:val="285" w:hRule="atLeast"/>
          <w:tblCellSpacing w:w="0" w:type="dxa"/>
          <w:jc w:val="center"/>
        </w:trPr>
        <w:tc>
          <w:tcPr>
            <w:tcW w:w="1344" w:type="dxa"/>
            <w:gridSpan w:val="3"/>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功能分类科目编码 </w:t>
            </w:r>
          </w:p>
        </w:tc>
        <w:tc>
          <w:tcPr>
            <w:tcW w:w="3920"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科目名称 </w:t>
            </w:r>
          </w:p>
        </w:tc>
        <w:tc>
          <w:tcPr>
            <w:tcW w:w="179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3"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小计 </w:t>
            </w:r>
          </w:p>
        </w:tc>
        <w:tc>
          <w:tcPr>
            <w:tcW w:w="1793"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基本支出 </w:t>
            </w:r>
          </w:p>
        </w:tc>
        <w:tc>
          <w:tcPr>
            <w:tcW w:w="1799"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项目支出 </w:t>
            </w:r>
          </w:p>
        </w:tc>
        <w:tc>
          <w:tcPr>
            <w:tcW w:w="180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Layout w:type="fixed"/>
          <w:tblCellMar>
            <w:top w:w="0" w:type="dxa"/>
            <w:left w:w="0" w:type="dxa"/>
            <w:bottom w:w="0" w:type="dxa"/>
            <w:right w:w="0" w:type="dxa"/>
          </w:tblCellMar>
        </w:tblPrEx>
        <w:trPr>
          <w:trHeight w:val="285" w:hRule="atLeast"/>
          <w:tblCellSpacing w:w="0" w:type="dxa"/>
          <w:jc w:val="center"/>
        </w:trPr>
        <w:tc>
          <w:tcPr>
            <w:tcW w:w="1344" w:type="dxa"/>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3920"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9"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80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Layout w:type="fixed"/>
          <w:tblCellMar>
            <w:top w:w="0" w:type="dxa"/>
            <w:left w:w="0" w:type="dxa"/>
            <w:bottom w:w="0" w:type="dxa"/>
            <w:right w:w="0" w:type="dxa"/>
          </w:tblCellMar>
        </w:tblPrEx>
        <w:trPr>
          <w:trHeight w:val="285" w:hRule="atLeast"/>
          <w:tblCellSpacing w:w="0" w:type="dxa"/>
          <w:jc w:val="center"/>
        </w:trPr>
        <w:tc>
          <w:tcPr>
            <w:tcW w:w="1344" w:type="dxa"/>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3920"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9"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80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Layout w:type="fixed"/>
          <w:tblCellMar>
            <w:top w:w="0" w:type="dxa"/>
            <w:left w:w="0" w:type="dxa"/>
            <w:bottom w:w="0" w:type="dxa"/>
            <w:right w:w="0" w:type="dxa"/>
          </w:tblCellMar>
        </w:tblPrEx>
        <w:trPr>
          <w:tblCellSpacing w:w="0" w:type="dxa"/>
          <w:jc w:val="center"/>
        </w:trPr>
        <w:tc>
          <w:tcPr>
            <w:tcW w:w="5264" w:type="dxa"/>
            <w:gridSpan w:val="4"/>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栏次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 </w:t>
            </w:r>
          </w:p>
        </w:tc>
        <w:tc>
          <w:tcPr>
            <w:tcW w:w="179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 </w:t>
            </w:r>
          </w:p>
        </w:tc>
        <w:tc>
          <w:tcPr>
            <w:tcW w:w="1803"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6 </w:t>
            </w:r>
          </w:p>
        </w:tc>
      </w:tr>
      <w:tr>
        <w:tblPrEx>
          <w:tblLayout w:type="fixed"/>
          <w:tblCellMar>
            <w:top w:w="0" w:type="dxa"/>
            <w:left w:w="0" w:type="dxa"/>
            <w:bottom w:w="0" w:type="dxa"/>
            <w:right w:w="0" w:type="dxa"/>
          </w:tblCellMar>
        </w:tblPrEx>
        <w:trPr>
          <w:tblCellSpacing w:w="0" w:type="dxa"/>
          <w:jc w:val="center"/>
        </w:trPr>
        <w:tc>
          <w:tcPr>
            <w:tcW w:w="5264" w:type="dxa"/>
            <w:gridSpan w:val="4"/>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合计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p>
        </w:tc>
        <w:tc>
          <w:tcPr>
            <w:tcW w:w="1799" w:type="dxa"/>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p>
        </w:tc>
        <w:tc>
          <w:tcPr>
            <w:tcW w:w="1803" w:type="dxa"/>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p>
        </w:tc>
      </w:tr>
      <w:tr>
        <w:tblPrEx>
          <w:tblLayout w:type="fixed"/>
          <w:tblCellMar>
            <w:top w:w="0" w:type="dxa"/>
            <w:left w:w="0" w:type="dxa"/>
            <w:bottom w:w="0" w:type="dxa"/>
            <w:right w:w="0" w:type="dxa"/>
          </w:tblCellMar>
        </w:tblPrEx>
        <w:trPr>
          <w:tblCellSpacing w:w="0" w:type="dxa"/>
          <w:jc w:val="center"/>
        </w:trPr>
        <w:tc>
          <w:tcPr>
            <w:tcW w:w="16038" w:type="dxa"/>
            <w:gridSpan w:val="10"/>
            <w:vAlign w:val="center"/>
          </w:tcPr>
          <w:p>
            <w:pPr>
              <w:pStyle w:val="6"/>
              <w:rPr>
                <w:sz w:val="22"/>
                <w:szCs w:val="22"/>
              </w:rPr>
            </w:pPr>
            <w:r>
              <w:rPr>
                <w:rFonts w:hint="eastAsia"/>
                <w:sz w:val="22"/>
                <w:szCs w:val="22"/>
              </w:rPr>
              <w:t xml:space="preserve">注：本表反映部门本年度政府性基金预算财政拨款收入、支出及结转和结余情况。本单位没有政府性基金收入，也没有使用政府性基金安排的支出，故本表无数据。 </w:t>
            </w:r>
          </w:p>
        </w:tc>
      </w:tr>
    </w:tbl>
    <w:p>
      <w:pPr>
        <w:pStyle w:val="6"/>
        <w:rPr>
          <w:color w:val="000000"/>
        </w:rPr>
      </w:pPr>
    </w:p>
    <w:p>
      <w:pPr>
        <w:spacing w:after="2"/>
        <w:jc w:val="center"/>
        <w:rPr>
          <w:color w:val="000000"/>
          <w:szCs w:val="21"/>
        </w:rPr>
      </w:pPr>
    </w:p>
    <w:p>
      <w:pPr>
        <w:pStyle w:val="6"/>
        <w:rPr>
          <w:color w:val="000000"/>
        </w:rPr>
      </w:pPr>
    </w:p>
    <w:p>
      <w:pPr>
        <w:widowControl/>
        <w:jc w:val="left"/>
        <w:rPr>
          <w:rFonts w:ascii="宋体" w:hAnsi="宋体" w:eastAsia="宋体" w:cs="宋体"/>
          <w:color w:val="000000"/>
          <w:kern w:val="0"/>
          <w:sz w:val="24"/>
          <w:szCs w:val="24"/>
        </w:rPr>
        <w:sectPr>
          <w:pgSz w:w="16838" w:h="11906"/>
          <w:pgMar w:top="1080" w:right="400" w:bottom="1080" w:left="400" w:header="851" w:footer="992" w:gutter="0"/>
          <w:cols w:space="720" w:num="1"/>
          <w:docGrid w:type="lines" w:linePitch="160" w:charSpace="0"/>
        </w:sectPr>
      </w:pPr>
    </w:p>
    <w:p>
      <w:pPr>
        <w:pStyle w:val="6"/>
        <w:spacing w:before="0" w:beforeAutospacing="0" w:after="2" w:afterAutospacing="0"/>
        <w:rPr>
          <w:color w:val="000000"/>
        </w:rPr>
      </w:pPr>
    </w:p>
    <w:tbl>
      <w:tblPr>
        <w:tblStyle w:val="12"/>
        <w:tblW w:w="16038" w:type="dxa"/>
        <w:jc w:val="center"/>
        <w:tblCellSpacing w:w="0" w:type="dxa"/>
        <w:tblInd w:w="0" w:type="dxa"/>
        <w:tblLayout w:type="fixed"/>
        <w:tblCellMar>
          <w:top w:w="0" w:type="dxa"/>
          <w:left w:w="0" w:type="dxa"/>
          <w:bottom w:w="0" w:type="dxa"/>
          <w:right w:w="0" w:type="dxa"/>
        </w:tblCellMar>
      </w:tblPr>
      <w:tblGrid>
        <w:gridCol w:w="530"/>
        <w:gridCol w:w="529"/>
        <w:gridCol w:w="532"/>
        <w:gridCol w:w="6329"/>
        <w:gridCol w:w="2704"/>
        <w:gridCol w:w="2704"/>
        <w:gridCol w:w="2710"/>
      </w:tblGrid>
      <w:tr>
        <w:tblPrEx>
          <w:tblLayout w:type="fixed"/>
          <w:tblCellMar>
            <w:top w:w="0" w:type="dxa"/>
            <w:left w:w="0" w:type="dxa"/>
            <w:bottom w:w="0" w:type="dxa"/>
            <w:right w:w="0" w:type="dxa"/>
          </w:tblCellMar>
        </w:tblPrEx>
        <w:trPr>
          <w:tblCellSpacing w:w="0" w:type="dxa"/>
          <w:jc w:val="center"/>
        </w:trPr>
        <w:tc>
          <w:tcPr>
            <w:tcW w:w="16038" w:type="dxa"/>
            <w:gridSpan w:val="7"/>
            <w:vAlign w:val="center"/>
          </w:tcPr>
          <w:p>
            <w:pPr>
              <w:pStyle w:val="6"/>
              <w:jc w:val="center"/>
              <w:rPr>
                <w:sz w:val="22"/>
                <w:szCs w:val="22"/>
              </w:rPr>
            </w:pPr>
            <w:r>
              <w:rPr>
                <w:rFonts w:hint="eastAsia"/>
                <w:sz w:val="22"/>
                <w:szCs w:val="22"/>
              </w:rPr>
              <w:t xml:space="preserve">国有资本经营预算财政拨款支出决算表 </w:t>
            </w:r>
          </w:p>
        </w:tc>
      </w:tr>
      <w:tr>
        <w:tblPrEx>
          <w:tblLayout w:type="fixed"/>
          <w:tblCellMar>
            <w:top w:w="0" w:type="dxa"/>
            <w:left w:w="0" w:type="dxa"/>
            <w:bottom w:w="0" w:type="dxa"/>
            <w:right w:w="0" w:type="dxa"/>
          </w:tblCellMar>
        </w:tblPrEx>
        <w:trPr>
          <w:tblCellSpacing w:w="0" w:type="dxa"/>
          <w:jc w:val="center"/>
        </w:trPr>
        <w:tc>
          <w:tcPr>
            <w:tcW w:w="530" w:type="dxa"/>
            <w:vAlign w:val="center"/>
          </w:tcPr>
          <w:p>
            <w:pPr>
              <w:pStyle w:val="6"/>
              <w:rPr>
                <w:sz w:val="22"/>
                <w:szCs w:val="22"/>
              </w:rPr>
            </w:pPr>
          </w:p>
        </w:tc>
        <w:tc>
          <w:tcPr>
            <w:tcW w:w="529" w:type="dxa"/>
            <w:vAlign w:val="center"/>
          </w:tcPr>
          <w:p>
            <w:pPr>
              <w:pStyle w:val="6"/>
              <w:rPr>
                <w:sz w:val="22"/>
                <w:szCs w:val="22"/>
              </w:rPr>
            </w:pPr>
          </w:p>
        </w:tc>
        <w:tc>
          <w:tcPr>
            <w:tcW w:w="532" w:type="dxa"/>
            <w:vAlign w:val="center"/>
          </w:tcPr>
          <w:p>
            <w:pPr>
              <w:pStyle w:val="6"/>
              <w:rPr>
                <w:sz w:val="22"/>
                <w:szCs w:val="22"/>
              </w:rPr>
            </w:pPr>
          </w:p>
        </w:tc>
        <w:tc>
          <w:tcPr>
            <w:tcW w:w="6329" w:type="dxa"/>
            <w:vAlign w:val="center"/>
          </w:tcPr>
          <w:p>
            <w:pPr>
              <w:pStyle w:val="6"/>
              <w:rPr>
                <w:sz w:val="22"/>
                <w:szCs w:val="22"/>
              </w:rPr>
            </w:pPr>
          </w:p>
        </w:tc>
        <w:tc>
          <w:tcPr>
            <w:tcW w:w="2704" w:type="dxa"/>
            <w:vAlign w:val="center"/>
          </w:tcPr>
          <w:p>
            <w:pPr>
              <w:pStyle w:val="6"/>
              <w:rPr>
                <w:sz w:val="22"/>
                <w:szCs w:val="22"/>
              </w:rPr>
            </w:pPr>
          </w:p>
        </w:tc>
        <w:tc>
          <w:tcPr>
            <w:tcW w:w="2704" w:type="dxa"/>
            <w:vAlign w:val="center"/>
          </w:tcPr>
          <w:p>
            <w:pPr>
              <w:pStyle w:val="6"/>
              <w:rPr>
                <w:sz w:val="22"/>
                <w:szCs w:val="22"/>
              </w:rPr>
            </w:pPr>
          </w:p>
        </w:tc>
        <w:tc>
          <w:tcPr>
            <w:tcW w:w="2710" w:type="dxa"/>
            <w:vAlign w:val="center"/>
          </w:tcPr>
          <w:p>
            <w:pPr>
              <w:pStyle w:val="6"/>
              <w:jc w:val="right"/>
              <w:rPr>
                <w:sz w:val="20"/>
                <w:szCs w:val="20"/>
              </w:rPr>
            </w:pPr>
            <w:r>
              <w:rPr>
                <w:rFonts w:hint="eastAsia"/>
                <w:sz w:val="20"/>
                <w:szCs w:val="20"/>
              </w:rPr>
              <w:t xml:space="preserve">公开09表 </w:t>
            </w:r>
          </w:p>
        </w:tc>
      </w:tr>
      <w:tr>
        <w:tblPrEx>
          <w:tblLayout w:type="fixed"/>
          <w:tblCellMar>
            <w:top w:w="0" w:type="dxa"/>
            <w:left w:w="0" w:type="dxa"/>
            <w:bottom w:w="0" w:type="dxa"/>
            <w:right w:w="0" w:type="dxa"/>
          </w:tblCellMar>
        </w:tblPrEx>
        <w:trPr>
          <w:tblCellSpacing w:w="0" w:type="dxa"/>
          <w:jc w:val="center"/>
        </w:trPr>
        <w:tc>
          <w:tcPr>
            <w:tcW w:w="7920" w:type="dxa"/>
            <w:gridSpan w:val="4"/>
            <w:vAlign w:val="center"/>
          </w:tcPr>
          <w:p>
            <w:pPr>
              <w:pStyle w:val="6"/>
              <w:rPr>
                <w:sz w:val="22"/>
                <w:szCs w:val="22"/>
              </w:rPr>
            </w:pPr>
            <w:r>
              <w:rPr>
                <w:rFonts w:hint="eastAsia"/>
                <w:sz w:val="22"/>
                <w:szCs w:val="22"/>
              </w:rPr>
              <w:t xml:space="preserve">部门：浏阳市发展和改革局 </w:t>
            </w:r>
          </w:p>
        </w:tc>
        <w:tc>
          <w:tcPr>
            <w:tcW w:w="2704" w:type="dxa"/>
            <w:vAlign w:val="center"/>
          </w:tcPr>
          <w:p>
            <w:pPr>
              <w:pStyle w:val="6"/>
              <w:rPr>
                <w:sz w:val="22"/>
                <w:szCs w:val="22"/>
              </w:rPr>
            </w:pPr>
          </w:p>
        </w:tc>
        <w:tc>
          <w:tcPr>
            <w:tcW w:w="2704" w:type="dxa"/>
            <w:vAlign w:val="center"/>
          </w:tcPr>
          <w:p>
            <w:pPr>
              <w:pStyle w:val="6"/>
              <w:rPr>
                <w:sz w:val="22"/>
                <w:szCs w:val="22"/>
              </w:rPr>
            </w:pPr>
          </w:p>
        </w:tc>
        <w:tc>
          <w:tcPr>
            <w:tcW w:w="2710" w:type="dxa"/>
            <w:vAlign w:val="center"/>
          </w:tcPr>
          <w:p>
            <w:pPr>
              <w:pStyle w:val="6"/>
              <w:jc w:val="right"/>
              <w:rPr>
                <w:sz w:val="20"/>
                <w:szCs w:val="20"/>
              </w:rPr>
            </w:pPr>
            <w:r>
              <w:rPr>
                <w:rFonts w:hint="eastAsia"/>
                <w:sz w:val="20"/>
                <w:szCs w:val="20"/>
              </w:rPr>
              <w:t xml:space="preserve">金额单位：万元 </w:t>
            </w:r>
          </w:p>
        </w:tc>
      </w:tr>
      <w:tr>
        <w:tblPrEx>
          <w:tblLayout w:type="fixed"/>
          <w:tblCellMar>
            <w:top w:w="0" w:type="dxa"/>
            <w:left w:w="0" w:type="dxa"/>
            <w:bottom w:w="0" w:type="dxa"/>
            <w:right w:w="0" w:type="dxa"/>
          </w:tblCellMar>
        </w:tblPrEx>
        <w:trPr>
          <w:tblCellSpacing w:w="0" w:type="dxa"/>
          <w:jc w:val="center"/>
        </w:trPr>
        <w:tc>
          <w:tcPr>
            <w:tcW w:w="7920" w:type="dxa"/>
            <w:gridSpan w:val="4"/>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项目 </w:t>
            </w:r>
          </w:p>
        </w:tc>
        <w:tc>
          <w:tcPr>
            <w:tcW w:w="8118" w:type="dxa"/>
            <w:gridSpan w:val="3"/>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本年支出 </w:t>
            </w:r>
          </w:p>
        </w:tc>
      </w:tr>
      <w:tr>
        <w:tblPrEx>
          <w:tblLayout w:type="fixed"/>
          <w:tblCellMar>
            <w:top w:w="0" w:type="dxa"/>
            <w:left w:w="0" w:type="dxa"/>
            <w:bottom w:w="0" w:type="dxa"/>
            <w:right w:w="0" w:type="dxa"/>
          </w:tblCellMar>
        </w:tblPrEx>
        <w:trPr>
          <w:trHeight w:val="285" w:hRule="atLeast"/>
          <w:tblCellSpacing w:w="0" w:type="dxa"/>
          <w:jc w:val="center"/>
        </w:trPr>
        <w:tc>
          <w:tcPr>
            <w:tcW w:w="1591" w:type="dxa"/>
            <w:gridSpan w:val="3"/>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功能分类科目编码 </w:t>
            </w:r>
          </w:p>
        </w:tc>
        <w:tc>
          <w:tcPr>
            <w:tcW w:w="6329"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科目名称 </w:t>
            </w:r>
          </w:p>
        </w:tc>
        <w:tc>
          <w:tcPr>
            <w:tcW w:w="2704"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合计 </w:t>
            </w:r>
          </w:p>
        </w:tc>
        <w:tc>
          <w:tcPr>
            <w:tcW w:w="2704"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基本支出 </w:t>
            </w:r>
          </w:p>
        </w:tc>
        <w:tc>
          <w:tcPr>
            <w:tcW w:w="2710"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项目支出 </w:t>
            </w:r>
          </w:p>
        </w:tc>
      </w:tr>
      <w:tr>
        <w:tblPrEx>
          <w:tblLayout w:type="fixed"/>
          <w:tblCellMar>
            <w:top w:w="0" w:type="dxa"/>
            <w:left w:w="0" w:type="dxa"/>
            <w:bottom w:w="0" w:type="dxa"/>
            <w:right w:w="0" w:type="dxa"/>
          </w:tblCellMar>
        </w:tblPrEx>
        <w:trPr>
          <w:trHeight w:val="285" w:hRule="atLeast"/>
          <w:tblCellSpacing w:w="0" w:type="dxa"/>
          <w:jc w:val="center"/>
        </w:trPr>
        <w:tc>
          <w:tcPr>
            <w:tcW w:w="1591" w:type="dxa"/>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6329"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2704"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2704"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2710"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Layout w:type="fixed"/>
          <w:tblCellMar>
            <w:top w:w="0" w:type="dxa"/>
            <w:left w:w="0" w:type="dxa"/>
            <w:bottom w:w="0" w:type="dxa"/>
            <w:right w:w="0" w:type="dxa"/>
          </w:tblCellMar>
        </w:tblPrEx>
        <w:trPr>
          <w:trHeight w:val="285" w:hRule="atLeast"/>
          <w:tblCellSpacing w:w="0" w:type="dxa"/>
          <w:jc w:val="center"/>
        </w:trPr>
        <w:tc>
          <w:tcPr>
            <w:tcW w:w="1591" w:type="dxa"/>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6329"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2704"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2704"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2710"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Layout w:type="fixed"/>
          <w:tblCellMar>
            <w:top w:w="0" w:type="dxa"/>
            <w:left w:w="0" w:type="dxa"/>
            <w:bottom w:w="0" w:type="dxa"/>
            <w:right w:w="0" w:type="dxa"/>
          </w:tblCellMar>
        </w:tblPrEx>
        <w:trPr>
          <w:tblCellSpacing w:w="0" w:type="dxa"/>
          <w:jc w:val="center"/>
        </w:trPr>
        <w:tc>
          <w:tcPr>
            <w:tcW w:w="7920" w:type="dxa"/>
            <w:gridSpan w:val="4"/>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栏次 </w:t>
            </w:r>
          </w:p>
        </w:tc>
        <w:tc>
          <w:tcPr>
            <w:tcW w:w="2704"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 </w:t>
            </w:r>
          </w:p>
        </w:tc>
        <w:tc>
          <w:tcPr>
            <w:tcW w:w="2704"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 </w:t>
            </w:r>
          </w:p>
        </w:tc>
        <w:tc>
          <w:tcPr>
            <w:tcW w:w="2710"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 </w:t>
            </w:r>
          </w:p>
        </w:tc>
      </w:tr>
      <w:tr>
        <w:tblPrEx>
          <w:tblLayout w:type="fixed"/>
          <w:tblCellMar>
            <w:top w:w="0" w:type="dxa"/>
            <w:left w:w="0" w:type="dxa"/>
            <w:bottom w:w="0" w:type="dxa"/>
            <w:right w:w="0" w:type="dxa"/>
          </w:tblCellMar>
        </w:tblPrEx>
        <w:trPr>
          <w:tblCellSpacing w:w="0" w:type="dxa"/>
          <w:jc w:val="center"/>
        </w:trPr>
        <w:tc>
          <w:tcPr>
            <w:tcW w:w="7920" w:type="dxa"/>
            <w:gridSpan w:val="4"/>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合计 </w:t>
            </w:r>
          </w:p>
        </w:tc>
        <w:tc>
          <w:tcPr>
            <w:tcW w:w="2704" w:type="dxa"/>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p>
        </w:tc>
        <w:tc>
          <w:tcPr>
            <w:tcW w:w="2704" w:type="dxa"/>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p>
        </w:tc>
        <w:tc>
          <w:tcPr>
            <w:tcW w:w="2710" w:type="dxa"/>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p>
        </w:tc>
      </w:tr>
      <w:tr>
        <w:tblPrEx>
          <w:tblLayout w:type="fixed"/>
          <w:tblCellMar>
            <w:top w:w="0" w:type="dxa"/>
            <w:left w:w="0" w:type="dxa"/>
            <w:bottom w:w="0" w:type="dxa"/>
            <w:right w:w="0" w:type="dxa"/>
          </w:tblCellMar>
        </w:tblPrEx>
        <w:trPr>
          <w:tblCellSpacing w:w="0" w:type="dxa"/>
          <w:jc w:val="center"/>
        </w:trPr>
        <w:tc>
          <w:tcPr>
            <w:tcW w:w="16038" w:type="dxa"/>
            <w:gridSpan w:val="7"/>
            <w:vAlign w:val="center"/>
          </w:tcPr>
          <w:p>
            <w:pPr>
              <w:pStyle w:val="6"/>
              <w:rPr>
                <w:sz w:val="22"/>
                <w:szCs w:val="22"/>
              </w:rPr>
            </w:pPr>
            <w:r>
              <w:rPr>
                <w:rFonts w:hint="eastAsia"/>
                <w:sz w:val="22"/>
                <w:szCs w:val="22"/>
              </w:rPr>
              <w:t xml:space="preserve">注：本表反映部门本年度国有资本经营预算财政拨款支出情况。本单位没有国有资本经营预算财政拨款收入，也没有使用国有资本经营预算财政拨款安排的支出，故本表无数据。 </w:t>
            </w:r>
          </w:p>
        </w:tc>
      </w:tr>
    </w:tbl>
    <w:p>
      <w:pPr>
        <w:pStyle w:val="6"/>
        <w:rPr>
          <w:color w:val="000000"/>
        </w:rPr>
      </w:pPr>
    </w:p>
    <w:p>
      <w:pPr>
        <w:widowControl/>
        <w:jc w:val="left"/>
        <w:rPr>
          <w:rFonts w:ascii="宋体" w:hAnsi="宋体" w:eastAsia="宋体" w:cs="宋体"/>
          <w:color w:val="000000"/>
          <w:kern w:val="0"/>
          <w:sz w:val="24"/>
          <w:szCs w:val="24"/>
        </w:rPr>
        <w:sectPr>
          <w:pgSz w:w="16838" w:h="11906"/>
          <w:pgMar w:top="1080" w:right="400" w:bottom="1080" w:left="400" w:header="851" w:footer="992" w:gutter="0"/>
          <w:cols w:space="720" w:num="1"/>
          <w:docGrid w:type="lines" w:linePitch="160" w:charSpace="0"/>
        </w:sectPr>
      </w:pPr>
    </w:p>
    <w:p>
      <w:pPr>
        <w:spacing w:after="2"/>
        <w:jc w:val="center"/>
        <w:rPr>
          <w:color w:val="000000"/>
          <w:szCs w:val="21"/>
        </w:rPr>
      </w:pPr>
      <w:r>
        <w:rPr>
          <w:rFonts w:hint="eastAsia" w:ascii="宋体" w:hAnsi="宋体" w:eastAsia="宋体"/>
          <w:b/>
          <w:bCs/>
          <w:color w:val="000000"/>
          <w:sz w:val="36"/>
          <w:szCs w:val="36"/>
        </w:rPr>
        <w:t>第三部分 2020年度部门决算情况说明</w:t>
      </w:r>
      <w:r>
        <w:rPr>
          <w:rFonts w:hint="eastAsia"/>
          <w:color w:val="000000"/>
          <w:szCs w:val="21"/>
        </w:rPr>
        <w:t xml:space="preserve"> </w:t>
      </w:r>
    </w:p>
    <w:p>
      <w:pPr>
        <w:rPr>
          <w:color w:val="000000"/>
        </w:rPr>
      </w:pPr>
    </w:p>
    <w:p>
      <w:pPr>
        <w:pStyle w:val="13"/>
        <w:spacing w:after="2"/>
        <w:ind w:firstLine="641"/>
        <w:rPr>
          <w:color w:val="000000"/>
          <w:sz w:val="27"/>
          <w:szCs w:val="27"/>
        </w:rPr>
      </w:pPr>
      <w:r>
        <w:rPr>
          <w:rFonts w:hint="eastAsia" w:ascii="宋体" w:hAnsi="宋体" w:eastAsia="宋体"/>
          <w:b/>
          <w:bCs/>
          <w:color w:val="000000"/>
          <w:sz w:val="32"/>
          <w:szCs w:val="32"/>
        </w:rPr>
        <w:t>一、收入支出决算总体情况说明</w:t>
      </w:r>
      <w:r>
        <w:rPr>
          <w:rFonts w:hint="eastAsia"/>
          <w:color w:val="000000"/>
          <w:sz w:val="27"/>
          <w:szCs w:val="27"/>
        </w:rPr>
        <w:t xml:space="preserve"> </w:t>
      </w:r>
    </w:p>
    <w:p>
      <w:pPr>
        <w:pStyle w:val="13"/>
        <w:spacing w:after="2"/>
        <w:ind w:firstLine="641"/>
        <w:rPr>
          <w:color w:val="000000"/>
          <w:sz w:val="27"/>
          <w:szCs w:val="27"/>
        </w:rPr>
      </w:pPr>
      <w:r>
        <w:rPr>
          <w:rFonts w:hint="eastAsia" w:ascii="宋体" w:hAnsi="宋体" w:eastAsia="宋体"/>
          <w:color w:val="000000"/>
          <w:sz w:val="32"/>
          <w:szCs w:val="32"/>
        </w:rPr>
        <w:t>2020年度收、支总计5,106.42万元。与上一年度相比，收、支总计各增加2,288.26万元，增长81.2%。主要是因为</w:t>
      </w:r>
      <w:r>
        <w:rPr>
          <w:rStyle w:val="15"/>
          <w:rFonts w:hint="eastAsia" w:ascii="宋体" w:hAnsi="宋体" w:eastAsia="宋体"/>
          <w:color w:val="000000"/>
          <w:sz w:val="32"/>
          <w:szCs w:val="32"/>
        </w:rPr>
        <w:t>2020年粮储中心并入我局，人员经费、项目支出增加</w:t>
      </w:r>
      <w:r>
        <w:rPr>
          <w:rFonts w:hint="eastAsia" w:ascii="宋体" w:hAnsi="宋体" w:eastAsia="宋体"/>
          <w:color w:val="000000"/>
          <w:sz w:val="32"/>
          <w:szCs w:val="32"/>
        </w:rPr>
        <w:t>。</w:t>
      </w:r>
      <w:r>
        <w:rPr>
          <w:rFonts w:hint="eastAsia"/>
          <w:color w:val="000000"/>
          <w:sz w:val="27"/>
          <w:szCs w:val="27"/>
        </w:rPr>
        <w:t xml:space="preserve"> </w:t>
      </w:r>
    </w:p>
    <w:p>
      <w:pPr>
        <w:pStyle w:val="13"/>
        <w:spacing w:after="2"/>
        <w:ind w:firstLine="641"/>
        <w:rPr>
          <w:color w:val="000000"/>
          <w:sz w:val="27"/>
          <w:szCs w:val="27"/>
        </w:rPr>
      </w:pPr>
      <w:r>
        <w:rPr>
          <w:rFonts w:hint="eastAsia" w:ascii="宋体" w:hAnsi="宋体" w:eastAsia="宋体"/>
          <w:b/>
          <w:bCs/>
          <w:color w:val="000000"/>
          <w:sz w:val="32"/>
          <w:szCs w:val="32"/>
        </w:rPr>
        <w:t>二、收入决算情况说明</w:t>
      </w:r>
      <w:r>
        <w:rPr>
          <w:rFonts w:hint="eastAsia"/>
          <w:color w:val="000000"/>
          <w:sz w:val="27"/>
          <w:szCs w:val="27"/>
        </w:rPr>
        <w:t xml:space="preserve"> </w:t>
      </w:r>
    </w:p>
    <w:p>
      <w:pPr>
        <w:pStyle w:val="13"/>
        <w:spacing w:after="2"/>
        <w:ind w:firstLine="640"/>
        <w:rPr>
          <w:color w:val="000000"/>
          <w:sz w:val="27"/>
          <w:szCs w:val="27"/>
        </w:rPr>
      </w:pPr>
      <w:r>
        <w:rPr>
          <w:rFonts w:hint="eastAsia" w:ascii="宋体" w:hAnsi="宋体" w:eastAsia="宋体"/>
          <w:color w:val="000000"/>
          <w:sz w:val="32"/>
          <w:szCs w:val="32"/>
        </w:rPr>
        <w:t>2020年度收入合计5,106.42万元，其中：财政拨款收入4,222.28万元，占82.69%；上级补助收入0万元，占0%；事业收入0万元，占0%；经营收入0万元，占0%；附属单位上缴收入0万元，占0%；其他收入884.13万元，占17.31%。</w:t>
      </w:r>
      <w:r>
        <w:rPr>
          <w:rFonts w:hint="eastAsia"/>
          <w:color w:val="000000"/>
          <w:sz w:val="27"/>
          <w:szCs w:val="27"/>
        </w:rPr>
        <w:t xml:space="preserve"> </w:t>
      </w:r>
    </w:p>
    <w:p>
      <w:pPr>
        <w:pStyle w:val="13"/>
        <w:spacing w:after="2"/>
        <w:ind w:firstLine="641"/>
        <w:rPr>
          <w:color w:val="000000"/>
          <w:sz w:val="27"/>
          <w:szCs w:val="27"/>
        </w:rPr>
      </w:pPr>
      <w:r>
        <w:rPr>
          <w:rFonts w:hint="eastAsia" w:ascii="宋体" w:hAnsi="宋体" w:eastAsia="宋体"/>
          <w:b/>
          <w:bCs/>
          <w:color w:val="000000"/>
          <w:sz w:val="32"/>
          <w:szCs w:val="32"/>
        </w:rPr>
        <w:t>三、支出决算情况说明</w:t>
      </w:r>
      <w:r>
        <w:rPr>
          <w:rFonts w:hint="eastAsia"/>
          <w:color w:val="000000"/>
          <w:sz w:val="27"/>
          <w:szCs w:val="27"/>
        </w:rPr>
        <w:t xml:space="preserve"> </w:t>
      </w:r>
    </w:p>
    <w:p>
      <w:pPr>
        <w:pStyle w:val="13"/>
        <w:spacing w:after="2"/>
        <w:ind w:firstLine="640"/>
        <w:rPr>
          <w:color w:val="000000"/>
          <w:sz w:val="27"/>
          <w:szCs w:val="27"/>
        </w:rPr>
      </w:pPr>
      <w:r>
        <w:rPr>
          <w:rFonts w:hint="eastAsia" w:ascii="宋体" w:hAnsi="宋体" w:eastAsia="宋体"/>
          <w:color w:val="000000"/>
          <w:sz w:val="32"/>
          <w:szCs w:val="32"/>
        </w:rPr>
        <w:t>2020年度支出合计5,106.42万元，其中：基本支出2,209.65万元，占43.27%；项目支出2,896.77万元，占56.73%；上缴上级支出0万元，占0%；经营支出0万元，占0%；对附属单位补助支出0万元，占0%。</w:t>
      </w:r>
      <w:r>
        <w:rPr>
          <w:rFonts w:hint="eastAsia"/>
          <w:color w:val="000000"/>
          <w:sz w:val="27"/>
          <w:szCs w:val="27"/>
        </w:rPr>
        <w:t xml:space="preserve"> </w:t>
      </w:r>
    </w:p>
    <w:p>
      <w:pPr>
        <w:pStyle w:val="13"/>
        <w:spacing w:after="2"/>
        <w:ind w:firstLine="641"/>
        <w:rPr>
          <w:color w:val="000000"/>
          <w:sz w:val="27"/>
          <w:szCs w:val="27"/>
        </w:rPr>
      </w:pPr>
      <w:r>
        <w:rPr>
          <w:rFonts w:hint="eastAsia" w:ascii="宋体" w:hAnsi="宋体" w:eastAsia="宋体"/>
          <w:b/>
          <w:bCs/>
          <w:color w:val="000000"/>
          <w:sz w:val="32"/>
          <w:szCs w:val="32"/>
        </w:rPr>
        <w:t>四、财政拨款收入支出决算总体情况说明</w:t>
      </w:r>
      <w:r>
        <w:rPr>
          <w:rFonts w:hint="eastAsia"/>
          <w:color w:val="000000"/>
          <w:sz w:val="27"/>
          <w:szCs w:val="27"/>
        </w:rPr>
        <w:t xml:space="preserve"> </w:t>
      </w:r>
    </w:p>
    <w:p>
      <w:pPr>
        <w:pStyle w:val="13"/>
        <w:spacing w:after="2"/>
        <w:ind w:firstLine="640"/>
        <w:rPr>
          <w:color w:val="000000"/>
          <w:sz w:val="27"/>
          <w:szCs w:val="27"/>
        </w:rPr>
      </w:pPr>
      <w:r>
        <w:rPr>
          <w:rFonts w:hint="eastAsia" w:ascii="宋体" w:hAnsi="宋体" w:eastAsia="宋体"/>
          <w:color w:val="000000"/>
          <w:sz w:val="32"/>
          <w:szCs w:val="32"/>
        </w:rPr>
        <w:t>2020年度财政拨款收、支总计4,222.28万元。与上一年度相比，财政拨款收、支总计各增加1,783.79万元，增长73.15%。主要是因为</w:t>
      </w:r>
      <w:r>
        <w:rPr>
          <w:rStyle w:val="15"/>
          <w:rFonts w:hint="eastAsia" w:ascii="宋体" w:hAnsi="宋体" w:eastAsia="宋体"/>
          <w:color w:val="000000"/>
          <w:sz w:val="32"/>
          <w:szCs w:val="32"/>
        </w:rPr>
        <w:t>2020年粮储中心并入我局，人员经费、项目支出增加</w:t>
      </w:r>
      <w:r>
        <w:rPr>
          <w:rFonts w:hint="eastAsia" w:ascii="宋体" w:hAnsi="宋体" w:eastAsia="宋体"/>
          <w:color w:val="000000"/>
          <w:sz w:val="32"/>
          <w:szCs w:val="32"/>
        </w:rPr>
        <w:t>。</w:t>
      </w:r>
      <w:r>
        <w:rPr>
          <w:rFonts w:hint="eastAsia"/>
          <w:color w:val="000000"/>
          <w:sz w:val="27"/>
          <w:szCs w:val="27"/>
        </w:rPr>
        <w:t xml:space="preserve"> </w:t>
      </w:r>
    </w:p>
    <w:p>
      <w:pPr>
        <w:pStyle w:val="13"/>
        <w:spacing w:after="2"/>
        <w:ind w:firstLine="641"/>
        <w:rPr>
          <w:color w:val="000000"/>
          <w:sz w:val="27"/>
          <w:szCs w:val="27"/>
        </w:rPr>
      </w:pPr>
      <w:r>
        <w:rPr>
          <w:rFonts w:hint="eastAsia" w:ascii="宋体" w:hAnsi="宋体" w:eastAsia="宋体"/>
          <w:b/>
          <w:bCs/>
          <w:color w:val="000000"/>
          <w:sz w:val="32"/>
          <w:szCs w:val="32"/>
        </w:rPr>
        <w:t>五、一般公共预算财政拨款支出决算情况说明</w:t>
      </w:r>
      <w:r>
        <w:rPr>
          <w:rFonts w:hint="eastAsia"/>
          <w:color w:val="000000"/>
          <w:sz w:val="27"/>
          <w:szCs w:val="27"/>
        </w:rPr>
        <w:t xml:space="preserve"> </w:t>
      </w:r>
    </w:p>
    <w:p>
      <w:pPr>
        <w:pStyle w:val="13"/>
        <w:spacing w:after="2"/>
        <w:ind w:firstLine="641"/>
        <w:rPr>
          <w:color w:val="000000"/>
          <w:sz w:val="27"/>
          <w:szCs w:val="27"/>
        </w:rPr>
      </w:pPr>
      <w:r>
        <w:rPr>
          <w:rFonts w:hint="eastAsia" w:ascii="宋体" w:hAnsi="宋体" w:eastAsia="宋体"/>
          <w:b/>
          <w:bCs/>
          <w:color w:val="000000"/>
          <w:sz w:val="32"/>
          <w:szCs w:val="32"/>
        </w:rPr>
        <w:t>（一）财政拨款支出决算总体情况</w:t>
      </w:r>
      <w:r>
        <w:rPr>
          <w:rFonts w:hint="eastAsia"/>
          <w:color w:val="000000"/>
          <w:sz w:val="27"/>
          <w:szCs w:val="27"/>
        </w:rPr>
        <w:t xml:space="preserve"> </w:t>
      </w:r>
    </w:p>
    <w:p>
      <w:pPr>
        <w:pStyle w:val="13"/>
        <w:spacing w:after="2"/>
        <w:ind w:firstLine="855"/>
        <w:rPr>
          <w:color w:val="000000"/>
          <w:sz w:val="27"/>
          <w:szCs w:val="27"/>
        </w:rPr>
      </w:pPr>
      <w:r>
        <w:rPr>
          <w:rFonts w:hint="eastAsia" w:ascii="宋体" w:hAnsi="宋体" w:eastAsia="宋体"/>
          <w:color w:val="000000"/>
          <w:sz w:val="32"/>
          <w:szCs w:val="32"/>
        </w:rPr>
        <w:t>2020年度财政拨款支出4,222.28万元，占本年支出合计的82.69%。与上一年度相比，财政拨款支出增加1,783.79万元，增长73.15%。主要是因为</w:t>
      </w:r>
      <w:r>
        <w:rPr>
          <w:rStyle w:val="15"/>
          <w:rFonts w:hint="eastAsia" w:ascii="宋体" w:hAnsi="宋体" w:eastAsia="宋体"/>
          <w:color w:val="000000"/>
          <w:sz w:val="32"/>
          <w:szCs w:val="32"/>
        </w:rPr>
        <w:t>2020年粮储中心并入我局，人员经费、项目支出增加</w:t>
      </w:r>
      <w:r>
        <w:rPr>
          <w:rFonts w:hint="eastAsia" w:ascii="宋体" w:hAnsi="宋体" w:eastAsia="宋体"/>
          <w:color w:val="000000"/>
          <w:sz w:val="32"/>
          <w:szCs w:val="32"/>
        </w:rPr>
        <w:t>。</w:t>
      </w:r>
      <w:r>
        <w:rPr>
          <w:rFonts w:hint="eastAsia"/>
          <w:color w:val="000000"/>
          <w:sz w:val="27"/>
          <w:szCs w:val="27"/>
        </w:rPr>
        <w:t xml:space="preserve"> </w:t>
      </w:r>
    </w:p>
    <w:p>
      <w:pPr>
        <w:pStyle w:val="13"/>
        <w:spacing w:after="2"/>
        <w:ind w:firstLine="641"/>
        <w:rPr>
          <w:color w:val="000000"/>
          <w:sz w:val="27"/>
          <w:szCs w:val="27"/>
        </w:rPr>
      </w:pPr>
      <w:r>
        <w:rPr>
          <w:rFonts w:hint="eastAsia" w:ascii="宋体" w:hAnsi="宋体" w:eastAsia="宋体"/>
          <w:b/>
          <w:bCs/>
          <w:color w:val="000000"/>
          <w:sz w:val="32"/>
          <w:szCs w:val="32"/>
        </w:rPr>
        <w:t>（二）财政拨款支出决算结构情况</w:t>
      </w:r>
      <w:r>
        <w:rPr>
          <w:rFonts w:hint="eastAsia"/>
          <w:color w:val="000000"/>
          <w:sz w:val="27"/>
          <w:szCs w:val="27"/>
        </w:rPr>
        <w:t xml:space="preserve"> </w:t>
      </w:r>
    </w:p>
    <w:p>
      <w:pPr>
        <w:pStyle w:val="13"/>
        <w:spacing w:after="2"/>
        <w:ind w:firstLine="640"/>
        <w:rPr>
          <w:color w:val="000000"/>
          <w:sz w:val="27"/>
          <w:szCs w:val="27"/>
        </w:rPr>
      </w:pPr>
      <w:r>
        <w:rPr>
          <w:rFonts w:hint="eastAsia" w:ascii="宋体" w:hAnsi="宋体" w:eastAsia="宋体"/>
          <w:color w:val="000000"/>
          <w:sz w:val="32"/>
          <w:szCs w:val="32"/>
        </w:rPr>
        <w:t>2020年度财政拨款支出4,222.28万元，主要用于以下方面：一般公共服务支出2,977.27万元，占70.51%；社会保障和就业支出234.6万元，占5.56%；卫生健康支出1.5万元，占0.04%；节能环保支出87.4万元，占2.07%；城乡社区支出20万元，占0.47%；农林水支出304.4万元，占7.21%；粮油物资储备支出597.11万元，占14.14%。</w:t>
      </w:r>
      <w:r>
        <w:rPr>
          <w:rFonts w:hint="eastAsia"/>
          <w:color w:val="000000"/>
          <w:sz w:val="27"/>
          <w:szCs w:val="27"/>
        </w:rPr>
        <w:t xml:space="preserve"> </w:t>
      </w:r>
    </w:p>
    <w:p>
      <w:pPr>
        <w:pStyle w:val="13"/>
        <w:spacing w:after="2"/>
        <w:ind w:firstLine="640"/>
        <w:rPr>
          <w:color w:val="000000"/>
          <w:sz w:val="27"/>
          <w:szCs w:val="27"/>
        </w:rPr>
      </w:pPr>
      <w:r>
        <w:rPr>
          <w:rFonts w:hint="eastAsia" w:ascii="宋体" w:hAnsi="宋体" w:eastAsia="宋体"/>
          <w:b/>
          <w:bCs/>
          <w:color w:val="000000"/>
          <w:sz w:val="32"/>
          <w:szCs w:val="32"/>
        </w:rPr>
        <w:t>（三）财政拨款支出决算具体情况</w:t>
      </w:r>
      <w:r>
        <w:rPr>
          <w:rFonts w:hint="eastAsia"/>
          <w:color w:val="000000"/>
          <w:sz w:val="27"/>
          <w:szCs w:val="27"/>
        </w:rPr>
        <w:t xml:space="preserve"> </w:t>
      </w:r>
    </w:p>
    <w:p>
      <w:pPr>
        <w:pStyle w:val="13"/>
        <w:spacing w:after="2"/>
        <w:ind w:firstLine="640"/>
        <w:rPr>
          <w:color w:val="000000"/>
          <w:sz w:val="27"/>
          <w:szCs w:val="27"/>
        </w:rPr>
      </w:pPr>
      <w:r>
        <w:rPr>
          <w:rFonts w:hint="eastAsia" w:ascii="宋体" w:hAnsi="宋体" w:eastAsia="宋体"/>
          <w:color w:val="000000"/>
          <w:sz w:val="32"/>
          <w:szCs w:val="32"/>
        </w:rPr>
        <w:t>2020年度财政拨款支出年初预算数为</w:t>
      </w:r>
      <w:r>
        <w:rPr>
          <w:rFonts w:hint="eastAsia" w:ascii="宋体" w:hAnsi="宋体" w:eastAsia="宋体"/>
          <w:color w:val="000000"/>
          <w:sz w:val="32"/>
          <w:szCs w:val="32"/>
          <w:lang w:val="en-US" w:eastAsia="zh-CN"/>
        </w:rPr>
        <w:t>2907.43</w:t>
      </w:r>
      <w:r>
        <w:rPr>
          <w:rFonts w:hint="eastAsia" w:ascii="宋体" w:hAnsi="宋体" w:eastAsia="宋体"/>
          <w:color w:val="000000"/>
          <w:sz w:val="32"/>
          <w:szCs w:val="32"/>
        </w:rPr>
        <w:t>万元，支出决算数为4,222.28万元，超出年初预算的</w:t>
      </w:r>
      <w:r>
        <w:rPr>
          <w:rFonts w:hint="eastAsia" w:ascii="宋体" w:hAnsi="宋体" w:eastAsia="宋体"/>
          <w:color w:val="000000"/>
          <w:sz w:val="32"/>
          <w:szCs w:val="32"/>
          <w:lang w:val="en-US" w:eastAsia="zh-CN"/>
        </w:rPr>
        <w:t>68.86</w:t>
      </w:r>
      <w:r>
        <w:rPr>
          <w:rFonts w:hint="eastAsia" w:ascii="宋体" w:hAnsi="宋体" w:eastAsia="宋体"/>
          <w:color w:val="000000"/>
          <w:sz w:val="32"/>
          <w:szCs w:val="32"/>
        </w:rPr>
        <w:t>%，其中：</w:t>
      </w:r>
      <w:r>
        <w:rPr>
          <w:rFonts w:hint="eastAsia"/>
          <w:color w:val="000000"/>
          <w:sz w:val="27"/>
          <w:szCs w:val="27"/>
        </w:rPr>
        <w:t xml:space="preserve"> </w:t>
      </w:r>
    </w:p>
    <w:p>
      <w:pPr>
        <w:pStyle w:val="13"/>
        <w:spacing w:after="2"/>
        <w:ind w:firstLine="641"/>
        <w:rPr>
          <w:color w:val="000000"/>
          <w:sz w:val="27"/>
          <w:szCs w:val="27"/>
        </w:rPr>
      </w:pPr>
      <w:r>
        <w:rPr>
          <w:rStyle w:val="8"/>
          <w:rFonts w:hint="eastAsia" w:ascii="宋体" w:hAnsi="宋体" w:eastAsia="宋体"/>
          <w:color w:val="000000"/>
          <w:sz w:val="32"/>
          <w:szCs w:val="32"/>
        </w:rPr>
        <w:t>1、一般公共服务支出（类）发展与改革事务（款）行政运行（项）</w:t>
      </w:r>
      <w:r>
        <w:rPr>
          <w:rFonts w:hint="eastAsia"/>
          <w:color w:val="000000"/>
          <w:sz w:val="27"/>
          <w:szCs w:val="27"/>
        </w:rPr>
        <w:t xml:space="preserve"> </w:t>
      </w:r>
    </w:p>
    <w:p>
      <w:pPr>
        <w:pStyle w:val="13"/>
        <w:spacing w:after="2"/>
        <w:ind w:firstLine="641"/>
        <w:rPr>
          <w:color w:val="000000"/>
          <w:sz w:val="27"/>
          <w:szCs w:val="27"/>
        </w:rPr>
      </w:pPr>
      <w:r>
        <w:rPr>
          <w:rFonts w:hint="eastAsia" w:ascii="宋体" w:hAnsi="宋体" w:eastAsia="宋体"/>
          <w:color w:val="000000"/>
          <w:sz w:val="32"/>
          <w:szCs w:val="32"/>
        </w:rPr>
        <w:t>年初预算为1,749.52万元，支出决算为1,975.04万元，完成年初预算的112.89%。决算数大于年初预算数的主要原因是：</w:t>
      </w:r>
      <w:r>
        <w:rPr>
          <w:rStyle w:val="15"/>
          <w:rFonts w:hint="eastAsia" w:ascii="宋体" w:hAnsi="宋体" w:eastAsia="宋体"/>
          <w:color w:val="000000"/>
          <w:sz w:val="32"/>
          <w:szCs w:val="32"/>
        </w:rPr>
        <w:t>2020年粮储中心并入我局，人员经费增加</w:t>
      </w:r>
      <w:r>
        <w:rPr>
          <w:rFonts w:hint="eastAsia" w:ascii="宋体" w:hAnsi="宋体" w:eastAsia="宋体"/>
          <w:color w:val="000000"/>
          <w:sz w:val="32"/>
          <w:szCs w:val="32"/>
        </w:rPr>
        <w:t>。</w:t>
      </w:r>
    </w:p>
    <w:p>
      <w:pPr>
        <w:pStyle w:val="13"/>
        <w:spacing w:after="2"/>
        <w:ind w:firstLine="641"/>
        <w:rPr>
          <w:color w:val="000000"/>
          <w:sz w:val="27"/>
          <w:szCs w:val="27"/>
        </w:rPr>
      </w:pPr>
      <w:r>
        <w:rPr>
          <w:rStyle w:val="8"/>
          <w:rFonts w:hint="eastAsia" w:ascii="宋体" w:hAnsi="宋体" w:eastAsia="宋体"/>
          <w:color w:val="000000"/>
          <w:sz w:val="32"/>
          <w:szCs w:val="32"/>
        </w:rPr>
        <w:t>2、一般公共服务支出（类）发展与改革事务（款）一般行政管理事务（项）</w:t>
      </w:r>
      <w:r>
        <w:rPr>
          <w:rFonts w:hint="eastAsia"/>
          <w:color w:val="000000"/>
          <w:sz w:val="27"/>
          <w:szCs w:val="27"/>
        </w:rPr>
        <w:t xml:space="preserve"> </w:t>
      </w:r>
    </w:p>
    <w:p>
      <w:pPr>
        <w:pStyle w:val="13"/>
        <w:spacing w:after="2"/>
        <w:ind w:firstLine="641"/>
        <w:rPr>
          <w:color w:val="000000"/>
          <w:sz w:val="27"/>
          <w:szCs w:val="27"/>
        </w:rPr>
      </w:pPr>
      <w:r>
        <w:rPr>
          <w:rFonts w:hint="eastAsia" w:ascii="宋体" w:hAnsi="宋体" w:eastAsia="宋体"/>
          <w:color w:val="000000"/>
          <w:sz w:val="32"/>
          <w:szCs w:val="32"/>
        </w:rPr>
        <w:t>年初预算为135.96万元，支出决算为182.96万元，完成年初预算的134.57%。决算数大于年初预算数的主要原因是：</w:t>
      </w:r>
      <w:r>
        <w:rPr>
          <w:rStyle w:val="15"/>
          <w:rFonts w:hint="eastAsia" w:ascii="宋体" w:hAnsi="宋体" w:eastAsia="宋体"/>
          <w:color w:val="000000"/>
          <w:sz w:val="32"/>
          <w:szCs w:val="32"/>
        </w:rPr>
        <w:t>2020年粮储中心并入我局，项目支出增加</w:t>
      </w:r>
      <w:r>
        <w:rPr>
          <w:rFonts w:hint="eastAsia" w:ascii="宋体" w:hAnsi="宋体" w:eastAsia="宋体"/>
          <w:color w:val="000000"/>
          <w:sz w:val="32"/>
          <w:szCs w:val="32"/>
        </w:rPr>
        <w:t>。</w:t>
      </w:r>
    </w:p>
    <w:p>
      <w:pPr>
        <w:pStyle w:val="13"/>
        <w:spacing w:after="2"/>
        <w:ind w:firstLine="641"/>
        <w:rPr>
          <w:color w:val="000000"/>
          <w:sz w:val="27"/>
          <w:szCs w:val="27"/>
        </w:rPr>
      </w:pPr>
      <w:r>
        <w:rPr>
          <w:rStyle w:val="8"/>
          <w:rFonts w:hint="eastAsia" w:ascii="宋体" w:hAnsi="宋体" w:eastAsia="宋体"/>
          <w:color w:val="000000"/>
          <w:sz w:val="32"/>
          <w:szCs w:val="32"/>
        </w:rPr>
        <w:t>3、一般公共服务支出（类）发展与改革事务（款）机关服务（项）</w:t>
      </w:r>
      <w:r>
        <w:rPr>
          <w:rFonts w:hint="eastAsia"/>
          <w:color w:val="000000"/>
          <w:sz w:val="27"/>
          <w:szCs w:val="27"/>
        </w:rPr>
        <w:t xml:space="preserve"> </w:t>
      </w:r>
    </w:p>
    <w:p>
      <w:pPr>
        <w:pStyle w:val="13"/>
        <w:spacing w:after="2"/>
        <w:ind w:firstLine="641"/>
        <w:rPr>
          <w:color w:val="000000"/>
          <w:sz w:val="27"/>
          <w:szCs w:val="27"/>
        </w:rPr>
      </w:pPr>
      <w:r>
        <w:rPr>
          <w:rFonts w:hint="eastAsia" w:ascii="宋体" w:hAnsi="宋体" w:eastAsia="宋体"/>
          <w:color w:val="000000"/>
          <w:sz w:val="32"/>
          <w:szCs w:val="32"/>
        </w:rPr>
        <w:t>年初预算为19万元，支出决算为19万元，完成年初预算的100%。决算数与年初预算数一致，我单位严格按预算执行决算。</w:t>
      </w:r>
    </w:p>
    <w:p>
      <w:pPr>
        <w:pStyle w:val="13"/>
        <w:spacing w:after="2"/>
        <w:ind w:firstLine="641"/>
        <w:rPr>
          <w:color w:val="000000"/>
          <w:sz w:val="27"/>
          <w:szCs w:val="27"/>
        </w:rPr>
      </w:pPr>
      <w:r>
        <w:rPr>
          <w:rStyle w:val="8"/>
          <w:rFonts w:hint="eastAsia" w:ascii="宋体" w:hAnsi="宋体" w:eastAsia="宋体"/>
          <w:color w:val="000000"/>
          <w:sz w:val="32"/>
          <w:szCs w:val="32"/>
        </w:rPr>
        <w:t>4、一般公共服务支出（类）发展与改革事务（款）战略规划与实施（项）</w:t>
      </w:r>
      <w:r>
        <w:rPr>
          <w:rFonts w:hint="eastAsia"/>
          <w:color w:val="000000"/>
          <w:sz w:val="27"/>
          <w:szCs w:val="27"/>
        </w:rPr>
        <w:t xml:space="preserve"> </w:t>
      </w:r>
    </w:p>
    <w:p>
      <w:pPr>
        <w:pStyle w:val="13"/>
        <w:spacing w:after="2"/>
        <w:ind w:firstLine="641"/>
        <w:rPr>
          <w:color w:val="000000"/>
          <w:sz w:val="27"/>
          <w:szCs w:val="27"/>
        </w:rPr>
      </w:pPr>
      <w:r>
        <w:rPr>
          <w:rFonts w:hint="eastAsia" w:ascii="宋体" w:hAnsi="宋体" w:eastAsia="宋体"/>
          <w:color w:val="000000"/>
          <w:sz w:val="32"/>
          <w:szCs w:val="32"/>
        </w:rPr>
        <w:t>年初预算为42万元，支出决算为42万元，完成年初预算的100%。决算数与年初预算数一致，我单位严格按预算执行决算。</w:t>
      </w:r>
    </w:p>
    <w:p>
      <w:pPr>
        <w:pStyle w:val="13"/>
        <w:spacing w:after="2"/>
        <w:ind w:firstLine="641"/>
        <w:rPr>
          <w:color w:val="000000"/>
          <w:sz w:val="27"/>
          <w:szCs w:val="27"/>
        </w:rPr>
      </w:pPr>
      <w:r>
        <w:rPr>
          <w:rStyle w:val="8"/>
          <w:rFonts w:hint="eastAsia" w:ascii="宋体" w:hAnsi="宋体" w:eastAsia="宋体"/>
          <w:color w:val="000000"/>
          <w:sz w:val="32"/>
          <w:szCs w:val="32"/>
        </w:rPr>
        <w:t>5、一般公共服务支出（类）发展与改革事务（款）社会事业发展规划（项）</w:t>
      </w:r>
      <w:r>
        <w:rPr>
          <w:rFonts w:hint="eastAsia"/>
          <w:color w:val="000000"/>
          <w:sz w:val="27"/>
          <w:szCs w:val="27"/>
        </w:rPr>
        <w:t xml:space="preserve"> </w:t>
      </w:r>
    </w:p>
    <w:p>
      <w:pPr>
        <w:pStyle w:val="13"/>
        <w:spacing w:after="2"/>
        <w:ind w:firstLine="641"/>
        <w:rPr>
          <w:color w:val="000000"/>
          <w:sz w:val="27"/>
          <w:szCs w:val="27"/>
        </w:rPr>
      </w:pPr>
      <w:r>
        <w:rPr>
          <w:rFonts w:hint="eastAsia" w:ascii="宋体" w:hAnsi="宋体" w:eastAsia="宋体"/>
          <w:color w:val="000000"/>
          <w:sz w:val="32"/>
          <w:szCs w:val="32"/>
        </w:rPr>
        <w:t>年初预算为46万元，支出决算为46万元，完成年初预算的100%。决算数与年初预算数一致，我单位严格按预算执行决算。</w:t>
      </w:r>
    </w:p>
    <w:p>
      <w:pPr>
        <w:pStyle w:val="13"/>
        <w:spacing w:after="2"/>
        <w:ind w:firstLine="641"/>
        <w:rPr>
          <w:color w:val="000000"/>
          <w:sz w:val="27"/>
          <w:szCs w:val="27"/>
        </w:rPr>
      </w:pPr>
      <w:r>
        <w:rPr>
          <w:rStyle w:val="8"/>
          <w:rFonts w:hint="eastAsia" w:ascii="宋体" w:hAnsi="宋体" w:eastAsia="宋体"/>
          <w:color w:val="000000"/>
          <w:sz w:val="32"/>
          <w:szCs w:val="32"/>
        </w:rPr>
        <w:t>6、一般公共服务支出（类）发展与改革事务（款）物价管理（项）</w:t>
      </w:r>
      <w:r>
        <w:rPr>
          <w:rFonts w:hint="eastAsia"/>
          <w:color w:val="000000"/>
          <w:sz w:val="27"/>
          <w:szCs w:val="27"/>
        </w:rPr>
        <w:t xml:space="preserve"> </w:t>
      </w:r>
    </w:p>
    <w:p>
      <w:pPr>
        <w:pStyle w:val="13"/>
        <w:spacing w:after="2"/>
        <w:ind w:firstLine="641"/>
        <w:rPr>
          <w:color w:val="000000"/>
          <w:sz w:val="27"/>
          <w:szCs w:val="27"/>
        </w:rPr>
      </w:pPr>
      <w:r>
        <w:rPr>
          <w:rFonts w:hint="eastAsia" w:ascii="宋体" w:hAnsi="宋体" w:eastAsia="宋体"/>
          <w:color w:val="000000"/>
          <w:sz w:val="32"/>
          <w:szCs w:val="32"/>
        </w:rPr>
        <w:t>年初预算为37万元，支出决算为37万元，完成年初预算的100%。决算数与年初预算数一致，我单位严格按预算执行决算。</w:t>
      </w:r>
    </w:p>
    <w:p>
      <w:pPr>
        <w:pStyle w:val="13"/>
        <w:spacing w:after="2"/>
        <w:ind w:firstLine="641"/>
        <w:rPr>
          <w:color w:val="000000"/>
          <w:sz w:val="27"/>
          <w:szCs w:val="27"/>
        </w:rPr>
      </w:pPr>
      <w:r>
        <w:rPr>
          <w:rStyle w:val="8"/>
          <w:rFonts w:hint="eastAsia" w:ascii="宋体" w:hAnsi="宋体" w:eastAsia="宋体"/>
          <w:color w:val="000000"/>
          <w:sz w:val="32"/>
          <w:szCs w:val="32"/>
        </w:rPr>
        <w:t>7、一般公共服务支出（类）发展与改革事务（款）其他发展与改革事务支出（项）</w:t>
      </w:r>
      <w:r>
        <w:rPr>
          <w:rFonts w:hint="eastAsia"/>
          <w:color w:val="000000"/>
          <w:sz w:val="27"/>
          <w:szCs w:val="27"/>
        </w:rPr>
        <w:t xml:space="preserve"> </w:t>
      </w:r>
    </w:p>
    <w:p>
      <w:pPr>
        <w:pStyle w:val="13"/>
        <w:spacing w:after="2"/>
        <w:ind w:firstLine="641"/>
        <w:rPr>
          <w:color w:val="000000"/>
          <w:sz w:val="27"/>
          <w:szCs w:val="27"/>
        </w:rPr>
      </w:pPr>
      <w:r>
        <w:rPr>
          <w:rFonts w:hint="eastAsia" w:ascii="宋体" w:hAnsi="宋体" w:eastAsia="宋体"/>
          <w:color w:val="000000"/>
          <w:sz w:val="32"/>
          <w:szCs w:val="32"/>
        </w:rPr>
        <w:t>年初预算为752.3万元，支出决算为675.27万元，完成年初预算的89.76%。决算数小于年初预算数的主要原因是：</w:t>
      </w:r>
      <w:r>
        <w:rPr>
          <w:rStyle w:val="15"/>
          <w:rFonts w:hint="eastAsia" w:ascii="宋体" w:hAnsi="宋体" w:eastAsia="宋体"/>
          <w:color w:val="000000"/>
          <w:sz w:val="32"/>
          <w:szCs w:val="32"/>
        </w:rPr>
        <w:t>专项项目工作项目经费和惠民政策到人类项目直接下拨到项目单位，未列入决算</w:t>
      </w:r>
      <w:r>
        <w:rPr>
          <w:rFonts w:hint="eastAsia" w:ascii="宋体" w:hAnsi="宋体" w:eastAsia="宋体"/>
          <w:color w:val="000000"/>
          <w:sz w:val="32"/>
          <w:szCs w:val="32"/>
        </w:rPr>
        <w:t>。</w:t>
      </w:r>
    </w:p>
    <w:p>
      <w:pPr>
        <w:pStyle w:val="13"/>
        <w:spacing w:after="2"/>
        <w:ind w:firstLine="641"/>
        <w:rPr>
          <w:color w:val="000000"/>
          <w:sz w:val="27"/>
          <w:szCs w:val="27"/>
        </w:rPr>
      </w:pPr>
      <w:r>
        <w:rPr>
          <w:rStyle w:val="8"/>
          <w:rFonts w:hint="eastAsia" w:ascii="宋体" w:hAnsi="宋体" w:eastAsia="宋体"/>
          <w:color w:val="000000"/>
          <w:sz w:val="32"/>
          <w:szCs w:val="32"/>
        </w:rPr>
        <w:t>8、社会保障和就业支出（类）行政事业单位养老支出（款）行政单位离退休（项）</w:t>
      </w:r>
      <w:r>
        <w:rPr>
          <w:rFonts w:hint="eastAsia"/>
          <w:color w:val="000000"/>
          <w:sz w:val="27"/>
          <w:szCs w:val="27"/>
        </w:rPr>
        <w:t xml:space="preserve"> </w:t>
      </w:r>
    </w:p>
    <w:p>
      <w:pPr>
        <w:pStyle w:val="13"/>
        <w:spacing w:after="2"/>
        <w:ind w:firstLine="641"/>
        <w:rPr>
          <w:color w:val="000000"/>
          <w:sz w:val="27"/>
          <w:szCs w:val="27"/>
        </w:rPr>
      </w:pPr>
      <w:r>
        <w:rPr>
          <w:rFonts w:hint="eastAsia" w:ascii="宋体" w:hAnsi="宋体" w:eastAsia="宋体"/>
          <w:color w:val="000000"/>
          <w:sz w:val="32"/>
          <w:szCs w:val="32"/>
        </w:rPr>
        <w:t>年初预算为78.65万元，支出决算为218.93万元，完成年初预算的278.36%。决算数大于年初预算数的主要原因是：</w:t>
      </w:r>
      <w:r>
        <w:rPr>
          <w:rStyle w:val="15"/>
          <w:rFonts w:hint="eastAsia" w:ascii="宋体" w:hAnsi="宋体" w:eastAsia="宋体"/>
          <w:color w:val="000000"/>
          <w:sz w:val="32"/>
          <w:szCs w:val="32"/>
        </w:rPr>
        <w:t>离退休人员一次性生活补助增加1.1万元/人</w:t>
      </w:r>
      <w:r>
        <w:rPr>
          <w:rFonts w:hint="eastAsia" w:ascii="宋体" w:hAnsi="宋体" w:eastAsia="宋体"/>
          <w:color w:val="000000"/>
          <w:sz w:val="32"/>
          <w:szCs w:val="32"/>
        </w:rPr>
        <w:t>。</w:t>
      </w:r>
    </w:p>
    <w:p>
      <w:pPr>
        <w:pStyle w:val="13"/>
        <w:spacing w:after="2"/>
        <w:ind w:firstLine="641"/>
        <w:rPr>
          <w:color w:val="000000"/>
          <w:sz w:val="27"/>
          <w:szCs w:val="27"/>
        </w:rPr>
      </w:pPr>
      <w:r>
        <w:rPr>
          <w:rStyle w:val="8"/>
          <w:rFonts w:hint="eastAsia" w:ascii="宋体" w:hAnsi="宋体" w:eastAsia="宋体"/>
          <w:color w:val="000000"/>
          <w:sz w:val="32"/>
          <w:szCs w:val="32"/>
        </w:rPr>
        <w:t>9、社会保障和就业支出（类）行政事业单位养老支出（款）事业单位离退休（项）</w:t>
      </w:r>
      <w:r>
        <w:rPr>
          <w:rFonts w:hint="eastAsia"/>
          <w:color w:val="000000"/>
          <w:sz w:val="27"/>
          <w:szCs w:val="27"/>
        </w:rPr>
        <w:t xml:space="preserve"> </w:t>
      </w:r>
    </w:p>
    <w:p>
      <w:pPr>
        <w:pStyle w:val="13"/>
        <w:spacing w:after="2"/>
        <w:ind w:firstLine="641"/>
        <w:rPr>
          <w:color w:val="000000"/>
          <w:sz w:val="27"/>
          <w:szCs w:val="27"/>
        </w:rPr>
      </w:pPr>
      <w:r>
        <w:rPr>
          <w:rFonts w:hint="eastAsia" w:ascii="宋体" w:hAnsi="宋体" w:eastAsia="宋体"/>
          <w:color w:val="000000"/>
          <w:sz w:val="32"/>
          <w:szCs w:val="32"/>
        </w:rPr>
        <w:t>年初预算为0万元，支出决算为15.68万元，年初无预算。决算数大于年初预算数的主要原因是：</w:t>
      </w:r>
      <w:r>
        <w:rPr>
          <w:rStyle w:val="15"/>
          <w:rFonts w:hint="eastAsia" w:ascii="宋体" w:hAnsi="宋体" w:eastAsia="宋体"/>
          <w:color w:val="000000"/>
          <w:sz w:val="32"/>
          <w:szCs w:val="32"/>
        </w:rPr>
        <w:t>粮储中心退休职工过世抚恤金</w:t>
      </w:r>
      <w:r>
        <w:rPr>
          <w:rFonts w:hint="eastAsia" w:ascii="宋体" w:hAnsi="宋体" w:eastAsia="宋体"/>
          <w:color w:val="000000"/>
          <w:sz w:val="32"/>
          <w:szCs w:val="32"/>
        </w:rPr>
        <w:t>。</w:t>
      </w:r>
    </w:p>
    <w:p>
      <w:pPr>
        <w:pStyle w:val="13"/>
        <w:spacing w:after="2"/>
        <w:ind w:firstLine="641"/>
        <w:rPr>
          <w:color w:val="000000"/>
          <w:sz w:val="27"/>
          <w:szCs w:val="27"/>
        </w:rPr>
      </w:pPr>
      <w:r>
        <w:rPr>
          <w:rStyle w:val="8"/>
          <w:rFonts w:hint="eastAsia" w:ascii="宋体" w:hAnsi="宋体" w:eastAsia="宋体"/>
          <w:color w:val="000000"/>
          <w:sz w:val="32"/>
          <w:szCs w:val="32"/>
        </w:rPr>
        <w:t>10、卫生健康支出（类）行政事业单位医疗（款）行政单位医疗（项）</w:t>
      </w:r>
      <w:r>
        <w:rPr>
          <w:rFonts w:hint="eastAsia"/>
          <w:color w:val="000000"/>
          <w:sz w:val="27"/>
          <w:szCs w:val="27"/>
        </w:rPr>
        <w:t xml:space="preserve"> </w:t>
      </w:r>
    </w:p>
    <w:p>
      <w:pPr>
        <w:pStyle w:val="13"/>
        <w:spacing w:after="2"/>
        <w:ind w:firstLine="641"/>
        <w:rPr>
          <w:color w:val="000000"/>
          <w:sz w:val="27"/>
          <w:szCs w:val="27"/>
        </w:rPr>
      </w:pPr>
      <w:r>
        <w:rPr>
          <w:rFonts w:hint="eastAsia" w:ascii="宋体" w:hAnsi="宋体" w:eastAsia="宋体"/>
          <w:color w:val="000000"/>
          <w:sz w:val="32"/>
          <w:szCs w:val="32"/>
        </w:rPr>
        <w:t>年初预算为0万元，支出决算为1.5万元，年初无预算。决算数大于年初预算数的主要原因是：</w:t>
      </w:r>
      <w:r>
        <w:rPr>
          <w:rStyle w:val="15"/>
          <w:rFonts w:hint="eastAsia" w:ascii="宋体" w:hAnsi="宋体" w:eastAsia="宋体"/>
          <w:color w:val="000000"/>
          <w:sz w:val="32"/>
          <w:szCs w:val="32"/>
        </w:rPr>
        <w:t>长期病休人员医疗补助</w:t>
      </w:r>
      <w:r>
        <w:rPr>
          <w:rFonts w:hint="eastAsia" w:ascii="宋体" w:hAnsi="宋体" w:eastAsia="宋体"/>
          <w:color w:val="000000"/>
          <w:sz w:val="32"/>
          <w:szCs w:val="32"/>
        </w:rPr>
        <w:t>。</w:t>
      </w:r>
    </w:p>
    <w:p>
      <w:pPr>
        <w:pStyle w:val="13"/>
        <w:spacing w:after="2"/>
        <w:ind w:firstLine="641"/>
        <w:rPr>
          <w:color w:val="000000"/>
          <w:sz w:val="27"/>
          <w:szCs w:val="27"/>
        </w:rPr>
      </w:pPr>
      <w:r>
        <w:rPr>
          <w:rStyle w:val="8"/>
          <w:rFonts w:hint="eastAsia" w:ascii="宋体" w:hAnsi="宋体" w:eastAsia="宋体"/>
          <w:color w:val="000000"/>
          <w:sz w:val="32"/>
          <w:szCs w:val="32"/>
        </w:rPr>
        <w:t>11、节能环保支出（类）污染防治（款）大气（项）</w:t>
      </w:r>
      <w:r>
        <w:rPr>
          <w:rFonts w:hint="eastAsia"/>
          <w:color w:val="000000"/>
          <w:sz w:val="27"/>
          <w:szCs w:val="27"/>
        </w:rPr>
        <w:t xml:space="preserve"> </w:t>
      </w:r>
    </w:p>
    <w:p>
      <w:pPr>
        <w:pStyle w:val="13"/>
        <w:spacing w:after="2"/>
        <w:ind w:firstLine="641"/>
        <w:rPr>
          <w:color w:val="000000"/>
          <w:sz w:val="27"/>
          <w:szCs w:val="27"/>
        </w:rPr>
      </w:pPr>
      <w:r>
        <w:rPr>
          <w:rFonts w:hint="eastAsia" w:ascii="宋体" w:hAnsi="宋体" w:eastAsia="宋体"/>
          <w:color w:val="000000"/>
          <w:sz w:val="32"/>
          <w:szCs w:val="32"/>
        </w:rPr>
        <w:t>年初预算为0万元，支出决算为57.4万元，年初无预算。决算数大于年初预算数的主要原因是：</w:t>
      </w:r>
      <w:r>
        <w:rPr>
          <w:rStyle w:val="15"/>
          <w:rFonts w:hint="eastAsia" w:ascii="宋体" w:hAnsi="宋体" w:eastAsia="宋体"/>
          <w:color w:val="000000"/>
          <w:sz w:val="32"/>
          <w:szCs w:val="32"/>
        </w:rPr>
        <w:t>上级转移支付2019年老旧社区居民家庭餐厨油烟净化治理项目资金</w:t>
      </w:r>
      <w:r>
        <w:rPr>
          <w:rFonts w:hint="eastAsia" w:ascii="宋体" w:hAnsi="宋体" w:eastAsia="宋体"/>
          <w:color w:val="000000"/>
          <w:sz w:val="32"/>
          <w:szCs w:val="32"/>
        </w:rPr>
        <w:t>。</w:t>
      </w:r>
    </w:p>
    <w:p>
      <w:pPr>
        <w:pStyle w:val="13"/>
        <w:spacing w:after="2"/>
        <w:ind w:firstLine="641"/>
        <w:rPr>
          <w:color w:val="000000"/>
          <w:sz w:val="27"/>
          <w:szCs w:val="27"/>
        </w:rPr>
      </w:pPr>
      <w:r>
        <w:rPr>
          <w:rStyle w:val="8"/>
          <w:rFonts w:hint="eastAsia" w:ascii="宋体" w:hAnsi="宋体" w:eastAsia="宋体"/>
          <w:color w:val="000000"/>
          <w:sz w:val="32"/>
          <w:szCs w:val="32"/>
        </w:rPr>
        <w:t>12、节能环保支出（类）能源管理事务（款）能源行业管理（项）</w:t>
      </w:r>
      <w:r>
        <w:rPr>
          <w:rFonts w:hint="eastAsia"/>
          <w:color w:val="000000"/>
          <w:sz w:val="27"/>
          <w:szCs w:val="27"/>
        </w:rPr>
        <w:t xml:space="preserve"> </w:t>
      </w:r>
    </w:p>
    <w:p>
      <w:pPr>
        <w:pStyle w:val="13"/>
        <w:spacing w:after="2"/>
        <w:ind w:firstLine="641"/>
        <w:rPr>
          <w:color w:val="000000"/>
          <w:sz w:val="27"/>
          <w:szCs w:val="27"/>
        </w:rPr>
      </w:pPr>
      <w:r>
        <w:rPr>
          <w:rFonts w:hint="eastAsia" w:ascii="宋体" w:hAnsi="宋体" w:eastAsia="宋体"/>
          <w:color w:val="000000"/>
          <w:sz w:val="32"/>
          <w:szCs w:val="32"/>
        </w:rPr>
        <w:t>年初预算为30万元，支出决算为30万元，完成年初预算的100%。决算数与年初预算数一致，我单位严格按预算执行决算。</w:t>
      </w:r>
    </w:p>
    <w:p>
      <w:pPr>
        <w:pStyle w:val="13"/>
        <w:spacing w:after="2"/>
        <w:ind w:firstLine="641"/>
        <w:rPr>
          <w:color w:val="000000"/>
          <w:sz w:val="27"/>
          <w:szCs w:val="27"/>
        </w:rPr>
      </w:pPr>
      <w:r>
        <w:rPr>
          <w:rStyle w:val="8"/>
          <w:rFonts w:hint="eastAsia" w:ascii="宋体" w:hAnsi="宋体" w:eastAsia="宋体"/>
          <w:color w:val="000000"/>
          <w:sz w:val="32"/>
          <w:szCs w:val="32"/>
        </w:rPr>
        <w:t>13、城乡社区支出（类）其他城乡社区支出（款）其他城乡社区支出（项）</w:t>
      </w:r>
      <w:r>
        <w:rPr>
          <w:rFonts w:hint="eastAsia"/>
          <w:color w:val="000000"/>
          <w:sz w:val="27"/>
          <w:szCs w:val="27"/>
        </w:rPr>
        <w:t xml:space="preserve"> </w:t>
      </w:r>
    </w:p>
    <w:p>
      <w:pPr>
        <w:pStyle w:val="13"/>
        <w:spacing w:after="2"/>
        <w:ind w:firstLine="641"/>
        <w:rPr>
          <w:color w:val="000000"/>
          <w:sz w:val="27"/>
          <w:szCs w:val="27"/>
        </w:rPr>
      </w:pPr>
      <w:r>
        <w:rPr>
          <w:rFonts w:hint="eastAsia" w:ascii="宋体" w:hAnsi="宋体" w:eastAsia="宋体"/>
          <w:color w:val="000000"/>
          <w:sz w:val="32"/>
          <w:szCs w:val="32"/>
        </w:rPr>
        <w:t>年初预算为0万元，支出决算为20万元，年初无预算。决算数大于年初预算数的主要原因是：</w:t>
      </w:r>
      <w:r>
        <w:rPr>
          <w:rStyle w:val="15"/>
          <w:rFonts w:hint="eastAsia" w:ascii="宋体" w:hAnsi="宋体" w:eastAsia="宋体"/>
          <w:color w:val="000000"/>
          <w:sz w:val="32"/>
          <w:szCs w:val="32"/>
        </w:rPr>
        <w:t>年中下达的粮储中心仓库维修资金</w:t>
      </w:r>
      <w:r>
        <w:rPr>
          <w:rFonts w:hint="eastAsia" w:ascii="宋体" w:hAnsi="宋体" w:eastAsia="宋体"/>
          <w:color w:val="000000"/>
          <w:sz w:val="32"/>
          <w:szCs w:val="32"/>
        </w:rPr>
        <w:t>。</w:t>
      </w:r>
    </w:p>
    <w:p>
      <w:pPr>
        <w:pStyle w:val="13"/>
        <w:spacing w:after="2"/>
        <w:ind w:firstLine="641"/>
        <w:rPr>
          <w:color w:val="000000"/>
          <w:sz w:val="27"/>
          <w:szCs w:val="27"/>
        </w:rPr>
      </w:pPr>
      <w:r>
        <w:rPr>
          <w:rStyle w:val="8"/>
          <w:rFonts w:hint="eastAsia" w:ascii="宋体" w:hAnsi="宋体" w:eastAsia="宋体"/>
          <w:color w:val="000000"/>
          <w:sz w:val="32"/>
          <w:szCs w:val="32"/>
        </w:rPr>
        <w:t>14、农林水支出（类）农业农村（款）其他农业农村支出（项）</w:t>
      </w:r>
      <w:r>
        <w:rPr>
          <w:rFonts w:hint="eastAsia"/>
          <w:color w:val="000000"/>
          <w:sz w:val="27"/>
          <w:szCs w:val="27"/>
        </w:rPr>
        <w:t xml:space="preserve"> </w:t>
      </w:r>
    </w:p>
    <w:p>
      <w:pPr>
        <w:pStyle w:val="13"/>
        <w:spacing w:after="2"/>
        <w:ind w:firstLine="641"/>
        <w:rPr>
          <w:color w:val="000000"/>
          <w:sz w:val="27"/>
          <w:szCs w:val="27"/>
        </w:rPr>
      </w:pPr>
      <w:r>
        <w:rPr>
          <w:rFonts w:hint="eastAsia" w:ascii="宋体" w:hAnsi="宋体" w:eastAsia="宋体"/>
          <w:color w:val="000000"/>
          <w:sz w:val="32"/>
          <w:szCs w:val="32"/>
        </w:rPr>
        <w:t>年初预算为0万元，支出决算为299.4万元，年初无预算。决算数大于年初预算数的主要原因是：</w:t>
      </w:r>
      <w:r>
        <w:rPr>
          <w:rStyle w:val="15"/>
          <w:rFonts w:hint="eastAsia" w:ascii="宋体" w:hAnsi="宋体" w:eastAsia="宋体"/>
          <w:color w:val="000000"/>
          <w:sz w:val="32"/>
          <w:szCs w:val="32"/>
        </w:rPr>
        <w:t>上级下达的2020年第一批商品粮大省奖励资金</w:t>
      </w:r>
      <w:r>
        <w:rPr>
          <w:rFonts w:hint="eastAsia" w:ascii="宋体" w:hAnsi="宋体" w:eastAsia="宋体"/>
          <w:color w:val="000000"/>
          <w:sz w:val="32"/>
          <w:szCs w:val="32"/>
        </w:rPr>
        <w:t>。</w:t>
      </w:r>
    </w:p>
    <w:p>
      <w:pPr>
        <w:pStyle w:val="13"/>
        <w:spacing w:after="2"/>
        <w:ind w:firstLine="641"/>
        <w:rPr>
          <w:color w:val="000000"/>
          <w:sz w:val="27"/>
          <w:szCs w:val="27"/>
        </w:rPr>
      </w:pPr>
      <w:r>
        <w:rPr>
          <w:rStyle w:val="8"/>
          <w:rFonts w:hint="eastAsia" w:ascii="宋体" w:hAnsi="宋体" w:eastAsia="宋体"/>
          <w:color w:val="000000"/>
          <w:sz w:val="32"/>
          <w:szCs w:val="32"/>
        </w:rPr>
        <w:t>15、农林水支出（类）扶贫（款）其他扶贫支出（项）</w:t>
      </w:r>
      <w:r>
        <w:rPr>
          <w:rFonts w:hint="eastAsia"/>
          <w:color w:val="000000"/>
          <w:sz w:val="27"/>
          <w:szCs w:val="27"/>
        </w:rPr>
        <w:t xml:space="preserve"> </w:t>
      </w:r>
    </w:p>
    <w:p>
      <w:pPr>
        <w:pStyle w:val="13"/>
        <w:spacing w:after="2"/>
        <w:ind w:firstLine="641"/>
        <w:rPr>
          <w:color w:val="000000"/>
          <w:sz w:val="27"/>
          <w:szCs w:val="27"/>
        </w:rPr>
      </w:pPr>
      <w:r>
        <w:rPr>
          <w:rFonts w:hint="eastAsia" w:ascii="宋体" w:hAnsi="宋体" w:eastAsia="宋体"/>
          <w:color w:val="000000"/>
          <w:sz w:val="32"/>
          <w:szCs w:val="32"/>
        </w:rPr>
        <w:t>年初预算为0万元，支出决算为5万元，年初无预算。决算数大于年初预算数的主要原因是：</w:t>
      </w:r>
      <w:r>
        <w:rPr>
          <w:rStyle w:val="15"/>
          <w:rFonts w:hint="eastAsia" w:ascii="宋体" w:hAnsi="宋体" w:eastAsia="宋体"/>
          <w:color w:val="000000"/>
          <w:sz w:val="32"/>
          <w:szCs w:val="32"/>
        </w:rPr>
        <w:t>2020年预备费</w:t>
      </w:r>
      <w:r>
        <w:rPr>
          <w:rFonts w:hint="eastAsia" w:ascii="宋体" w:hAnsi="宋体" w:eastAsia="宋体"/>
          <w:color w:val="000000"/>
          <w:sz w:val="32"/>
          <w:szCs w:val="32"/>
        </w:rPr>
        <w:t>。</w:t>
      </w:r>
    </w:p>
    <w:p>
      <w:pPr>
        <w:pStyle w:val="13"/>
        <w:spacing w:after="2"/>
        <w:ind w:firstLine="641"/>
        <w:rPr>
          <w:color w:val="000000"/>
          <w:sz w:val="27"/>
          <w:szCs w:val="27"/>
        </w:rPr>
      </w:pPr>
      <w:r>
        <w:rPr>
          <w:rStyle w:val="8"/>
          <w:rFonts w:hint="eastAsia" w:ascii="宋体" w:hAnsi="宋体" w:eastAsia="宋体"/>
          <w:color w:val="000000"/>
          <w:sz w:val="32"/>
          <w:szCs w:val="32"/>
        </w:rPr>
        <w:t>16、粮油物资储备支出（类）粮油事务（款）粮食风险基金（项）</w:t>
      </w:r>
      <w:r>
        <w:rPr>
          <w:rFonts w:hint="eastAsia"/>
          <w:color w:val="000000"/>
          <w:sz w:val="27"/>
          <w:szCs w:val="27"/>
        </w:rPr>
        <w:t xml:space="preserve"> </w:t>
      </w:r>
    </w:p>
    <w:p>
      <w:pPr>
        <w:pStyle w:val="13"/>
        <w:spacing w:after="2"/>
        <w:ind w:firstLine="641"/>
        <w:rPr>
          <w:color w:val="000000"/>
          <w:sz w:val="27"/>
          <w:szCs w:val="27"/>
        </w:rPr>
      </w:pPr>
      <w:r>
        <w:rPr>
          <w:rFonts w:hint="eastAsia" w:ascii="宋体" w:hAnsi="宋体" w:eastAsia="宋体"/>
          <w:color w:val="000000"/>
          <w:sz w:val="32"/>
          <w:szCs w:val="32"/>
        </w:rPr>
        <w:t>年初预算为0万元，支出决算为231.92万元，年初无预算。决算数大于年初预算数的主要原因是：</w:t>
      </w:r>
      <w:r>
        <w:rPr>
          <w:rStyle w:val="15"/>
          <w:rFonts w:hint="eastAsia" w:ascii="宋体" w:hAnsi="宋体" w:eastAsia="宋体"/>
          <w:color w:val="000000"/>
          <w:sz w:val="32"/>
          <w:szCs w:val="32"/>
        </w:rPr>
        <w:t>上级下达的浏阳市粮食购销公司市级储备粮利费补贴资金</w:t>
      </w:r>
      <w:r>
        <w:rPr>
          <w:rFonts w:hint="eastAsia" w:ascii="宋体" w:hAnsi="宋体" w:eastAsia="宋体"/>
          <w:color w:val="000000"/>
          <w:sz w:val="32"/>
          <w:szCs w:val="32"/>
        </w:rPr>
        <w:t>。</w:t>
      </w:r>
    </w:p>
    <w:p>
      <w:pPr>
        <w:pStyle w:val="13"/>
        <w:spacing w:after="2"/>
        <w:ind w:firstLine="641"/>
        <w:rPr>
          <w:color w:val="000000"/>
          <w:sz w:val="27"/>
          <w:szCs w:val="27"/>
        </w:rPr>
      </w:pPr>
      <w:r>
        <w:rPr>
          <w:rStyle w:val="8"/>
          <w:rFonts w:hint="eastAsia" w:ascii="宋体" w:hAnsi="宋体" w:eastAsia="宋体"/>
          <w:color w:val="000000"/>
          <w:sz w:val="32"/>
          <w:szCs w:val="32"/>
        </w:rPr>
        <w:t>17、粮油物资储备支出（类）粮油事务（款）其他粮油事务支出（项）</w:t>
      </w:r>
      <w:r>
        <w:rPr>
          <w:rFonts w:hint="eastAsia"/>
          <w:color w:val="000000"/>
          <w:sz w:val="27"/>
          <w:szCs w:val="27"/>
        </w:rPr>
        <w:t xml:space="preserve"> </w:t>
      </w:r>
    </w:p>
    <w:p>
      <w:pPr>
        <w:pStyle w:val="13"/>
        <w:spacing w:after="2"/>
        <w:ind w:firstLine="641"/>
        <w:rPr>
          <w:color w:val="000000"/>
          <w:sz w:val="27"/>
          <w:szCs w:val="27"/>
        </w:rPr>
      </w:pPr>
      <w:r>
        <w:rPr>
          <w:rFonts w:hint="eastAsia" w:ascii="宋体" w:hAnsi="宋体" w:eastAsia="宋体"/>
          <w:color w:val="000000"/>
          <w:sz w:val="32"/>
          <w:szCs w:val="32"/>
        </w:rPr>
        <w:t>年初预算为0万元，支出决算为292万元，年初无预算。决算数大于年初预算数的主要原因是：</w:t>
      </w:r>
      <w:r>
        <w:rPr>
          <w:rStyle w:val="15"/>
          <w:rFonts w:hint="eastAsia" w:ascii="宋体" w:hAnsi="宋体" w:eastAsia="宋体"/>
          <w:color w:val="000000"/>
          <w:sz w:val="32"/>
          <w:szCs w:val="32"/>
        </w:rPr>
        <w:t>年中上级下达的2020年第二批粮油千亿产业专项资金</w:t>
      </w:r>
      <w:r>
        <w:rPr>
          <w:rFonts w:hint="eastAsia" w:ascii="宋体" w:hAnsi="宋体" w:eastAsia="宋体"/>
          <w:color w:val="000000"/>
          <w:sz w:val="32"/>
          <w:szCs w:val="32"/>
        </w:rPr>
        <w:t>。</w:t>
      </w:r>
    </w:p>
    <w:p>
      <w:pPr>
        <w:pStyle w:val="13"/>
        <w:spacing w:after="2"/>
        <w:ind w:firstLine="641"/>
        <w:rPr>
          <w:color w:val="000000"/>
          <w:sz w:val="27"/>
          <w:szCs w:val="27"/>
        </w:rPr>
      </w:pPr>
      <w:r>
        <w:rPr>
          <w:rStyle w:val="8"/>
          <w:rFonts w:hint="eastAsia" w:ascii="宋体" w:hAnsi="宋体" w:eastAsia="宋体"/>
          <w:color w:val="000000"/>
          <w:sz w:val="32"/>
          <w:szCs w:val="32"/>
        </w:rPr>
        <w:t>18、粮油物资储备支出（类）粮油储备（款）其他粮油储备支出（项）</w:t>
      </w:r>
      <w:r>
        <w:rPr>
          <w:rFonts w:hint="eastAsia"/>
          <w:color w:val="000000"/>
          <w:sz w:val="27"/>
          <w:szCs w:val="27"/>
        </w:rPr>
        <w:t xml:space="preserve"> </w:t>
      </w:r>
    </w:p>
    <w:p>
      <w:pPr>
        <w:pStyle w:val="13"/>
        <w:spacing w:after="2"/>
        <w:ind w:firstLine="641"/>
        <w:rPr>
          <w:color w:val="000000"/>
          <w:sz w:val="27"/>
          <w:szCs w:val="27"/>
        </w:rPr>
      </w:pPr>
      <w:r>
        <w:rPr>
          <w:rFonts w:hint="eastAsia" w:ascii="宋体" w:hAnsi="宋体" w:eastAsia="宋体"/>
          <w:color w:val="000000"/>
          <w:sz w:val="32"/>
          <w:szCs w:val="32"/>
        </w:rPr>
        <w:t>年初预算为0万元，支出决算为56.19万元，年初无预算。决算数大于年初预算数的主要原因是：</w:t>
      </w:r>
      <w:r>
        <w:rPr>
          <w:rStyle w:val="15"/>
          <w:rFonts w:hint="eastAsia" w:ascii="宋体" w:hAnsi="宋体" w:eastAsia="宋体"/>
          <w:color w:val="000000"/>
          <w:sz w:val="32"/>
          <w:szCs w:val="32"/>
        </w:rPr>
        <w:t>年中追加的2018年地方临时稻谷处置价差及经费</w:t>
      </w:r>
      <w:r>
        <w:rPr>
          <w:rFonts w:hint="eastAsia" w:ascii="宋体" w:hAnsi="宋体" w:eastAsia="宋体"/>
          <w:color w:val="000000"/>
          <w:sz w:val="32"/>
          <w:szCs w:val="32"/>
        </w:rPr>
        <w:t>。</w:t>
      </w:r>
    </w:p>
    <w:p>
      <w:pPr>
        <w:pStyle w:val="13"/>
        <w:spacing w:after="2"/>
        <w:ind w:firstLine="641"/>
        <w:rPr>
          <w:color w:val="000000"/>
          <w:sz w:val="27"/>
          <w:szCs w:val="27"/>
        </w:rPr>
      </w:pPr>
      <w:r>
        <w:rPr>
          <w:rStyle w:val="8"/>
          <w:rFonts w:hint="eastAsia" w:ascii="宋体" w:hAnsi="宋体" w:eastAsia="宋体"/>
          <w:color w:val="000000"/>
          <w:sz w:val="32"/>
          <w:szCs w:val="32"/>
        </w:rPr>
        <w:t>19、粮油物资储备支出（类）重要商品储备（款）肉类储备（项）</w:t>
      </w:r>
      <w:r>
        <w:rPr>
          <w:rFonts w:hint="eastAsia"/>
          <w:color w:val="000000"/>
          <w:sz w:val="27"/>
          <w:szCs w:val="27"/>
        </w:rPr>
        <w:t xml:space="preserve"> </w:t>
      </w:r>
    </w:p>
    <w:p>
      <w:pPr>
        <w:pStyle w:val="13"/>
        <w:spacing w:after="2"/>
        <w:ind w:firstLine="641"/>
        <w:rPr>
          <w:color w:val="000000"/>
          <w:sz w:val="27"/>
          <w:szCs w:val="27"/>
        </w:rPr>
      </w:pPr>
      <w:r>
        <w:rPr>
          <w:rFonts w:hint="eastAsia" w:ascii="宋体" w:hAnsi="宋体" w:eastAsia="宋体"/>
          <w:color w:val="000000"/>
          <w:sz w:val="32"/>
          <w:szCs w:val="32"/>
        </w:rPr>
        <w:t>年初预算为17万元，支出决算为17万元，完成年初预算的100%。决算数与年初预算数一致，我单位严格按预算执行决算。</w:t>
      </w:r>
    </w:p>
    <w:p>
      <w:pPr>
        <w:pStyle w:val="13"/>
        <w:spacing w:after="2"/>
        <w:ind w:firstLine="641"/>
        <w:rPr>
          <w:color w:val="000000"/>
          <w:sz w:val="27"/>
          <w:szCs w:val="27"/>
        </w:rPr>
      </w:pPr>
      <w:r>
        <w:rPr>
          <w:rFonts w:hint="eastAsia" w:ascii="宋体" w:hAnsi="宋体" w:eastAsia="宋体"/>
          <w:b/>
          <w:bCs/>
          <w:color w:val="000000"/>
          <w:sz w:val="32"/>
          <w:szCs w:val="32"/>
        </w:rPr>
        <w:t>六、一般公共预算财政拨款基本支出决算情况说明</w:t>
      </w:r>
      <w:r>
        <w:rPr>
          <w:rFonts w:hint="eastAsia"/>
          <w:color w:val="000000"/>
          <w:sz w:val="27"/>
          <w:szCs w:val="27"/>
        </w:rPr>
        <w:t xml:space="preserve"> </w:t>
      </w:r>
    </w:p>
    <w:p>
      <w:pPr>
        <w:pStyle w:val="13"/>
        <w:spacing w:after="2"/>
        <w:ind w:firstLine="420"/>
        <w:rPr>
          <w:color w:val="000000"/>
          <w:sz w:val="27"/>
          <w:szCs w:val="27"/>
        </w:rPr>
      </w:pPr>
      <w:r>
        <w:rPr>
          <w:rFonts w:hint="eastAsia" w:ascii="宋体" w:hAnsi="宋体" w:eastAsia="宋体"/>
          <w:color w:val="000000"/>
          <w:sz w:val="32"/>
          <w:szCs w:val="32"/>
        </w:rPr>
        <w:t> 2020年度财政拨款基本支出2,209.65万元，其中：人员经费2,129.01万元，占基本支出的96.35%，主要包括：基本工资、津贴补贴、奖金、绩效工资、机关事业单位基本养老保险缴费、职业年金缴费、职工基本医疗保险缴费、公务员医疗补助缴费、其他社会保障缴费、住房公积金、其他工资福利支出、退休费、抚恤金、生活补助、奖励金、其他对个人和家庭的补助。公用经费80.64万元，占基本支出的3.65%，主要包括：劳务费、工会经费、福利费、其他交通费用、其他商品和服务支出。</w:t>
      </w:r>
      <w:r>
        <w:rPr>
          <w:rFonts w:hint="eastAsia"/>
          <w:color w:val="000000"/>
          <w:sz w:val="27"/>
          <w:szCs w:val="27"/>
        </w:rPr>
        <w:t xml:space="preserve"> </w:t>
      </w:r>
    </w:p>
    <w:p>
      <w:pPr>
        <w:pStyle w:val="13"/>
        <w:spacing w:after="2"/>
        <w:ind w:firstLine="641"/>
        <w:rPr>
          <w:color w:val="000000"/>
          <w:sz w:val="27"/>
          <w:szCs w:val="27"/>
        </w:rPr>
      </w:pPr>
      <w:r>
        <w:rPr>
          <w:rFonts w:hint="eastAsia" w:ascii="宋体" w:hAnsi="宋体" w:eastAsia="宋体"/>
          <w:b/>
          <w:bCs/>
          <w:color w:val="000000"/>
          <w:sz w:val="32"/>
          <w:szCs w:val="32"/>
        </w:rPr>
        <w:t>七、一般公共预算财政拨款三公经费支出决算情况说明</w:t>
      </w:r>
      <w:r>
        <w:rPr>
          <w:rFonts w:hint="eastAsia"/>
          <w:color w:val="000000"/>
          <w:sz w:val="27"/>
          <w:szCs w:val="27"/>
        </w:rPr>
        <w:t xml:space="preserve"> </w:t>
      </w:r>
    </w:p>
    <w:p>
      <w:pPr>
        <w:pStyle w:val="13"/>
        <w:spacing w:after="2"/>
        <w:ind w:firstLine="641"/>
        <w:rPr>
          <w:color w:val="000000"/>
          <w:sz w:val="27"/>
          <w:szCs w:val="27"/>
        </w:rPr>
      </w:pPr>
      <w:r>
        <w:rPr>
          <w:rFonts w:hint="eastAsia" w:ascii="宋体" w:hAnsi="宋体" w:eastAsia="宋体"/>
          <w:b/>
          <w:bCs/>
          <w:color w:val="000000"/>
          <w:sz w:val="32"/>
          <w:szCs w:val="32"/>
        </w:rPr>
        <w:t>（一）“三公”经费财政拨款支出决算总体情况说明</w:t>
      </w:r>
      <w:r>
        <w:rPr>
          <w:rFonts w:hint="eastAsia"/>
          <w:color w:val="000000"/>
          <w:sz w:val="27"/>
          <w:szCs w:val="27"/>
        </w:rPr>
        <w:t xml:space="preserve"> </w:t>
      </w:r>
    </w:p>
    <w:p>
      <w:pPr>
        <w:pStyle w:val="13"/>
        <w:spacing w:after="2"/>
        <w:ind w:firstLine="640"/>
        <w:rPr>
          <w:color w:val="000000"/>
          <w:sz w:val="27"/>
          <w:szCs w:val="27"/>
        </w:rPr>
      </w:pPr>
      <w:r>
        <w:rPr>
          <w:rFonts w:hint="eastAsia" w:ascii="宋体" w:hAnsi="宋体" w:eastAsia="宋体"/>
          <w:color w:val="000000"/>
          <w:sz w:val="32"/>
          <w:szCs w:val="32"/>
        </w:rPr>
        <w:t>2020年度“三公”经费财政拨款支出预算为53.34万元，支出决算为4.63万元，完成预算的8.68%，其中：</w:t>
      </w:r>
      <w:r>
        <w:rPr>
          <w:rFonts w:hint="eastAsia"/>
          <w:color w:val="000000"/>
          <w:sz w:val="27"/>
          <w:szCs w:val="27"/>
        </w:rPr>
        <w:t xml:space="preserve"> </w:t>
      </w:r>
    </w:p>
    <w:p>
      <w:pPr>
        <w:pStyle w:val="13"/>
        <w:spacing w:after="2"/>
        <w:ind w:firstLine="640"/>
        <w:rPr>
          <w:color w:val="000000"/>
          <w:sz w:val="27"/>
          <w:szCs w:val="27"/>
        </w:rPr>
      </w:pPr>
      <w:r>
        <w:rPr>
          <w:rFonts w:hint="eastAsia" w:ascii="宋体" w:hAnsi="宋体" w:eastAsia="宋体"/>
          <w:color w:val="000000"/>
          <w:sz w:val="32"/>
          <w:szCs w:val="32"/>
        </w:rPr>
        <w:t>因公出国（境）费支出预算为0万元，支出决算为0万元，决算数与预算数一致，我单位严格按预算执行决算，因公出国（境）费支出与上年持平。</w:t>
      </w:r>
    </w:p>
    <w:p>
      <w:pPr>
        <w:pStyle w:val="13"/>
        <w:spacing w:after="2"/>
        <w:ind w:firstLine="640"/>
        <w:rPr>
          <w:color w:val="000000"/>
          <w:sz w:val="27"/>
          <w:szCs w:val="27"/>
        </w:rPr>
      </w:pPr>
      <w:r>
        <w:rPr>
          <w:rFonts w:hint="eastAsia" w:ascii="宋体" w:hAnsi="宋体" w:eastAsia="宋体"/>
          <w:color w:val="000000"/>
          <w:sz w:val="32"/>
          <w:szCs w:val="32"/>
        </w:rPr>
        <w:t>公务接待费支出预算为53.34万元，支出决算为4.63万元，完成预算的8.68%，决算数小于预算数的主要原因是</w:t>
      </w:r>
      <w:r>
        <w:rPr>
          <w:rStyle w:val="15"/>
          <w:rFonts w:hint="eastAsia" w:ascii="宋体" w:hAnsi="宋体" w:eastAsia="宋体"/>
          <w:color w:val="000000"/>
          <w:sz w:val="32"/>
          <w:szCs w:val="32"/>
        </w:rPr>
        <w:t>我单位严格按照中央“八项”和上级文件精神，认真落实“三公”经费管理的相关制度规定，控制开支范围和标准，切实加大了“三公”经费管理力度</w:t>
      </w:r>
      <w:r>
        <w:rPr>
          <w:rFonts w:hint="eastAsia" w:ascii="宋体" w:hAnsi="宋体" w:eastAsia="宋体"/>
          <w:color w:val="000000"/>
          <w:sz w:val="32"/>
          <w:szCs w:val="32"/>
        </w:rPr>
        <w:t xml:space="preserve"> ，与上年相比减少0.78万元，下降14.42%，下降的主要原因是</w:t>
      </w:r>
      <w:r>
        <w:rPr>
          <w:rStyle w:val="15"/>
          <w:rFonts w:hint="eastAsia" w:ascii="宋体" w:hAnsi="宋体" w:eastAsia="宋体"/>
          <w:color w:val="000000"/>
          <w:sz w:val="32"/>
          <w:szCs w:val="32"/>
        </w:rPr>
        <w:t>我单位严格按照中央“八项”和上级文件精神，认真落实“三公”经费管理的相关制度规定，控制开支范围和标准</w:t>
      </w:r>
      <w:r>
        <w:rPr>
          <w:rFonts w:hint="eastAsia" w:ascii="宋体" w:hAnsi="宋体" w:eastAsia="宋体"/>
          <w:color w:val="000000"/>
          <w:sz w:val="32"/>
          <w:szCs w:val="32"/>
        </w:rPr>
        <w:t>。</w:t>
      </w:r>
    </w:p>
    <w:p>
      <w:pPr>
        <w:pStyle w:val="13"/>
        <w:spacing w:after="2"/>
        <w:ind w:firstLine="640"/>
        <w:rPr>
          <w:color w:val="000000"/>
          <w:sz w:val="27"/>
          <w:szCs w:val="27"/>
        </w:rPr>
      </w:pPr>
      <w:r>
        <w:rPr>
          <w:rFonts w:hint="eastAsia" w:ascii="宋体" w:hAnsi="宋体" w:eastAsia="宋体"/>
          <w:color w:val="000000"/>
          <w:sz w:val="32"/>
          <w:szCs w:val="32"/>
        </w:rPr>
        <w:t>公务用车购置费及运行维护费支出预算为0万元，支出决算为0万元，决算数与预算数一致，我单位严格按预算执行决算，与上年相比减少3.05万元，下降100%，下降的主要原因是</w:t>
      </w:r>
      <w:r>
        <w:rPr>
          <w:rStyle w:val="15"/>
          <w:rFonts w:hint="eastAsia" w:ascii="宋体" w:hAnsi="宋体" w:eastAsia="宋体"/>
          <w:color w:val="000000"/>
          <w:sz w:val="32"/>
          <w:szCs w:val="32"/>
        </w:rPr>
        <w:t>原公管办公车上缴，我局无公车</w:t>
      </w:r>
      <w:r>
        <w:rPr>
          <w:rFonts w:hint="eastAsia" w:ascii="宋体" w:hAnsi="宋体" w:eastAsia="宋体"/>
          <w:color w:val="000000"/>
          <w:sz w:val="32"/>
          <w:szCs w:val="32"/>
        </w:rPr>
        <w:t>。</w:t>
      </w:r>
    </w:p>
    <w:p>
      <w:pPr>
        <w:pStyle w:val="13"/>
        <w:spacing w:after="2"/>
        <w:ind w:firstLine="641"/>
        <w:rPr>
          <w:color w:val="000000"/>
          <w:sz w:val="27"/>
          <w:szCs w:val="27"/>
        </w:rPr>
      </w:pPr>
      <w:r>
        <w:rPr>
          <w:rFonts w:hint="eastAsia" w:ascii="宋体" w:hAnsi="宋体" w:eastAsia="宋体"/>
          <w:b/>
          <w:bCs/>
          <w:color w:val="000000"/>
          <w:sz w:val="32"/>
          <w:szCs w:val="32"/>
        </w:rPr>
        <w:t>（二）“三公”经费财政拨款支出决算具体情况说明</w:t>
      </w:r>
      <w:r>
        <w:rPr>
          <w:rFonts w:hint="eastAsia"/>
          <w:color w:val="000000"/>
          <w:sz w:val="27"/>
          <w:szCs w:val="27"/>
        </w:rPr>
        <w:t xml:space="preserve"> </w:t>
      </w:r>
    </w:p>
    <w:p>
      <w:pPr>
        <w:pStyle w:val="13"/>
        <w:spacing w:after="2"/>
        <w:ind w:firstLine="640"/>
        <w:rPr>
          <w:color w:val="000000"/>
          <w:sz w:val="27"/>
          <w:szCs w:val="27"/>
        </w:rPr>
      </w:pPr>
      <w:r>
        <w:rPr>
          <w:rFonts w:hint="eastAsia" w:ascii="宋体" w:hAnsi="宋体" w:eastAsia="宋体"/>
          <w:color w:val="000000"/>
          <w:sz w:val="32"/>
          <w:szCs w:val="32"/>
        </w:rPr>
        <w:t>2020年度“三公”经费财政拨款支出决算中，公务接待费支出决算4.63万元，占100%，因公出国（境）费支出决算0万元，占0%，公务用车购置费及运行维护费支出决算0万元，占0%。其中：</w:t>
      </w:r>
      <w:r>
        <w:rPr>
          <w:rFonts w:hint="eastAsia"/>
          <w:color w:val="000000"/>
          <w:sz w:val="27"/>
          <w:szCs w:val="27"/>
        </w:rPr>
        <w:t xml:space="preserve"> </w:t>
      </w:r>
    </w:p>
    <w:p>
      <w:pPr>
        <w:pStyle w:val="13"/>
        <w:spacing w:after="2"/>
        <w:ind w:firstLine="640"/>
        <w:rPr>
          <w:color w:val="000000"/>
          <w:sz w:val="27"/>
          <w:szCs w:val="27"/>
        </w:rPr>
      </w:pPr>
      <w:r>
        <w:rPr>
          <w:rFonts w:hint="eastAsia" w:ascii="宋体" w:hAnsi="宋体" w:eastAsia="宋体"/>
          <w:color w:val="000000"/>
          <w:sz w:val="32"/>
          <w:szCs w:val="32"/>
        </w:rPr>
        <w:t>1、因公出国（境）费支出决算为0万元，全年安排因公出国（境）团组0个，累计0人次，我单位2020年度无因公出国（境）费支出。</w:t>
      </w:r>
      <w:r>
        <w:rPr>
          <w:rFonts w:hint="eastAsia"/>
          <w:color w:val="000000"/>
          <w:sz w:val="27"/>
          <w:szCs w:val="27"/>
        </w:rPr>
        <w:t xml:space="preserve"> </w:t>
      </w:r>
    </w:p>
    <w:p>
      <w:pPr>
        <w:pStyle w:val="13"/>
        <w:spacing w:after="2"/>
        <w:ind w:firstLine="640"/>
        <w:rPr>
          <w:color w:val="000000"/>
          <w:sz w:val="27"/>
          <w:szCs w:val="27"/>
        </w:rPr>
      </w:pPr>
      <w:r>
        <w:rPr>
          <w:rFonts w:hint="eastAsia" w:ascii="宋体" w:hAnsi="宋体" w:eastAsia="宋体"/>
          <w:color w:val="000000"/>
          <w:sz w:val="32"/>
          <w:szCs w:val="32"/>
        </w:rPr>
        <w:t>2、公务接待费支出决算为4.63万元，全年共接待来访团组55个、来宾560人次，主要是</w:t>
      </w:r>
      <w:r>
        <w:rPr>
          <w:rStyle w:val="15"/>
          <w:rFonts w:hint="eastAsia" w:ascii="宋体" w:hAnsi="宋体" w:eastAsia="宋体"/>
          <w:color w:val="000000"/>
          <w:sz w:val="32"/>
          <w:szCs w:val="32"/>
        </w:rPr>
        <w:t>重点办、湘赣边、法规优化科、产业科、能源中心等</w:t>
      </w:r>
      <w:r>
        <w:rPr>
          <w:rFonts w:hint="eastAsia" w:ascii="宋体" w:hAnsi="宋体" w:eastAsia="宋体"/>
          <w:color w:val="000000"/>
          <w:sz w:val="32"/>
          <w:szCs w:val="32"/>
        </w:rPr>
        <w:t>发生的接待支出。</w:t>
      </w:r>
      <w:r>
        <w:rPr>
          <w:rFonts w:hint="eastAsia"/>
          <w:color w:val="000000"/>
          <w:sz w:val="27"/>
          <w:szCs w:val="27"/>
        </w:rPr>
        <w:t xml:space="preserve"> </w:t>
      </w:r>
    </w:p>
    <w:p>
      <w:pPr>
        <w:pStyle w:val="13"/>
        <w:spacing w:after="2"/>
        <w:ind w:firstLine="641"/>
        <w:rPr>
          <w:color w:val="000000"/>
          <w:sz w:val="27"/>
          <w:szCs w:val="27"/>
        </w:rPr>
      </w:pPr>
      <w:r>
        <w:rPr>
          <w:rFonts w:hint="eastAsia" w:ascii="宋体" w:hAnsi="宋体" w:eastAsia="宋体"/>
          <w:color w:val="000000"/>
          <w:sz w:val="32"/>
          <w:szCs w:val="32"/>
        </w:rPr>
        <w:t>3、公务用车购置费及运行维护费支出决算为0万元，其中：公务用车</w:t>
      </w:r>
      <w:bookmarkStart w:id="0" w:name="_GoBack"/>
      <w:bookmarkEnd w:id="0"/>
      <w:r>
        <w:rPr>
          <w:rFonts w:hint="eastAsia" w:ascii="宋体" w:hAnsi="宋体" w:eastAsia="宋体"/>
          <w:color w:val="000000"/>
          <w:sz w:val="32"/>
          <w:szCs w:val="32"/>
        </w:rPr>
        <w:t>购置费0万元。公务用车运行维护费0万元，截至2020年12月31日，我单位开支财政拨款的公务用车保有量为0辆。我单位2020年度无公务用车购置费及运行维护费支出。</w:t>
      </w:r>
      <w:r>
        <w:rPr>
          <w:rFonts w:hint="eastAsia"/>
          <w:color w:val="000000"/>
          <w:sz w:val="27"/>
          <w:szCs w:val="27"/>
        </w:rPr>
        <w:t xml:space="preserve"> </w:t>
      </w:r>
    </w:p>
    <w:p>
      <w:pPr>
        <w:pStyle w:val="13"/>
        <w:spacing w:after="2"/>
        <w:ind w:firstLine="641"/>
        <w:rPr>
          <w:color w:val="000000"/>
          <w:sz w:val="27"/>
          <w:szCs w:val="27"/>
        </w:rPr>
      </w:pPr>
      <w:r>
        <w:rPr>
          <w:rFonts w:hint="eastAsia" w:ascii="宋体" w:hAnsi="宋体" w:eastAsia="宋体"/>
          <w:b/>
          <w:bCs/>
          <w:color w:val="000000"/>
          <w:sz w:val="32"/>
          <w:szCs w:val="32"/>
        </w:rPr>
        <w:t>八、政府性基金预算收入支出决算情况</w:t>
      </w:r>
      <w:r>
        <w:rPr>
          <w:rFonts w:hint="eastAsia"/>
          <w:color w:val="000000"/>
          <w:sz w:val="27"/>
          <w:szCs w:val="27"/>
        </w:rPr>
        <w:t xml:space="preserve"> </w:t>
      </w:r>
    </w:p>
    <w:p>
      <w:pPr>
        <w:pStyle w:val="13"/>
        <w:spacing w:after="2"/>
        <w:ind w:firstLine="641"/>
        <w:rPr>
          <w:color w:val="000000"/>
          <w:sz w:val="27"/>
          <w:szCs w:val="27"/>
        </w:rPr>
      </w:pPr>
      <w:r>
        <w:rPr>
          <w:rFonts w:hint="eastAsia" w:ascii="宋体" w:hAnsi="宋体" w:eastAsia="宋体"/>
          <w:color w:val="000000"/>
          <w:sz w:val="32"/>
          <w:szCs w:val="32"/>
        </w:rPr>
        <w:t xml:space="preserve">浏阳市发展和改革局2020年度没有政府性基金收入，也没有使用政府性基金安排的支出，并已公开空表。 </w:t>
      </w:r>
    </w:p>
    <w:p>
      <w:pPr>
        <w:pStyle w:val="13"/>
        <w:spacing w:after="2"/>
        <w:ind w:firstLine="640"/>
        <w:rPr>
          <w:color w:val="000000"/>
          <w:sz w:val="27"/>
          <w:szCs w:val="27"/>
        </w:rPr>
      </w:pPr>
      <w:r>
        <w:rPr>
          <w:rFonts w:hint="eastAsia" w:ascii="宋体" w:hAnsi="宋体" w:eastAsia="宋体"/>
          <w:b/>
          <w:bCs/>
          <w:color w:val="000000"/>
          <w:sz w:val="32"/>
          <w:szCs w:val="32"/>
        </w:rPr>
        <w:t>九、关于机关运行经费支出说明</w:t>
      </w:r>
      <w:r>
        <w:rPr>
          <w:rFonts w:hint="eastAsia"/>
          <w:color w:val="000000"/>
          <w:sz w:val="27"/>
          <w:szCs w:val="27"/>
        </w:rPr>
        <w:t xml:space="preserve"> </w:t>
      </w:r>
    </w:p>
    <w:p>
      <w:pPr>
        <w:pStyle w:val="13"/>
        <w:spacing w:after="2"/>
        <w:ind w:firstLine="640"/>
        <w:rPr>
          <w:color w:val="000000"/>
          <w:sz w:val="27"/>
          <w:szCs w:val="27"/>
        </w:rPr>
      </w:pPr>
      <w:r>
        <w:rPr>
          <w:rFonts w:hint="eastAsia" w:ascii="宋体" w:hAnsi="宋体" w:eastAsia="宋体"/>
          <w:color w:val="000000"/>
          <w:sz w:val="32"/>
          <w:szCs w:val="32"/>
        </w:rPr>
        <w:t>浏阳市发展和改革局2020年度机关运行经费支出80.64万元，比年初预算数减少75.86万元，下降48.47%。主要原因是：</w:t>
      </w:r>
      <w:r>
        <w:rPr>
          <w:rStyle w:val="15"/>
          <w:rFonts w:hint="eastAsia" w:ascii="宋体" w:hAnsi="宋体" w:eastAsia="宋体"/>
          <w:color w:val="000000"/>
          <w:sz w:val="32"/>
          <w:szCs w:val="32"/>
        </w:rPr>
        <w:t>弥补人员经费不足</w:t>
      </w:r>
      <w:r>
        <w:rPr>
          <w:rFonts w:hint="eastAsia" w:ascii="宋体" w:hAnsi="宋体" w:eastAsia="宋体"/>
          <w:color w:val="000000"/>
          <w:sz w:val="32"/>
          <w:szCs w:val="32"/>
        </w:rPr>
        <w:t xml:space="preserve">。 </w:t>
      </w:r>
    </w:p>
    <w:p>
      <w:pPr>
        <w:pStyle w:val="13"/>
        <w:spacing w:after="2"/>
        <w:ind w:firstLine="640"/>
        <w:rPr>
          <w:color w:val="000000"/>
          <w:sz w:val="27"/>
          <w:szCs w:val="27"/>
        </w:rPr>
      </w:pPr>
      <w:r>
        <w:rPr>
          <w:rFonts w:hint="eastAsia" w:ascii="宋体" w:hAnsi="宋体" w:eastAsia="宋体"/>
          <w:b/>
          <w:bCs/>
          <w:color w:val="000000"/>
          <w:sz w:val="32"/>
          <w:szCs w:val="32"/>
        </w:rPr>
        <w:t>十、一般性支出情况</w:t>
      </w:r>
      <w:r>
        <w:rPr>
          <w:rFonts w:hint="eastAsia"/>
          <w:color w:val="000000"/>
          <w:sz w:val="27"/>
          <w:szCs w:val="27"/>
        </w:rPr>
        <w:t xml:space="preserve"> </w:t>
      </w:r>
    </w:p>
    <w:p>
      <w:pPr>
        <w:pStyle w:val="13"/>
        <w:spacing w:after="2"/>
        <w:ind w:firstLine="640"/>
        <w:rPr>
          <w:color w:val="000000"/>
          <w:sz w:val="27"/>
          <w:szCs w:val="27"/>
        </w:rPr>
      </w:pPr>
      <w:r>
        <w:rPr>
          <w:rFonts w:hint="eastAsia" w:ascii="宋体" w:hAnsi="宋体" w:eastAsia="宋体"/>
          <w:color w:val="000000"/>
          <w:sz w:val="32"/>
          <w:szCs w:val="32"/>
        </w:rPr>
        <w:t>2020年度浏阳市发展和改革局一般性支出288.63万元，其中：会议费0.31万元，</w:t>
      </w:r>
      <w:r>
        <w:rPr>
          <w:rStyle w:val="15"/>
          <w:rFonts w:hint="eastAsia" w:ascii="宋体" w:hAnsi="宋体" w:eastAsia="宋体"/>
          <w:color w:val="000000"/>
          <w:sz w:val="32"/>
          <w:szCs w:val="32"/>
        </w:rPr>
        <w:t>用于召开以下会议：茶油产业促进会，人数20人，内容为茶油产业促进会议；茶油产业高质量发展专家评审会，人数16人，内容是茶油产业高质量发展专家评审等</w:t>
      </w:r>
      <w:r>
        <w:rPr>
          <w:rFonts w:hint="eastAsia" w:ascii="宋体" w:hAnsi="宋体" w:eastAsia="宋体"/>
          <w:color w:val="000000"/>
          <w:sz w:val="32"/>
          <w:szCs w:val="32"/>
        </w:rPr>
        <w:t>；开支培训费1.59万元，</w:t>
      </w:r>
      <w:r>
        <w:rPr>
          <w:rStyle w:val="15"/>
          <w:rFonts w:hint="eastAsia" w:ascii="宋体" w:hAnsi="宋体" w:eastAsia="宋体"/>
          <w:color w:val="000000"/>
          <w:sz w:val="32"/>
          <w:szCs w:val="32"/>
        </w:rPr>
        <w:t>用于开展及参加以下培训：建设工程交易专项培训，人数180人，内容为建设工程交易相关事项培训；参加湖南省财政厅财政专项业务培训，人数2人，内容是公共财政管理评估；参加市委干部教育培训，人数1人，内容是浏阳市新闻宣传与舆情引导培训；参加浏阳市招商引资专题培训，人数1人，内容是招商引资专题培训；参加全省环资系统业务培训，人数1人，内容是全省环资系统业务培训</w:t>
      </w:r>
      <w:r>
        <w:rPr>
          <w:rFonts w:hint="eastAsia" w:ascii="宋体" w:hAnsi="宋体" w:eastAsia="宋体"/>
          <w:color w:val="000000"/>
          <w:sz w:val="32"/>
          <w:szCs w:val="32"/>
        </w:rPr>
        <w:t>；</w:t>
      </w:r>
      <w:r>
        <w:rPr>
          <w:rStyle w:val="15"/>
          <w:rFonts w:hint="eastAsia" w:ascii="宋体" w:hAnsi="宋体" w:eastAsia="宋体"/>
          <w:color w:val="000000"/>
          <w:sz w:val="32"/>
          <w:szCs w:val="32"/>
        </w:rPr>
        <w:t>未举办节庆、晚会、论坛、赛事活动</w:t>
      </w:r>
      <w:r>
        <w:rPr>
          <w:rFonts w:hint="eastAsia" w:ascii="宋体" w:hAnsi="宋体" w:eastAsia="宋体"/>
          <w:color w:val="000000"/>
          <w:sz w:val="32"/>
          <w:szCs w:val="32"/>
        </w:rPr>
        <w:t>；办公费50.35万元；印刷费14.9万元；咨询费17.6万元；水费0万元；电费0万元；邮电费3.27万元；取暖费0万元；物业管理费23.77万元；差旅费2.72万元；因公出国（境）费用0万元；维修（护）费14.21万元；租赁费5.76万元；公务接待费4.63万元；被装购置费0万元；劳务费35.8万元；委托业务费7.92万元；公务用车运行维护费0万元；其他交通费用100.06万元；房屋建筑物购建0万元；办公设备购置5.74万元；公务用车购置0万元；其他交通工具购置0万元。</w:t>
      </w:r>
      <w:r>
        <w:rPr>
          <w:rFonts w:hint="eastAsia"/>
          <w:color w:val="000000"/>
          <w:sz w:val="27"/>
          <w:szCs w:val="27"/>
        </w:rPr>
        <w:t xml:space="preserve"> </w:t>
      </w:r>
    </w:p>
    <w:p>
      <w:pPr>
        <w:pStyle w:val="13"/>
        <w:spacing w:after="2"/>
        <w:ind w:firstLine="640"/>
        <w:rPr>
          <w:color w:val="000000"/>
          <w:sz w:val="27"/>
          <w:szCs w:val="27"/>
        </w:rPr>
      </w:pPr>
      <w:r>
        <w:rPr>
          <w:rFonts w:hint="eastAsia" w:ascii="宋体" w:hAnsi="宋体" w:eastAsia="宋体"/>
          <w:b/>
          <w:bCs/>
          <w:color w:val="000000"/>
          <w:sz w:val="32"/>
          <w:szCs w:val="32"/>
        </w:rPr>
        <w:t>十一、关于政府采购支出说明</w:t>
      </w:r>
      <w:r>
        <w:rPr>
          <w:rFonts w:hint="eastAsia"/>
          <w:color w:val="000000"/>
          <w:sz w:val="27"/>
          <w:szCs w:val="27"/>
        </w:rPr>
        <w:t xml:space="preserve"> </w:t>
      </w:r>
    </w:p>
    <w:p>
      <w:pPr>
        <w:pStyle w:val="13"/>
        <w:spacing w:after="2"/>
        <w:ind w:firstLine="640"/>
        <w:rPr>
          <w:color w:val="000000"/>
          <w:sz w:val="27"/>
          <w:szCs w:val="27"/>
        </w:rPr>
      </w:pPr>
      <w:r>
        <w:rPr>
          <w:rFonts w:hint="eastAsia" w:ascii="宋体" w:hAnsi="宋体" w:eastAsia="宋体"/>
          <w:color w:val="000000"/>
          <w:sz w:val="32"/>
          <w:szCs w:val="32"/>
        </w:rPr>
        <w:t xml:space="preserve">浏阳市发展和改革局2020年度政府采购支出总额652.71万元，其中：政府采购货物支出31.69万元、政府采购工程支出0万元、政府采购服务支出621.02万元。授予中小企业合同金额0万元，占政府采购支出总额的0%，其中：授予小微企业合同金额0万元，占政府采购支出总额的0%。 </w:t>
      </w:r>
    </w:p>
    <w:p>
      <w:pPr>
        <w:pStyle w:val="13"/>
        <w:spacing w:after="2"/>
        <w:ind w:firstLine="640"/>
        <w:rPr>
          <w:color w:val="000000"/>
          <w:sz w:val="27"/>
          <w:szCs w:val="27"/>
        </w:rPr>
      </w:pPr>
      <w:r>
        <w:rPr>
          <w:rFonts w:hint="eastAsia" w:ascii="宋体" w:hAnsi="宋体" w:eastAsia="宋体"/>
          <w:b/>
          <w:bCs/>
          <w:color w:val="000000"/>
          <w:sz w:val="32"/>
          <w:szCs w:val="32"/>
        </w:rPr>
        <w:t>十二、关于国有资产占用情况说明</w:t>
      </w:r>
      <w:r>
        <w:rPr>
          <w:rFonts w:hint="eastAsia"/>
          <w:color w:val="000000"/>
          <w:sz w:val="27"/>
          <w:szCs w:val="27"/>
        </w:rPr>
        <w:t xml:space="preserve"> </w:t>
      </w:r>
    </w:p>
    <w:p>
      <w:pPr>
        <w:pStyle w:val="13"/>
        <w:spacing w:after="2"/>
        <w:ind w:firstLine="640"/>
        <w:rPr>
          <w:color w:val="000000"/>
          <w:sz w:val="27"/>
          <w:szCs w:val="27"/>
        </w:rPr>
      </w:pPr>
      <w:r>
        <w:rPr>
          <w:rFonts w:hint="eastAsia" w:ascii="宋体" w:hAnsi="宋体" w:eastAsia="宋体"/>
          <w:color w:val="000000"/>
          <w:sz w:val="32"/>
          <w:szCs w:val="32"/>
        </w:rPr>
        <w:t>截至2020年12月31日，浏阳市发展和改革局共有车辆0辆（台），其中：副部（省）级及以上领导用车0辆、主要领导干部用车0辆、机要通信用车0辆、应急保障用车0辆、执法执勤用车0辆、特种专业技术用车0辆、其他用车0辆；单价50万元（含）以上通用设备0台（套），单价100万元（含）以上专用设备0台（套）。</w:t>
      </w:r>
      <w:r>
        <w:rPr>
          <w:rFonts w:hint="eastAsia"/>
          <w:color w:val="000000"/>
          <w:sz w:val="27"/>
          <w:szCs w:val="27"/>
        </w:rPr>
        <w:t xml:space="preserve"> </w:t>
      </w:r>
    </w:p>
    <w:p>
      <w:pPr>
        <w:pStyle w:val="13"/>
        <w:spacing w:after="2"/>
        <w:ind w:firstLine="641"/>
        <w:rPr>
          <w:color w:val="000000"/>
          <w:sz w:val="27"/>
          <w:szCs w:val="27"/>
        </w:rPr>
      </w:pPr>
      <w:r>
        <w:rPr>
          <w:rFonts w:hint="eastAsia" w:ascii="宋体" w:hAnsi="宋体" w:eastAsia="宋体"/>
          <w:b/>
          <w:bCs/>
          <w:color w:val="000000"/>
          <w:sz w:val="32"/>
          <w:szCs w:val="32"/>
        </w:rPr>
        <w:t>十三、关于2020年度预算绩效情况说明</w:t>
      </w:r>
      <w:r>
        <w:rPr>
          <w:rFonts w:hint="eastAsia"/>
          <w:color w:val="000000"/>
          <w:sz w:val="27"/>
          <w:szCs w:val="27"/>
        </w:rPr>
        <w:t xml:space="preserve"> </w:t>
      </w:r>
    </w:p>
    <w:p>
      <w:pPr>
        <w:pStyle w:val="13"/>
        <w:spacing w:after="2"/>
        <w:ind w:firstLine="640"/>
        <w:rPr>
          <w:rFonts w:ascii="宋体" w:hAnsi="宋体" w:eastAsia="宋体"/>
          <w:color w:val="000000"/>
          <w:sz w:val="32"/>
          <w:szCs w:val="32"/>
        </w:rPr>
      </w:pPr>
      <w:r>
        <w:rPr>
          <w:rFonts w:hint="eastAsia" w:ascii="宋体" w:hAnsi="宋体" w:eastAsia="宋体"/>
          <w:color w:val="000000"/>
          <w:sz w:val="32"/>
          <w:szCs w:val="32"/>
        </w:rPr>
        <w:t>（1）预算绩效管理工作开展情况。</w:t>
      </w:r>
    </w:p>
    <w:p>
      <w:pPr>
        <w:pStyle w:val="13"/>
        <w:spacing w:after="2"/>
        <w:ind w:firstLine="640"/>
        <w:rPr>
          <w:rFonts w:ascii="宋体" w:hAnsi="宋体" w:eastAsia="宋体"/>
          <w:color w:val="000000"/>
          <w:sz w:val="32"/>
          <w:szCs w:val="32"/>
        </w:rPr>
      </w:pPr>
      <w:r>
        <w:rPr>
          <w:rFonts w:hint="eastAsia" w:ascii="宋体" w:hAnsi="宋体" w:eastAsia="宋体"/>
          <w:color w:val="000000"/>
          <w:sz w:val="32"/>
          <w:szCs w:val="32"/>
        </w:rPr>
        <w:t>根据预算绩效管理要求，我单位组织对2020年度支出情况开展了部门整体支出绩效自评，自评得分99分，评价等级为：优。部门整体支出绩效自评报告见附件。</w:t>
      </w:r>
    </w:p>
    <w:p>
      <w:pPr>
        <w:pStyle w:val="13"/>
        <w:spacing w:after="2"/>
        <w:ind w:firstLine="640"/>
        <w:rPr>
          <w:rFonts w:ascii="宋体" w:hAnsi="宋体" w:eastAsia="宋体"/>
          <w:color w:val="000000"/>
          <w:sz w:val="32"/>
          <w:szCs w:val="32"/>
        </w:rPr>
      </w:pPr>
      <w:r>
        <w:rPr>
          <w:rFonts w:hint="eastAsia" w:ascii="宋体" w:hAnsi="宋体" w:eastAsia="宋体"/>
          <w:color w:val="000000"/>
          <w:sz w:val="32"/>
          <w:szCs w:val="32"/>
        </w:rPr>
        <w:t>（2）以部门为主体开展的重点绩效评价结果</w:t>
      </w:r>
    </w:p>
    <w:p>
      <w:pPr>
        <w:pStyle w:val="13"/>
        <w:spacing w:after="2"/>
        <w:ind w:firstLine="640"/>
        <w:rPr>
          <w:color w:val="000000"/>
        </w:rPr>
      </w:pPr>
      <w:r>
        <w:rPr>
          <w:rFonts w:hint="eastAsia" w:ascii="宋体" w:hAnsi="宋体" w:eastAsia="宋体"/>
          <w:color w:val="000000"/>
          <w:sz w:val="32"/>
          <w:szCs w:val="32"/>
        </w:rPr>
        <w:t>本单位未委托第三方机构开展重点项目绩效评价。</w:t>
      </w:r>
    </w:p>
    <w:p>
      <w:pPr>
        <w:rPr>
          <w:color w:val="000000"/>
        </w:rPr>
      </w:pPr>
    </w:p>
    <w:p>
      <w:pPr>
        <w:spacing w:after="2"/>
        <w:jc w:val="center"/>
        <w:rPr>
          <w:color w:val="000000"/>
          <w:szCs w:val="21"/>
        </w:rPr>
      </w:pPr>
      <w:r>
        <w:rPr>
          <w:rFonts w:hint="eastAsia" w:ascii="宋体" w:hAnsi="宋体" w:eastAsia="宋体"/>
          <w:b/>
          <w:bCs/>
          <w:color w:val="000000"/>
          <w:sz w:val="36"/>
          <w:szCs w:val="36"/>
        </w:rPr>
        <w:t>第四部分 名词解释</w:t>
      </w:r>
      <w:r>
        <w:rPr>
          <w:rFonts w:hint="eastAsia"/>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财政拨款收入</w:t>
      </w:r>
      <w:r>
        <w:rPr>
          <w:rFonts w:hint="eastAsia" w:ascii="宋体" w:hAnsi="宋体" w:eastAsia="宋体" w:cs="Calibri"/>
          <w:color w:val="000000"/>
          <w:sz w:val="32"/>
          <w:szCs w:val="32"/>
        </w:rPr>
        <w:t>：指财政当年拨付的资金。包括一般公共预算财政拨款和政府性基金财政拨款。</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上级补助收入</w:t>
      </w:r>
      <w:r>
        <w:rPr>
          <w:rFonts w:hint="eastAsia" w:ascii="宋体" w:hAnsi="宋体" w:eastAsia="宋体" w:cs="Calibri"/>
          <w:color w:val="000000"/>
          <w:sz w:val="32"/>
          <w:szCs w:val="32"/>
        </w:rPr>
        <w:t>：指事业单位从主管部门和上级单位取得的非财政补助收入。</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事业收入：</w:t>
      </w:r>
      <w:r>
        <w:rPr>
          <w:rFonts w:hint="eastAsia" w:ascii="宋体" w:hAnsi="宋体" w:eastAsia="宋体" w:cs="Calibri"/>
          <w:color w:val="000000"/>
          <w:sz w:val="32"/>
          <w:szCs w:val="32"/>
        </w:rPr>
        <w:t>指事业单位开展专业业务活动及辅助活动所取得的收入。</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经营收入：</w:t>
      </w:r>
      <w:r>
        <w:rPr>
          <w:rFonts w:hint="eastAsia" w:ascii="宋体" w:hAnsi="宋体" w:eastAsia="宋体" w:cs="Calibri"/>
          <w:color w:val="000000"/>
          <w:sz w:val="32"/>
          <w:szCs w:val="32"/>
        </w:rPr>
        <w:t>指事业单位在专业业务活动及其辅助活动之外开展非独立核算经营活动取得的收入。</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附属单位上缴收入</w:t>
      </w:r>
      <w:r>
        <w:rPr>
          <w:rFonts w:hint="eastAsia" w:ascii="宋体" w:hAnsi="宋体" w:eastAsia="宋体" w:cs="Calibri"/>
          <w:color w:val="000000"/>
          <w:sz w:val="32"/>
          <w:szCs w:val="32"/>
        </w:rPr>
        <w:t>：指事业单位附属独立核算单位按照有关规定上缴的收入。</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其他收入</w:t>
      </w:r>
      <w:r>
        <w:rPr>
          <w:rFonts w:hint="eastAsia" w:ascii="宋体" w:hAnsi="宋体" w:eastAsia="宋体" w:cs="Calibri"/>
          <w:color w:val="000000"/>
          <w:sz w:val="32"/>
          <w:szCs w:val="32"/>
        </w:rPr>
        <w:t>：指除上述“财政拨款收入”、“事业收入”、“经营收入”等以外的收入。</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用事业基金弥补收支差额</w:t>
      </w:r>
      <w:r>
        <w:rPr>
          <w:rFonts w:hint="eastAsia" w:ascii="宋体" w:hAnsi="宋体" w:eastAsia="宋体" w:cs="Calibri"/>
          <w:color w:val="000000"/>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年初结转和结余</w:t>
      </w:r>
      <w:r>
        <w:rPr>
          <w:rFonts w:hint="eastAsia" w:ascii="宋体" w:hAnsi="宋体" w:eastAsia="宋体" w:cs="Calibri"/>
          <w:color w:val="000000"/>
          <w:sz w:val="32"/>
          <w:szCs w:val="32"/>
        </w:rPr>
        <w:t>：指以前年度尚未完成、结转到本年按有关规定继续使用的资金。</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结余分配</w:t>
      </w:r>
      <w:r>
        <w:rPr>
          <w:rFonts w:hint="eastAsia" w:ascii="宋体" w:hAnsi="宋体" w:eastAsia="宋体" w:cs="Calibri"/>
          <w:color w:val="000000"/>
          <w:sz w:val="32"/>
          <w:szCs w:val="32"/>
        </w:rPr>
        <w:t>：指事业事位按规定从非财政补助结余中分配的事业基金和职工福利基金等。</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年末结转和结余</w:t>
      </w:r>
      <w:r>
        <w:rPr>
          <w:rFonts w:hint="eastAsia" w:ascii="宋体" w:hAnsi="宋体" w:eastAsia="宋体" w:cs="Calibri"/>
          <w:color w:val="000000"/>
          <w:sz w:val="32"/>
          <w:szCs w:val="32"/>
        </w:rPr>
        <w:t>：指本年度或以前年度预算安排、因客观条件发生变化无法按原计划实施，需要延迟到以后年度按有关规定继续使用的资金。</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基本支出</w:t>
      </w:r>
      <w:r>
        <w:rPr>
          <w:rFonts w:hint="eastAsia" w:ascii="宋体" w:hAnsi="宋体" w:eastAsia="宋体" w:cs="Calibri"/>
          <w:color w:val="000000"/>
          <w:sz w:val="32"/>
          <w:szCs w:val="32"/>
        </w:rPr>
        <w:t>：指为保障机构正常运转、完成日常工作任务而发生的人员支出和公用支出。</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项目支出</w:t>
      </w:r>
      <w:r>
        <w:rPr>
          <w:rFonts w:hint="eastAsia" w:ascii="宋体" w:hAnsi="宋体" w:eastAsia="宋体" w:cs="Calibri"/>
          <w:color w:val="000000"/>
          <w:sz w:val="32"/>
          <w:szCs w:val="32"/>
        </w:rPr>
        <w:t>：指在基本支出之外为完成特定行政任务和事业发展目标所发生的支出。</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经营支出</w:t>
      </w:r>
      <w:r>
        <w:rPr>
          <w:rFonts w:hint="eastAsia" w:ascii="宋体" w:hAnsi="宋体" w:eastAsia="宋体" w:cs="Calibri"/>
          <w:color w:val="000000"/>
          <w:sz w:val="32"/>
          <w:szCs w:val="32"/>
        </w:rPr>
        <w:t>：指事业单位在专业业务活动及其辅助活动之外开展非独立核算经营活动所发生的支出。</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“三公”经费</w:t>
      </w:r>
      <w:r>
        <w:rPr>
          <w:rFonts w:hint="eastAsia" w:ascii="宋体" w:hAnsi="宋体" w:eastAsia="宋体" w:cs="Calibri"/>
          <w:color w:val="00000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机关运行经费</w:t>
      </w:r>
      <w:r>
        <w:rPr>
          <w:rFonts w:hint="eastAsia" w:ascii="宋体" w:hAnsi="宋体" w:eastAsia="宋体" w:cs="Calibri"/>
          <w:color w:val="000000"/>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p>
    <w:p>
      <w:pPr>
        <w:spacing w:after="2"/>
        <w:jc w:val="center"/>
        <w:rPr>
          <w:color w:val="000000"/>
          <w:szCs w:val="21"/>
        </w:rPr>
      </w:pPr>
      <w:r>
        <w:rPr>
          <w:rFonts w:hint="eastAsia" w:ascii="宋体" w:hAnsi="宋体" w:eastAsia="宋体"/>
          <w:b/>
          <w:bCs/>
          <w:color w:val="000000"/>
          <w:sz w:val="36"/>
          <w:szCs w:val="36"/>
        </w:rPr>
        <w:t>第五部分 附件</w:t>
      </w:r>
      <w:r>
        <w:rPr>
          <w:rFonts w:hint="eastAsia"/>
          <w:color w:val="000000"/>
          <w:szCs w:val="21"/>
        </w:rPr>
        <w:t xml:space="preserve"> </w:t>
      </w:r>
    </w:p>
    <w:p>
      <w:pPr>
        <w:spacing w:after="2"/>
        <w:jc w:val="center"/>
        <w:rPr>
          <w:color w:val="000000"/>
          <w:szCs w:val="21"/>
        </w:rPr>
      </w:pPr>
      <w:r>
        <w:fldChar w:fldCharType="begin"/>
      </w:r>
      <w:r>
        <w:instrText xml:space="preserve"> HYPERLINK "http://10.105.39.121/portal/home/downloadAttachment?attachGUID=157b5da207d04da88ea04c8a24d2269c" \t "_blank" </w:instrText>
      </w:r>
      <w:r>
        <w:fldChar w:fldCharType="separate"/>
      </w:r>
      <w:r>
        <w:rPr>
          <w:rStyle w:val="10"/>
          <w:rFonts w:hint="eastAsia" w:ascii="宋体" w:hAnsi="宋体" w:eastAsia="宋体"/>
          <w:sz w:val="28"/>
          <w:szCs w:val="28"/>
          <w:shd w:val="clear" w:color="auto" w:fill="FFFFFF"/>
        </w:rPr>
        <w:t>2020年整体绩效评价报告.docx</w:t>
      </w:r>
      <w:r>
        <w:rPr>
          <w:rStyle w:val="10"/>
          <w:rFonts w:hint="eastAsia" w:ascii="宋体" w:hAnsi="宋体" w:eastAsia="宋体"/>
          <w:sz w:val="28"/>
          <w:szCs w:val="28"/>
          <w:shd w:val="clear" w:color="auto" w:fill="FFFFFF"/>
        </w:rPr>
        <w:fldChar w:fldCharType="end"/>
      </w:r>
      <w:r>
        <w:rPr>
          <w:rFonts w:hint="eastAsia" w:ascii="宋体" w:hAnsi="宋体" w:eastAsia="宋体"/>
          <w:color w:val="000000"/>
          <w:sz w:val="28"/>
          <w:szCs w:val="28"/>
          <w:shd w:val="clear" w:color="auto" w:fill="FFFFFF"/>
        </w:rPr>
        <w:br w:type="textWrapping"/>
      </w:r>
      <w:r>
        <w:fldChar w:fldCharType="begin"/>
      </w:r>
      <w:r>
        <w:instrText xml:space="preserve"> HYPERLINK "http://10.105.39.121/portal/home/downloadAttachment?attachGUID=8a9a966b8a6a4887881a1d773167fb1e" \t "_blank" </w:instrText>
      </w:r>
      <w:r>
        <w:fldChar w:fldCharType="separate"/>
      </w:r>
      <w:r>
        <w:rPr>
          <w:rStyle w:val="10"/>
          <w:rFonts w:hint="eastAsia" w:ascii="宋体" w:hAnsi="宋体" w:eastAsia="宋体"/>
          <w:sz w:val="28"/>
          <w:szCs w:val="28"/>
          <w:shd w:val="clear" w:color="auto" w:fill="FFFFFF"/>
        </w:rPr>
        <w:t>2020年整体绩效评价报告附件.docx</w:t>
      </w:r>
      <w:r>
        <w:rPr>
          <w:rStyle w:val="10"/>
          <w:rFonts w:hint="eastAsia" w:ascii="宋体" w:hAnsi="宋体" w:eastAsia="宋体"/>
          <w:sz w:val="28"/>
          <w:szCs w:val="28"/>
          <w:shd w:val="clear" w:color="auto" w:fill="FFFFFF"/>
        </w:rPr>
        <w:fldChar w:fldCharType="end"/>
      </w:r>
      <w:r>
        <w:rPr>
          <w:rFonts w:hint="eastAsia" w:ascii="宋体" w:hAnsi="宋体" w:eastAsia="宋体"/>
          <w:color w:val="000000"/>
          <w:sz w:val="28"/>
          <w:szCs w:val="28"/>
          <w:shd w:val="clear" w:color="auto" w:fill="FFFFFF"/>
        </w:rPr>
        <w:br w:type="textWrapping"/>
      </w:r>
    </w:p>
    <w:p>
      <w:pPr>
        <w:spacing w:after="2"/>
        <w:jc w:val="center"/>
        <w:rPr>
          <w:color w:val="000000"/>
          <w:szCs w:val="21"/>
        </w:rPr>
      </w:pPr>
    </w:p>
    <w:p>
      <w:pPr>
        <w:spacing w:after="2"/>
        <w:jc w:val="center"/>
        <w:rPr>
          <w:color w:val="000000"/>
          <w:szCs w:val="21"/>
        </w:rPr>
      </w:pPr>
    </w:p>
    <w:p>
      <w:pPr>
        <w:spacing w:after="2"/>
        <w:jc w:val="center"/>
        <w:rPr>
          <w:color w:val="000000"/>
          <w:szCs w:val="21"/>
        </w:rPr>
      </w:pPr>
    </w:p>
    <w:sectPr>
      <w:pgSz w:w="11906" w:h="16838" w:orient="landscape"/>
      <w:pgMar w:top="1440" w:right="1080" w:bottom="1440" w:left="1080" w:header="851" w:footer="992" w:gutter="0"/>
      <w:cols w:space="720" w:num="1"/>
      <w:docGrid w:type="lines" w:linePitch="1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2"/>
  </w:compat>
  <w:rsids>
    <w:rsidRoot w:val="00E03957"/>
    <w:rsid w:val="004656C8"/>
    <w:rsid w:val="006962F9"/>
    <w:rsid w:val="00DB4B45"/>
    <w:rsid w:val="00E03957"/>
    <w:rsid w:val="00F678C9"/>
    <w:rsid w:val="21395BD7"/>
    <w:rsid w:val="64577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9"/>
    <w:semiHidden/>
    <w:unhideWhenUsed/>
    <w:uiPriority w:val="99"/>
    <w:rPr>
      <w:b/>
      <w:bCs/>
    </w:rPr>
  </w:style>
  <w:style w:type="paragraph" w:styleId="3">
    <w:name w:val="annotation text"/>
    <w:basedOn w:val="1"/>
    <w:link w:val="18"/>
    <w:semiHidden/>
    <w:unhideWhenUsed/>
    <w:uiPriority w:val="99"/>
    <w:pPr>
      <w:jc w:val="left"/>
    </w:pPr>
  </w:style>
  <w:style w:type="paragraph" w:styleId="4">
    <w:name w:val="footer"/>
    <w:basedOn w:val="1"/>
    <w:link w:val="17"/>
    <w:semiHidden/>
    <w:unhideWhenUsed/>
    <w:qFormat/>
    <w:uiPriority w:val="99"/>
    <w:pPr>
      <w:tabs>
        <w:tab w:val="center" w:pos="4153"/>
        <w:tab w:val="right" w:pos="8306"/>
      </w:tabs>
      <w:snapToGrid w:val="0"/>
      <w:jc w:val="left"/>
    </w:pPr>
    <w:rPr>
      <w:sz w:val="18"/>
      <w:szCs w:val="18"/>
    </w:rPr>
  </w:style>
  <w:style w:type="paragraph" w:styleId="5">
    <w:name w:val="header"/>
    <w:basedOn w:val="1"/>
    <w:link w:val="16"/>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FollowedHyperlink"/>
    <w:basedOn w:val="7"/>
    <w:semiHidden/>
    <w:unhideWhenUsed/>
    <w:uiPriority w:val="99"/>
    <w:rPr>
      <w:color w:val="800080"/>
      <w:u w:val="single"/>
    </w:rPr>
  </w:style>
  <w:style w:type="character" w:styleId="10">
    <w:name w:val="Hyperlink"/>
    <w:basedOn w:val="7"/>
    <w:semiHidden/>
    <w:unhideWhenUsed/>
    <w:qFormat/>
    <w:uiPriority w:val="99"/>
    <w:rPr>
      <w:color w:val="0000FF"/>
      <w:u w:val="single"/>
    </w:rPr>
  </w:style>
  <w:style w:type="character" w:styleId="11">
    <w:name w:val="annotation reference"/>
    <w:basedOn w:val="7"/>
    <w:semiHidden/>
    <w:unhideWhenUsed/>
    <w:uiPriority w:val="99"/>
    <w:rPr>
      <w:sz w:val="21"/>
      <w:szCs w:val="21"/>
    </w:rPr>
  </w:style>
  <w:style w:type="paragraph" w:customStyle="1" w:styleId="13">
    <w:name w:val="1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17"/>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peoplefilling"/>
    <w:basedOn w:val="7"/>
    <w:qFormat/>
    <w:uiPriority w:val="0"/>
  </w:style>
  <w:style w:type="character" w:customStyle="1" w:styleId="16">
    <w:name w:val="页眉 字符"/>
    <w:basedOn w:val="7"/>
    <w:link w:val="5"/>
    <w:semiHidden/>
    <w:uiPriority w:val="99"/>
    <w:rPr>
      <w:rFonts w:asciiTheme="minorHAnsi" w:hAnsiTheme="minorHAnsi" w:cstheme="minorBidi"/>
      <w:kern w:val="2"/>
      <w:sz w:val="18"/>
      <w:szCs w:val="18"/>
    </w:rPr>
  </w:style>
  <w:style w:type="character" w:customStyle="1" w:styleId="17">
    <w:name w:val="页脚 字符"/>
    <w:basedOn w:val="7"/>
    <w:link w:val="4"/>
    <w:semiHidden/>
    <w:qFormat/>
    <w:uiPriority w:val="99"/>
    <w:rPr>
      <w:rFonts w:asciiTheme="minorHAnsi" w:hAnsiTheme="minorHAnsi" w:cstheme="minorBidi"/>
      <w:kern w:val="2"/>
      <w:sz w:val="18"/>
      <w:szCs w:val="18"/>
    </w:rPr>
  </w:style>
  <w:style w:type="character" w:customStyle="1" w:styleId="18">
    <w:name w:val="批注文字 字符"/>
    <w:basedOn w:val="7"/>
    <w:link w:val="3"/>
    <w:semiHidden/>
    <w:uiPriority w:val="99"/>
    <w:rPr>
      <w:rFonts w:asciiTheme="minorHAnsi" w:hAnsiTheme="minorHAnsi" w:cstheme="minorBidi"/>
      <w:kern w:val="2"/>
      <w:sz w:val="21"/>
      <w:szCs w:val="22"/>
    </w:rPr>
  </w:style>
  <w:style w:type="character" w:customStyle="1" w:styleId="19">
    <w:name w:val="批注主题 字符"/>
    <w:basedOn w:val="18"/>
    <w:link w:val="2"/>
    <w:semiHidden/>
    <w:qFormat/>
    <w:uiPriority w:val="99"/>
    <w:rPr>
      <w:rFonts w:asciiTheme="minorHAnsi" w:hAnsiTheme="minorHAnsi" w:cstheme="minorBidi"/>
      <w:b/>
      <w:bCs/>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3064</Words>
  <Characters>17466</Characters>
  <Lines>145</Lines>
  <Paragraphs>40</Paragraphs>
  <TotalTime>0</TotalTime>
  <ScaleCrop>false</ScaleCrop>
  <LinksUpToDate>false</LinksUpToDate>
  <CharactersWithSpaces>20490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2021-10-18T05:45:00Z</dcterms:created>
  <dc:creator>admin</dc:creator>
  <cp:lastModifiedBy>lenovo</cp:lastModifiedBy>
  <dcterms:modified xsi:type="dcterms:W3CDTF">2022-06-15T06:59:18Z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