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center"/>
        <w:rPr>
          <w:rFonts w:ascii="Times New Roman" w:hAnsi="Times New Roman" w:eastAsia="方正小标宋简体"/>
          <w:color w:val="000000"/>
          <w:kern w:val="0"/>
          <w:sz w:val="44"/>
          <w:szCs w:val="44"/>
        </w:rPr>
      </w:pPr>
      <w:r>
        <w:rPr>
          <w:rFonts w:hint="eastAsia" w:ascii="Times New Roman" w:hAnsi="Times New Roman" w:eastAsia="方正小标宋简体"/>
          <w:color w:val="000000"/>
          <w:kern w:val="0"/>
          <w:sz w:val="44"/>
          <w:szCs w:val="44"/>
        </w:rPr>
        <w:t>2020年部门整体支出绩效自评报告</w:t>
      </w: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p>
    <w:p>
      <w:pPr>
        <w:spacing w:line="596" w:lineRule="exact"/>
        <w:jc w:val="center"/>
        <w:rPr>
          <w:rFonts w:ascii="Times New Roman" w:hAnsi="Times New Roman" w:eastAsia="方正小标宋简体"/>
          <w:color w:val="000000"/>
          <w:kern w:val="0"/>
          <w:sz w:val="44"/>
          <w:szCs w:val="44"/>
        </w:rPr>
      </w:pPr>
      <w:r>
        <w:rPr>
          <w:rFonts w:hint="eastAsia" w:ascii="Times New Roman" w:hAnsi="Times New Roman" w:eastAsia="方正小标宋简体"/>
          <w:color w:val="000000"/>
          <w:kern w:val="0"/>
          <w:sz w:val="44"/>
          <w:szCs w:val="44"/>
        </w:rPr>
        <w:t>单位名称(盖章):浏阳市工商业联合会</w:t>
      </w:r>
    </w:p>
    <w:p>
      <w:pPr>
        <w:jc w:val="center"/>
        <w:rPr>
          <w:rFonts w:ascii="Times New Roman" w:hAnsi="Times New Roman" w:eastAsia="仿宋_GB2312"/>
          <w:color w:val="000000"/>
          <w:sz w:val="36"/>
          <w:szCs w:val="36"/>
        </w:rPr>
      </w:pPr>
      <w:r>
        <w:rPr>
          <w:rFonts w:hint="eastAsia" w:ascii="Times New Roman" w:hAnsi="Times New Roman" w:eastAsia="仿宋_GB2312"/>
          <w:color w:val="000000"/>
          <w:sz w:val="36"/>
          <w:szCs w:val="36"/>
        </w:rPr>
        <w:t>二O二一年</w:t>
      </w:r>
      <w:r>
        <w:rPr>
          <w:rFonts w:hint="eastAsia" w:ascii="Times New Roman" w:hAnsi="Times New Roman" w:eastAsia="仿宋_GB2312"/>
          <w:color w:val="000000"/>
          <w:sz w:val="36"/>
          <w:szCs w:val="36"/>
          <w:lang w:eastAsia="zh-CN"/>
        </w:rPr>
        <w:t>六</w:t>
      </w:r>
      <w:r>
        <w:rPr>
          <w:rFonts w:hint="eastAsia" w:ascii="Times New Roman" w:hAnsi="Times New Roman" w:eastAsia="仿宋_GB2312"/>
          <w:color w:val="000000"/>
          <w:sz w:val="36"/>
          <w:szCs w:val="36"/>
        </w:rPr>
        <w:t>月</w:t>
      </w:r>
      <w:r>
        <w:rPr>
          <w:rFonts w:hint="eastAsia" w:ascii="Times New Roman" w:hAnsi="Times New Roman" w:eastAsia="仿宋_GB2312"/>
          <w:color w:val="000000"/>
          <w:sz w:val="36"/>
          <w:szCs w:val="36"/>
          <w:lang w:eastAsia="zh-CN"/>
        </w:rPr>
        <w:t>十八</w:t>
      </w:r>
      <w:r>
        <w:rPr>
          <w:rFonts w:hint="eastAsia" w:ascii="Times New Roman" w:hAnsi="Times New Roman" w:eastAsia="仿宋_GB2312"/>
          <w:color w:val="000000"/>
          <w:sz w:val="36"/>
          <w:szCs w:val="36"/>
        </w:rPr>
        <w:t>日</w:t>
      </w:r>
    </w:p>
    <w:p>
      <w:pPr>
        <w:spacing w:line="56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一、部门概况</w:t>
      </w:r>
    </w:p>
    <w:p>
      <w:pPr>
        <w:spacing w:line="560" w:lineRule="exact"/>
        <w:ind w:firstLine="643" w:firstLineChars="200"/>
        <w:rPr>
          <w:rFonts w:ascii="仿宋" w:hAnsi="仿宋" w:eastAsia="仿宋"/>
          <w:b/>
          <w:color w:val="000000"/>
          <w:kern w:val="0"/>
          <w:sz w:val="32"/>
          <w:szCs w:val="32"/>
        </w:rPr>
      </w:pPr>
      <w:r>
        <w:rPr>
          <w:rFonts w:hint="eastAsia" w:ascii="仿宋" w:hAnsi="仿宋" w:eastAsia="仿宋"/>
          <w:b/>
          <w:color w:val="000000"/>
          <w:kern w:val="0"/>
          <w:sz w:val="32"/>
          <w:szCs w:val="32"/>
        </w:rPr>
        <w:t>（一）部门职能概述</w:t>
      </w:r>
    </w:p>
    <w:p>
      <w:pPr>
        <w:spacing w:line="600" w:lineRule="exact"/>
        <w:ind w:firstLine="640" w:firstLineChars="200"/>
        <w:rPr>
          <w:rFonts w:ascii="仿宋" w:hAnsi="仿宋" w:eastAsia="仿宋"/>
          <w:sz w:val="32"/>
          <w:szCs w:val="32"/>
          <w:lang w:val="zh-CN"/>
        </w:rPr>
      </w:pPr>
      <w:r>
        <w:rPr>
          <w:rFonts w:hint="eastAsia" w:ascii="仿宋" w:hAnsi="仿宋" w:eastAsia="仿宋"/>
          <w:sz w:val="32"/>
          <w:szCs w:val="32"/>
          <w:lang w:val="zh-CN"/>
        </w:rPr>
        <w:t>工商业联合会是市委领导下的全市非公经济组织和非公经济人士组成的群众团体，又是一个商会组织，下设办公室、会员部、非公经济科和基层商会管理办公室。</w:t>
      </w:r>
    </w:p>
    <w:p>
      <w:pPr>
        <w:spacing w:line="600" w:lineRule="exact"/>
        <w:ind w:firstLine="640" w:firstLineChars="200"/>
        <w:rPr>
          <w:rFonts w:ascii="仿宋" w:hAnsi="仿宋" w:eastAsia="仿宋"/>
          <w:sz w:val="32"/>
          <w:szCs w:val="32"/>
          <w:lang w:val="zh-CN"/>
        </w:rPr>
      </w:pPr>
      <w:r>
        <w:rPr>
          <w:rFonts w:hint="eastAsia" w:ascii="仿宋" w:hAnsi="仿宋" w:eastAsia="仿宋"/>
          <w:sz w:val="32"/>
          <w:szCs w:val="32"/>
          <w:lang w:val="zh-CN"/>
        </w:rPr>
        <w:t>基本任务：引导非公有制经济人士健康成长，促进非公有制经济健康发展。</w:t>
      </w:r>
    </w:p>
    <w:p>
      <w:pPr>
        <w:spacing w:line="600" w:lineRule="exact"/>
        <w:ind w:firstLine="640" w:firstLineChars="200"/>
        <w:rPr>
          <w:rFonts w:ascii="仿宋" w:hAnsi="仿宋" w:eastAsia="仿宋"/>
          <w:sz w:val="32"/>
          <w:szCs w:val="32"/>
          <w:lang w:val="zh-CN"/>
        </w:rPr>
      </w:pPr>
      <w:r>
        <w:rPr>
          <w:rFonts w:hint="eastAsia" w:ascii="仿宋" w:hAnsi="仿宋" w:eastAsia="仿宋"/>
          <w:sz w:val="32"/>
          <w:szCs w:val="32"/>
          <w:lang w:val="zh-CN"/>
        </w:rPr>
        <w:t>主要职能：发挥组织非公有制经济人士参与政治和社会事务的主渠道作用，开展非公有制经济人士思想政治工作的重要作用，协助政府管理非公有制经济的助手作用，构建和谐劳动关系的协调作用，推动行业协会商会改革发展的积极作用。</w:t>
      </w:r>
    </w:p>
    <w:p>
      <w:pPr>
        <w:spacing w:line="560" w:lineRule="exact"/>
        <w:ind w:firstLine="643" w:firstLineChars="200"/>
        <w:rPr>
          <w:rFonts w:ascii="仿宋" w:hAnsi="仿宋" w:eastAsia="仿宋"/>
          <w:b/>
          <w:color w:val="000000"/>
          <w:kern w:val="0"/>
          <w:sz w:val="32"/>
          <w:szCs w:val="32"/>
        </w:rPr>
      </w:pPr>
      <w:r>
        <w:rPr>
          <w:rFonts w:hint="eastAsia" w:ascii="仿宋" w:hAnsi="仿宋" w:eastAsia="仿宋"/>
          <w:b/>
          <w:color w:val="000000"/>
          <w:kern w:val="0"/>
          <w:sz w:val="32"/>
          <w:szCs w:val="32"/>
        </w:rPr>
        <w:t>(二)部门组织机构及人员情况</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我会是市委领导下的全市非公经济组织和非公经济人士组成的群众团体，又是一个商会组织，下设办公室、会员部、非公经济科和基层商会管理办公室。共有在职干部职工1</w:t>
      </w:r>
      <w:r>
        <w:rPr>
          <w:rFonts w:hint="eastAsia" w:ascii="仿宋" w:hAnsi="仿宋" w:eastAsia="仿宋"/>
          <w:sz w:val="32"/>
          <w:szCs w:val="32"/>
          <w:lang w:val="en-US" w:eastAsia="zh-CN"/>
        </w:rPr>
        <w:t>0</w:t>
      </w:r>
      <w:r>
        <w:rPr>
          <w:rFonts w:hint="eastAsia" w:ascii="仿宋" w:hAnsi="仿宋" w:eastAsia="仿宋"/>
          <w:sz w:val="32"/>
          <w:szCs w:val="32"/>
          <w:lang w:val="zh-CN"/>
        </w:rPr>
        <w:t>人（其中合同制聘用人员1人），离退休2人。</w:t>
      </w:r>
    </w:p>
    <w:p>
      <w:pPr>
        <w:spacing w:line="560" w:lineRule="exact"/>
        <w:ind w:firstLine="643" w:firstLineChars="200"/>
        <w:rPr>
          <w:rFonts w:ascii="仿宋" w:hAnsi="仿宋" w:eastAsia="仿宋"/>
          <w:b/>
          <w:color w:val="000000"/>
          <w:kern w:val="0"/>
          <w:sz w:val="32"/>
          <w:szCs w:val="32"/>
        </w:rPr>
      </w:pPr>
      <w:r>
        <w:rPr>
          <w:rFonts w:ascii="仿宋" w:hAnsi="仿宋" w:eastAsia="仿宋"/>
          <w:b/>
          <w:color w:val="000000"/>
          <w:kern w:val="0"/>
          <w:sz w:val="32"/>
          <w:szCs w:val="32"/>
        </w:rPr>
        <w:t>（三）年度重点工作计划</w:t>
      </w:r>
    </w:p>
    <w:p>
      <w:pPr>
        <w:spacing w:line="560" w:lineRule="exact"/>
        <w:ind w:firstLine="640" w:firstLineChars="200"/>
        <w:rPr>
          <w:rFonts w:hint="eastAsia" w:ascii="仿宋" w:hAnsi="仿宋" w:eastAsia="仿宋" w:cs="宋体"/>
          <w:color w:val="000000" w:themeColor="text1"/>
          <w:sz w:val="32"/>
          <w:szCs w:val="32"/>
        </w:rPr>
      </w:pPr>
      <w:r>
        <w:rPr>
          <w:rFonts w:hint="eastAsia" w:ascii="仿宋" w:hAnsi="仿宋" w:eastAsia="仿宋" w:cs="宋体"/>
          <w:color w:val="000000" w:themeColor="text1"/>
          <w:sz w:val="32"/>
          <w:szCs w:val="32"/>
        </w:rPr>
        <w:t>2020年，市工商联紧紧围绕市委、市政府决策部署，积极履行职责，主动融入建设现代化浏阳的大局中，为党委政府和民营企业架好“桥”，为民营企业建好“家”，进一步做好新时代促进两个健康工作。 深入开展以“四信”为主题的理想信念教育，团结广大非公经济人士“听党话、跟党走”，组织部分企业家前往红色革命圣地开展革命传统教育，坚定非公经济人士的理想信念。积极引导民营企业参与“万企帮万村”精准扶贫行动 和“一带一路”建设。通过“请进来”、“走出去”等多种形式，举办“浏商大讲坛”，邀请全国知名专家和企业家来浏讲学、答疑解惑。组织企业家到全国名校进行专题研修。组织行业龙头企业赴沿海地区先进企业学习和借鉴“新发展理念”。继续落实民营企业接待日制度与领导干部联系非公企业和商会制度，开展“政企面对面 沟通零距离 服务一对一”活动。提前谋划乡镇街道商会换届事宜，全面加强基层商会领导班子和领导机构建设。切实抓好了异地商会建设工作，建立“政府支持、商会主导、企业参与”的商会招商模式，搭建招商引资工作新平台。</w:t>
      </w:r>
    </w:p>
    <w:p>
      <w:pPr>
        <w:spacing w:line="560" w:lineRule="exact"/>
        <w:ind w:firstLine="643" w:firstLineChars="200"/>
        <w:rPr>
          <w:rFonts w:ascii="仿宋" w:hAnsi="仿宋" w:eastAsia="仿宋"/>
          <w:b/>
          <w:color w:val="000000"/>
          <w:kern w:val="0"/>
          <w:sz w:val="32"/>
          <w:szCs w:val="32"/>
        </w:rPr>
      </w:pPr>
      <w:r>
        <w:rPr>
          <w:rFonts w:ascii="仿宋" w:hAnsi="仿宋" w:eastAsia="仿宋"/>
          <w:b/>
          <w:color w:val="000000"/>
          <w:kern w:val="0"/>
          <w:sz w:val="32"/>
          <w:szCs w:val="32"/>
        </w:rPr>
        <w:t>（四）部门整体支出规模、使用方向、主要内容和涉及范围。</w:t>
      </w:r>
    </w:p>
    <w:p>
      <w:pPr>
        <w:spacing w:line="560" w:lineRule="exact"/>
        <w:ind w:firstLine="640" w:firstLineChars="200"/>
        <w:rPr>
          <w:rFonts w:ascii="仿宋" w:hAnsi="仿宋" w:eastAsia="仿宋"/>
          <w:kern w:val="0"/>
          <w:sz w:val="32"/>
          <w:szCs w:val="32"/>
        </w:rPr>
      </w:pPr>
      <w:r>
        <w:rPr>
          <w:rFonts w:hint="eastAsia" w:ascii="仿宋" w:hAnsi="仿宋" w:eastAsia="仿宋"/>
          <w:color w:val="000000"/>
          <w:sz w:val="32"/>
          <w:szCs w:val="32"/>
        </w:rPr>
        <w:t>工商业联合会2020</w:t>
      </w:r>
      <w:r>
        <w:rPr>
          <w:rFonts w:ascii="仿宋" w:hAnsi="仿宋" w:eastAsia="仿宋"/>
          <w:kern w:val="0"/>
          <w:sz w:val="32"/>
          <w:szCs w:val="32"/>
        </w:rPr>
        <w:t>年度部门预算</w:t>
      </w:r>
      <w:r>
        <w:rPr>
          <w:rFonts w:hint="eastAsia" w:ascii="仿宋" w:hAnsi="仿宋" w:eastAsia="仿宋"/>
          <w:kern w:val="0"/>
          <w:sz w:val="32"/>
          <w:szCs w:val="32"/>
        </w:rPr>
        <w:t>240.51</w:t>
      </w:r>
      <w:r>
        <w:rPr>
          <w:rFonts w:ascii="仿宋" w:hAnsi="仿宋" w:eastAsia="仿宋"/>
          <w:kern w:val="0"/>
          <w:sz w:val="32"/>
          <w:szCs w:val="32"/>
        </w:rPr>
        <w:t>万元，部门决算</w:t>
      </w:r>
      <w:r>
        <w:rPr>
          <w:rFonts w:hint="eastAsia" w:ascii="仿宋" w:hAnsi="仿宋" w:eastAsia="仿宋"/>
          <w:kern w:val="0"/>
          <w:sz w:val="32"/>
          <w:szCs w:val="32"/>
        </w:rPr>
        <w:t>296.36</w:t>
      </w:r>
      <w:r>
        <w:rPr>
          <w:rFonts w:ascii="仿宋" w:hAnsi="仿宋" w:eastAsia="仿宋"/>
          <w:kern w:val="0"/>
          <w:sz w:val="32"/>
          <w:szCs w:val="32"/>
        </w:rPr>
        <w:t>万元，实际拨款支出</w:t>
      </w:r>
      <w:r>
        <w:rPr>
          <w:rFonts w:hint="eastAsia" w:ascii="仿宋" w:hAnsi="仿宋" w:eastAsia="仿宋"/>
          <w:kern w:val="0"/>
          <w:sz w:val="32"/>
          <w:szCs w:val="32"/>
        </w:rPr>
        <w:t>296.36</w:t>
      </w:r>
      <w:r>
        <w:rPr>
          <w:rFonts w:ascii="仿宋" w:hAnsi="仿宋" w:eastAsia="仿宋"/>
          <w:kern w:val="0"/>
          <w:sz w:val="32"/>
          <w:szCs w:val="32"/>
        </w:rPr>
        <w:t>万元，其中基本支出</w:t>
      </w:r>
      <w:r>
        <w:rPr>
          <w:rFonts w:hint="eastAsia" w:ascii="仿宋" w:hAnsi="仿宋" w:eastAsia="仿宋"/>
          <w:kern w:val="0"/>
          <w:sz w:val="32"/>
          <w:szCs w:val="32"/>
        </w:rPr>
        <w:t>179.34</w:t>
      </w:r>
      <w:r>
        <w:rPr>
          <w:rFonts w:ascii="仿宋" w:hAnsi="仿宋" w:eastAsia="仿宋"/>
          <w:kern w:val="0"/>
          <w:sz w:val="32"/>
          <w:szCs w:val="32"/>
        </w:rPr>
        <w:t>万元、项目支出</w:t>
      </w:r>
      <w:r>
        <w:rPr>
          <w:rFonts w:hint="eastAsia" w:ascii="仿宋" w:hAnsi="仿宋" w:eastAsia="仿宋"/>
          <w:kern w:val="0"/>
          <w:sz w:val="32"/>
          <w:szCs w:val="32"/>
        </w:rPr>
        <w:t>117.02</w:t>
      </w:r>
      <w:r>
        <w:rPr>
          <w:rFonts w:ascii="仿宋" w:hAnsi="仿宋" w:eastAsia="仿宋"/>
          <w:kern w:val="0"/>
          <w:sz w:val="32"/>
          <w:szCs w:val="32"/>
        </w:rPr>
        <w:t>万元。项目支出主要</w:t>
      </w:r>
      <w:r>
        <w:rPr>
          <w:rFonts w:hint="eastAsia" w:ascii="仿宋" w:hAnsi="仿宋" w:eastAsia="仿宋"/>
          <w:kern w:val="0"/>
          <w:sz w:val="32"/>
          <w:szCs w:val="32"/>
        </w:rPr>
        <w:t>包括基层商会管理工作经费、民营企业投诉处理中心工作专项经费、乡镇分会行业商会工作专项经费、异地商会及招商引资工作经费、非公有制经济工作领导小组专项工作经费、参政议政调研专项工作经费、非公经济人士教育培训经费</w:t>
      </w:r>
      <w:r>
        <w:rPr>
          <w:rFonts w:ascii="仿宋" w:hAnsi="仿宋" w:eastAsia="仿宋"/>
          <w:sz w:val="32"/>
          <w:szCs w:val="32"/>
        </w:rPr>
        <w:t>。</w:t>
      </w:r>
    </w:p>
    <w:p>
      <w:pPr>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二、部门整体支出管理及使用情况</w:t>
      </w:r>
    </w:p>
    <w:p>
      <w:pPr>
        <w:spacing w:line="560" w:lineRule="exact"/>
        <w:ind w:firstLine="643" w:firstLineChars="200"/>
        <w:rPr>
          <w:rFonts w:ascii="仿宋" w:hAnsi="仿宋" w:eastAsia="仿宋"/>
          <w:b/>
          <w:color w:val="000000"/>
          <w:kern w:val="0"/>
          <w:sz w:val="32"/>
          <w:szCs w:val="32"/>
        </w:rPr>
      </w:pPr>
      <w:r>
        <w:rPr>
          <w:rFonts w:ascii="仿宋" w:hAnsi="仿宋" w:eastAsia="仿宋"/>
          <w:b/>
          <w:color w:val="000000"/>
          <w:kern w:val="0"/>
          <w:sz w:val="32"/>
          <w:szCs w:val="32"/>
        </w:rPr>
        <w:t>（一）基本支出。</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1.实际整体收支情况。</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2020年收入合计为296.36万元，支出合计为296.36万元，收支平衡。2019年总收入支出为315.88万元，本年度减少了19.52万元，</w:t>
      </w:r>
      <w:r>
        <w:rPr>
          <w:rFonts w:hint="eastAsia" w:ascii="仿宋" w:hAnsi="仿宋" w:eastAsia="仿宋"/>
          <w:sz w:val="32"/>
          <w:szCs w:val="32"/>
        </w:rPr>
        <w:t>原因是人员减少，费用减少。</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2020年度财政拨款基本支出179.34万元，其中：人员经费171.44万元，占基本支出的95.5</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%，主要包括基本工资、津贴补贴、奖金、机关事业单位基本养老保险缴费、其他工资福利支出、退休费、住房公积金、其他对个人和家庭的补助支出;公用经费7.9万元，占基本支出的4.4</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%，主要包括工会经费、福利费、其他商品和服务支出以及其他机关运行费用。</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2.“三公” 经费总支出情况。</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2020年三公经费预算为4.9万元,其中:因公出国(境)费预算0万元,公务用车运行维护费0万元,公务接待费4.9万元。本年度我中心实际支出1.41万元,其中:因公出国(境)费0万元;公务用车运行维护费0万元,公务接待费1.41万元,比预算节约3.49万元,较上年同期减少1.56万元,公务接待费用支出减少的主要原因是疫情影响及业务不同来客较去年同期减少。</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3.因公出国（境）费用支出和公务用车（购置）情况。</w:t>
      </w:r>
    </w:p>
    <w:p>
      <w:pPr>
        <w:pStyle w:val="4"/>
        <w:widowControl/>
        <w:spacing w:beforeAutospacing="0" w:afterAutospacing="0" w:line="420" w:lineRule="atLeast"/>
        <w:ind w:firstLine="420"/>
        <w:textAlignment w:val="center"/>
        <w:rPr>
          <w:rFonts w:ascii="仿宋" w:hAnsi="仿宋" w:eastAsia="仿宋"/>
          <w:color w:val="000000"/>
          <w:kern w:val="2"/>
          <w:sz w:val="32"/>
          <w:szCs w:val="32"/>
        </w:rPr>
      </w:pPr>
      <w:r>
        <w:rPr>
          <w:rFonts w:hint="eastAsia" w:ascii="仿宋" w:hAnsi="仿宋" w:eastAsia="仿宋"/>
          <w:color w:val="000000"/>
          <w:kern w:val="2"/>
          <w:sz w:val="32"/>
          <w:szCs w:val="32"/>
        </w:rPr>
        <w:t>2020年参加出国（境）团组0个，因公出国（境）费用零支出。购置新车0台。</w:t>
      </w:r>
    </w:p>
    <w:p>
      <w:pPr>
        <w:spacing w:line="560" w:lineRule="exact"/>
        <w:ind w:firstLine="643" w:firstLineChars="200"/>
        <w:rPr>
          <w:rFonts w:ascii="仿宋" w:hAnsi="仿宋" w:eastAsia="仿宋"/>
          <w:b/>
          <w:color w:val="000000"/>
          <w:sz w:val="32"/>
          <w:szCs w:val="32"/>
        </w:rPr>
      </w:pPr>
      <w:r>
        <w:rPr>
          <w:rFonts w:ascii="仿宋" w:hAnsi="仿宋" w:eastAsia="仿宋"/>
          <w:b/>
          <w:color w:val="000000"/>
          <w:sz w:val="32"/>
          <w:szCs w:val="32"/>
        </w:rPr>
        <w:t xml:space="preserve">（二）项目支出 </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1.项目资金安排落实、总投入等情况分析</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2020年度项目支出117.02万元(财政拨款117.02万元),资金到位率100%,其中商品和服务支出110.54万元、对个人和家庭的补助6.48万元、资本性支出0万元。</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2.项目资金实际使用情况分析</w:t>
      </w:r>
    </w:p>
    <w:p>
      <w:pPr>
        <w:spacing w:line="560" w:lineRule="exact"/>
        <w:ind w:firstLine="640" w:firstLineChars="200"/>
        <w:rPr>
          <w:rFonts w:ascii="仿宋" w:hAnsi="仿宋" w:eastAsia="仿宋"/>
          <w:sz w:val="32"/>
          <w:szCs w:val="32"/>
          <w:lang w:val="zh-CN"/>
        </w:rPr>
      </w:pPr>
      <w:r>
        <w:rPr>
          <w:rFonts w:ascii="仿宋" w:hAnsi="仿宋" w:eastAsia="仿宋"/>
          <w:kern w:val="0"/>
          <w:sz w:val="32"/>
          <w:szCs w:val="32"/>
        </w:rPr>
        <w:t>20</w:t>
      </w:r>
      <w:r>
        <w:rPr>
          <w:rFonts w:hint="eastAsia" w:ascii="仿宋" w:hAnsi="仿宋" w:eastAsia="仿宋"/>
          <w:kern w:val="0"/>
          <w:sz w:val="32"/>
          <w:szCs w:val="32"/>
        </w:rPr>
        <w:t>20</w:t>
      </w:r>
      <w:r>
        <w:rPr>
          <w:rFonts w:ascii="仿宋" w:hAnsi="仿宋" w:eastAsia="仿宋"/>
          <w:kern w:val="0"/>
          <w:sz w:val="32"/>
          <w:szCs w:val="32"/>
        </w:rPr>
        <w:t>年度项目支出</w:t>
      </w:r>
      <w:r>
        <w:rPr>
          <w:rFonts w:hint="eastAsia" w:ascii="仿宋" w:hAnsi="仿宋" w:eastAsia="仿宋"/>
          <w:kern w:val="0"/>
          <w:sz w:val="32"/>
          <w:szCs w:val="32"/>
        </w:rPr>
        <w:t>117.02</w:t>
      </w:r>
      <w:r>
        <w:rPr>
          <w:rFonts w:ascii="仿宋" w:hAnsi="仿宋" w:eastAsia="仿宋"/>
          <w:kern w:val="0"/>
          <w:sz w:val="32"/>
          <w:szCs w:val="32"/>
        </w:rPr>
        <w:t>万元，主要项目包括：</w:t>
      </w:r>
      <w:r>
        <w:rPr>
          <w:rFonts w:hint="eastAsia" w:ascii="仿宋" w:hAnsi="仿宋" w:eastAsia="仿宋"/>
          <w:kern w:val="0"/>
          <w:sz w:val="32"/>
          <w:szCs w:val="32"/>
        </w:rPr>
        <w:t>基层商会管理工作经费、民营企业投诉处理中心工作专项经费、乡镇分会行业商会工作专项经费、异地商会及招商引资工作经费、非公有制经济工作领导小组专项工作经费、参政议政调研专项工作经费、非公经济人士教育培训经费</w:t>
      </w:r>
      <w:r>
        <w:rPr>
          <w:rFonts w:ascii="仿宋" w:hAnsi="仿宋" w:eastAsia="仿宋"/>
          <w:sz w:val="32"/>
          <w:szCs w:val="32"/>
        </w:rPr>
        <w:t>。</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3.项目资金管理情况分析</w:t>
      </w:r>
    </w:p>
    <w:p>
      <w:pPr>
        <w:spacing w:line="560" w:lineRule="exact"/>
        <w:ind w:firstLine="640" w:firstLineChars="200"/>
        <w:rPr>
          <w:rFonts w:ascii="仿宋" w:hAnsi="仿宋" w:eastAsia="仿宋"/>
          <w:color w:val="000000"/>
          <w:sz w:val="32"/>
          <w:szCs w:val="32"/>
        </w:rPr>
      </w:pPr>
      <w:r>
        <w:rPr>
          <w:rFonts w:ascii="仿宋" w:hAnsi="仿宋" w:eastAsia="仿宋"/>
          <w:kern w:val="0"/>
          <w:sz w:val="32"/>
          <w:szCs w:val="32"/>
        </w:rPr>
        <w:t>为规范财务行为，强化支出业务管理，规范采购行为，提高采购效率，提高资金使用效益，保证政务中心事业发展，根据相关制度，结合实际，制定了收支管理、政府采购、资产管理、合同管理等制度。同时为建立健全中心预算管理体制，强化预算的分配和监督职能，维护预算的严肃性，保证资金的合理使用和正常运行，促进各项事业的稳定发展，制定了预算管理制度。通过明确划分权责，建立问责机制，保障了有序的管理，防范了财务风险。</w:t>
      </w:r>
    </w:p>
    <w:p>
      <w:pPr>
        <w:pStyle w:val="4"/>
        <w:widowControl/>
        <w:spacing w:beforeAutospacing="0" w:afterAutospacing="0" w:line="420" w:lineRule="atLeast"/>
        <w:ind w:firstLine="420"/>
        <w:textAlignment w:val="center"/>
        <w:rPr>
          <w:rFonts w:ascii="黑体" w:hAnsi="黑体" w:eastAsia="黑体"/>
          <w:color w:val="000000"/>
          <w:sz w:val="32"/>
          <w:szCs w:val="32"/>
        </w:rPr>
      </w:pPr>
      <w:r>
        <w:rPr>
          <w:rFonts w:hint="eastAsia" w:ascii="黑体" w:hAnsi="黑体" w:eastAsia="黑体"/>
          <w:color w:val="000000"/>
          <w:sz w:val="32"/>
          <w:szCs w:val="32"/>
        </w:rPr>
        <w:t>三、部门项目组织实施情况</w:t>
      </w:r>
    </w:p>
    <w:p>
      <w:pPr>
        <w:pStyle w:val="4"/>
        <w:widowControl/>
        <w:spacing w:beforeAutospacing="0" w:afterAutospacing="0" w:line="420" w:lineRule="atLeast"/>
        <w:ind w:firstLine="420"/>
        <w:textAlignment w:val="center"/>
        <w:rPr>
          <w:rFonts w:ascii="黑体" w:hAnsi="黑体" w:eastAsia="黑体"/>
          <w:color w:val="000000"/>
          <w:sz w:val="32"/>
          <w:szCs w:val="32"/>
        </w:rPr>
      </w:pPr>
      <w:r>
        <w:rPr>
          <w:rFonts w:hint="eastAsia" w:ascii="黑体" w:hAnsi="黑体" w:eastAsia="黑体"/>
          <w:color w:val="000000"/>
          <w:sz w:val="32"/>
          <w:szCs w:val="32"/>
        </w:rPr>
        <w:t>（一）项目组织情况分析</w:t>
      </w:r>
    </w:p>
    <w:p>
      <w:pPr>
        <w:pStyle w:val="4"/>
        <w:widowControl/>
        <w:spacing w:beforeAutospacing="0" w:afterAutospacing="0" w:line="420" w:lineRule="atLeast"/>
        <w:ind w:firstLine="420"/>
        <w:textAlignment w:val="center"/>
        <w:rPr>
          <w:rFonts w:ascii="仿宋" w:hAnsi="仿宋" w:eastAsia="仿宋"/>
          <w:sz w:val="32"/>
          <w:szCs w:val="32"/>
        </w:rPr>
      </w:pPr>
      <w:r>
        <w:rPr>
          <w:rFonts w:hint="eastAsia" w:ascii="仿宋" w:hAnsi="仿宋" w:eastAsia="仿宋"/>
          <w:sz w:val="32"/>
          <w:szCs w:val="32"/>
        </w:rPr>
        <w:t>2020年度组织实施的政务公开标准化体系建设项目招投标工作均本着公平、公正、科学、择优的原则，严格按照有关规定进行招标，在指定媒介发布招标公告，并按公告约定时间、地点开标、评标。开标、评标过程均受财政、纪检等行政监督部门行政监督。</w:t>
      </w:r>
    </w:p>
    <w:p>
      <w:pPr>
        <w:pStyle w:val="4"/>
        <w:widowControl/>
        <w:spacing w:beforeAutospacing="0" w:afterAutospacing="0" w:line="420" w:lineRule="atLeast"/>
        <w:ind w:firstLine="420"/>
        <w:textAlignment w:val="center"/>
        <w:rPr>
          <w:rFonts w:ascii="黑体" w:hAnsi="黑体" w:eastAsia="黑体"/>
          <w:color w:val="000000"/>
          <w:sz w:val="32"/>
          <w:szCs w:val="32"/>
        </w:rPr>
      </w:pPr>
      <w:r>
        <w:rPr>
          <w:rFonts w:hint="eastAsia" w:ascii="黑体" w:hAnsi="黑体" w:eastAsia="黑体"/>
          <w:color w:val="000000"/>
          <w:sz w:val="32"/>
          <w:szCs w:val="32"/>
        </w:rPr>
        <w:t>（二）项目管理情况分析</w:t>
      </w:r>
    </w:p>
    <w:p>
      <w:pPr>
        <w:pStyle w:val="4"/>
        <w:widowControl/>
        <w:spacing w:beforeAutospacing="0" w:afterAutospacing="0" w:line="420" w:lineRule="atLeast"/>
        <w:ind w:firstLine="420"/>
        <w:textAlignment w:val="center"/>
        <w:rPr>
          <w:rFonts w:ascii="仿宋" w:hAnsi="仿宋" w:eastAsia="仿宋"/>
          <w:sz w:val="32"/>
          <w:szCs w:val="32"/>
        </w:rPr>
      </w:pPr>
      <w:r>
        <w:rPr>
          <w:rFonts w:hint="eastAsia" w:ascii="仿宋" w:hAnsi="仿宋" w:eastAsia="仿宋"/>
          <w:sz w:val="32"/>
          <w:szCs w:val="32"/>
        </w:rPr>
        <w:t>行政审批局制定了项目管理相关制度，包括会议制度、合同制度、财务管理制度、廉洁自律制度等。在项目实施工程中，工作人员能严格执行制度的相关规定，派专人负责督查，确保建设任务按时高效完成。</w:t>
      </w:r>
    </w:p>
    <w:p>
      <w:pPr>
        <w:pStyle w:val="4"/>
        <w:widowControl/>
        <w:spacing w:beforeAutospacing="0" w:afterAutospacing="0" w:line="420" w:lineRule="atLeast"/>
        <w:ind w:firstLine="420"/>
        <w:textAlignment w:val="center"/>
        <w:rPr>
          <w:rFonts w:ascii="黑体" w:hAnsi="黑体" w:eastAsia="黑体"/>
          <w:color w:val="000000"/>
          <w:sz w:val="32"/>
          <w:szCs w:val="32"/>
        </w:rPr>
      </w:pPr>
      <w:r>
        <w:rPr>
          <w:rFonts w:hint="eastAsia" w:ascii="黑体" w:hAnsi="黑体" w:eastAsia="黑体"/>
          <w:color w:val="000000"/>
          <w:sz w:val="32"/>
          <w:szCs w:val="32"/>
        </w:rPr>
        <w:t>四、资产管理情况</w:t>
      </w:r>
    </w:p>
    <w:p>
      <w:pPr>
        <w:pStyle w:val="4"/>
        <w:widowControl/>
        <w:spacing w:beforeAutospacing="0" w:afterAutospacing="0" w:line="420" w:lineRule="atLeast"/>
        <w:ind w:firstLine="420"/>
        <w:textAlignment w:val="center"/>
        <w:rPr>
          <w:rFonts w:ascii="仿宋" w:hAnsi="仿宋" w:eastAsia="仿宋"/>
          <w:sz w:val="32"/>
          <w:szCs w:val="32"/>
        </w:rPr>
      </w:pPr>
      <w:r>
        <w:rPr>
          <w:rFonts w:hint="eastAsia" w:ascii="仿宋" w:hAnsi="仿宋" w:eastAsia="仿宋"/>
          <w:sz w:val="32"/>
          <w:szCs w:val="32"/>
        </w:rPr>
        <w:t>反映部门资产的配置、管理、处置等综合情况。包括制度建设、管理措施、配置处置的程序等。</w:t>
      </w:r>
    </w:p>
    <w:p>
      <w:pPr>
        <w:pStyle w:val="4"/>
        <w:widowControl/>
        <w:spacing w:beforeAutospacing="0" w:afterAutospacing="0" w:line="420" w:lineRule="atLeast"/>
        <w:ind w:firstLine="420"/>
        <w:textAlignment w:val="center"/>
        <w:rPr>
          <w:rFonts w:hint="eastAsia" w:ascii="仿宋" w:hAnsi="仿宋" w:eastAsia="仿宋"/>
          <w:sz w:val="32"/>
          <w:szCs w:val="32"/>
        </w:rPr>
      </w:pPr>
      <w:r>
        <w:rPr>
          <w:rFonts w:hint="eastAsia" w:ascii="仿宋" w:hAnsi="仿宋" w:eastAsia="仿宋"/>
          <w:sz w:val="32"/>
          <w:szCs w:val="32"/>
        </w:rPr>
        <w:t>2020年末资产合计数</w:t>
      </w:r>
      <w:r>
        <w:rPr>
          <w:rFonts w:hint="eastAsia" w:ascii="仿宋" w:hAnsi="仿宋" w:eastAsia="仿宋"/>
          <w:sz w:val="32"/>
          <w:szCs w:val="32"/>
          <w:lang w:val="en-US" w:eastAsia="zh-CN"/>
        </w:rPr>
        <w:t>63.98</w:t>
      </w:r>
      <w:r>
        <w:rPr>
          <w:rFonts w:hint="eastAsia" w:ascii="仿宋" w:hAnsi="仿宋" w:eastAsia="仿宋"/>
          <w:sz w:val="32"/>
          <w:szCs w:val="32"/>
        </w:rPr>
        <w:t>万元，其中固定资产资产原值</w:t>
      </w:r>
      <w:r>
        <w:rPr>
          <w:rFonts w:hint="eastAsia" w:ascii="仿宋" w:hAnsi="仿宋" w:eastAsia="仿宋"/>
          <w:sz w:val="32"/>
          <w:szCs w:val="32"/>
          <w:lang w:val="en-US" w:eastAsia="zh-CN"/>
        </w:rPr>
        <w:t>63.98</w:t>
      </w:r>
      <w:r>
        <w:rPr>
          <w:rFonts w:hint="eastAsia" w:ascii="仿宋" w:hAnsi="仿宋" w:eastAsia="仿宋"/>
          <w:sz w:val="32"/>
          <w:szCs w:val="32"/>
        </w:rPr>
        <w:t>万元（未进行固定资产累计折旧），固定资产净值</w:t>
      </w:r>
      <w:r>
        <w:rPr>
          <w:rFonts w:hint="eastAsia" w:ascii="仿宋" w:hAnsi="仿宋" w:eastAsia="仿宋"/>
          <w:sz w:val="32"/>
          <w:szCs w:val="32"/>
          <w:lang w:val="en-US" w:eastAsia="zh-CN"/>
        </w:rPr>
        <w:t>63.98</w:t>
      </w:r>
      <w:r>
        <w:rPr>
          <w:rFonts w:hint="eastAsia" w:ascii="仿宋" w:hAnsi="仿宋" w:eastAsia="仿宋"/>
          <w:sz w:val="32"/>
          <w:szCs w:val="32"/>
        </w:rPr>
        <w:t>万元；负债合计数为0。</w:t>
      </w:r>
    </w:p>
    <w:p>
      <w:pPr>
        <w:pStyle w:val="4"/>
        <w:widowControl/>
        <w:spacing w:beforeAutospacing="0" w:afterAutospacing="0" w:line="420" w:lineRule="atLeast"/>
        <w:ind w:firstLine="420"/>
        <w:textAlignment w:val="center"/>
        <w:rPr>
          <w:rFonts w:ascii="仿宋" w:hAnsi="仿宋" w:eastAsia="仿宋"/>
          <w:sz w:val="32"/>
          <w:szCs w:val="32"/>
        </w:rPr>
      </w:pPr>
      <w:r>
        <w:rPr>
          <w:rFonts w:hint="eastAsia" w:ascii="仿宋" w:hAnsi="仿宋" w:eastAsia="仿宋"/>
          <w:sz w:val="32"/>
          <w:szCs w:val="32"/>
        </w:rPr>
        <w:t>通过合理规划，按需配置资产，本单位资产使用率高，无房屋、土地等资产。固定资产主要用于保障日常工作运行。</w:t>
      </w:r>
    </w:p>
    <w:p>
      <w:pPr>
        <w:pStyle w:val="4"/>
        <w:widowControl/>
        <w:spacing w:beforeAutospacing="0" w:afterAutospacing="0" w:line="420" w:lineRule="atLeast"/>
        <w:ind w:firstLine="420"/>
        <w:textAlignment w:val="center"/>
        <w:rPr>
          <w:rFonts w:ascii="仿宋" w:hAnsi="仿宋" w:eastAsia="仿宋"/>
          <w:sz w:val="32"/>
          <w:szCs w:val="32"/>
        </w:rPr>
      </w:pPr>
      <w:r>
        <w:rPr>
          <w:rFonts w:hint="eastAsia" w:ascii="仿宋" w:hAnsi="仿宋" w:eastAsia="仿宋"/>
          <w:sz w:val="32"/>
          <w:szCs w:val="32"/>
        </w:rPr>
        <w:t>为规范本单位的国有资产管理，有效维护国有资产的安全完整和保值增值，结合中心实际情况，制定了国有资产管理制度。坚持资产管理与预算管理相结合的原则，推行实物费用定额制度，促进事业资产整合与共享共用，实现资产管理和预算管理的紧密统一；坚持所有权和使用权相分离的原则；坚持资产管理与财务管理、实物管理与价值管理相结合的原则；树立风险意识，防范单位资产管理的风险和漏洞。</w:t>
      </w:r>
    </w:p>
    <w:p>
      <w:pPr>
        <w:pStyle w:val="4"/>
        <w:widowControl/>
        <w:spacing w:beforeAutospacing="0" w:afterAutospacing="0" w:line="420" w:lineRule="atLeast"/>
        <w:ind w:firstLine="420"/>
        <w:textAlignment w:val="center"/>
        <w:rPr>
          <w:rFonts w:ascii="仿宋" w:hAnsi="仿宋" w:eastAsia="仿宋"/>
          <w:sz w:val="32"/>
          <w:szCs w:val="32"/>
        </w:rPr>
      </w:pPr>
      <w:r>
        <w:rPr>
          <w:rFonts w:hint="eastAsia" w:ascii="仿宋" w:hAnsi="仿宋" w:eastAsia="仿宋"/>
          <w:sz w:val="32"/>
          <w:szCs w:val="32"/>
        </w:rPr>
        <w:t>严格资产采购流程。2000元以下物品的购置，由各科室申报，分管财务领导批准；2000-5000元物品的购置，由各科室申报，业务分管领导审核后，由分管财务领导批准；5000元以上物品购置，应提交班子成员会议研究决定，再履行相应手续。</w:t>
      </w:r>
    </w:p>
    <w:p>
      <w:pPr>
        <w:pStyle w:val="4"/>
        <w:widowControl/>
        <w:spacing w:beforeAutospacing="0" w:afterAutospacing="0" w:line="420" w:lineRule="atLeast"/>
        <w:ind w:firstLine="420"/>
        <w:textAlignment w:val="center"/>
        <w:rPr>
          <w:rFonts w:ascii="仿宋" w:hAnsi="仿宋" w:eastAsia="仿宋"/>
          <w:sz w:val="32"/>
          <w:szCs w:val="32"/>
        </w:rPr>
      </w:pPr>
      <w:r>
        <w:rPr>
          <w:rFonts w:hint="eastAsia" w:ascii="仿宋" w:hAnsi="仿宋" w:eastAsia="仿宋"/>
          <w:sz w:val="32"/>
          <w:szCs w:val="32"/>
        </w:rPr>
        <w:t>严格资产日常管理。结合单位实际，实行财产登记与领用制度。日常办公用品由办公室专职保管员进行入库登记，妥善保管；各类证书、资料由各相关科室指定专人保管。所有办公用品出库时，领用科室或领用人必须登记签字。通过统一清查，制定资产登记情况表，由资产使用者确认签字，明确保管维护权责。</w:t>
      </w:r>
    </w:p>
    <w:p>
      <w:pPr>
        <w:pStyle w:val="4"/>
        <w:widowControl/>
        <w:spacing w:beforeAutospacing="0" w:afterAutospacing="0" w:line="420" w:lineRule="atLeast"/>
        <w:ind w:firstLine="420"/>
        <w:textAlignment w:val="center"/>
        <w:rPr>
          <w:rFonts w:ascii="仿宋" w:hAnsi="仿宋" w:eastAsia="仿宋"/>
          <w:sz w:val="32"/>
          <w:szCs w:val="32"/>
        </w:rPr>
      </w:pPr>
      <w:r>
        <w:rPr>
          <w:rFonts w:hint="eastAsia" w:ascii="仿宋" w:hAnsi="仿宋" w:eastAsia="仿宋"/>
          <w:sz w:val="32"/>
          <w:szCs w:val="32"/>
        </w:rPr>
        <w:t>严格资产处置。办公用品和固定财产出现下列情况，经核查认定属实的可以申请报废。报废程序按财务有关规定办理，由运行保障科具体负责，统一处理：1.资产已超过使用寿命，确实不能再使用的。2.设备配件出现故障后无法修复的。3.因设备技术水平落后，不能与相关配套设施配套，不能再使用的。</w:t>
      </w:r>
    </w:p>
    <w:p>
      <w:pPr>
        <w:pStyle w:val="4"/>
        <w:widowControl/>
        <w:spacing w:beforeAutospacing="0" w:afterAutospacing="0" w:line="420" w:lineRule="atLeast"/>
        <w:ind w:firstLine="420"/>
        <w:textAlignment w:val="center"/>
        <w:rPr>
          <w:rFonts w:ascii="黑体" w:hAnsi="黑体" w:eastAsia="黑体"/>
          <w:color w:val="000000"/>
          <w:sz w:val="32"/>
          <w:szCs w:val="32"/>
        </w:rPr>
      </w:pPr>
      <w:r>
        <w:rPr>
          <w:rFonts w:hint="eastAsia" w:ascii="黑体" w:hAnsi="黑体" w:eastAsia="黑体"/>
          <w:color w:val="000000"/>
          <w:sz w:val="32"/>
          <w:szCs w:val="32"/>
        </w:rPr>
        <w:t>五、部门整体支出绩效情况</w:t>
      </w:r>
    </w:p>
    <w:p>
      <w:pPr>
        <w:pStyle w:val="4"/>
        <w:widowControl/>
        <w:spacing w:beforeAutospacing="0" w:afterAutospacing="0" w:line="420" w:lineRule="atLeast"/>
        <w:ind w:firstLine="420"/>
        <w:textAlignment w:val="center"/>
        <w:rPr>
          <w:rFonts w:ascii="黑体" w:hAnsi="黑体" w:eastAsia="黑体"/>
          <w:color w:val="000000"/>
          <w:sz w:val="32"/>
          <w:szCs w:val="32"/>
        </w:rPr>
      </w:pPr>
      <w:r>
        <w:rPr>
          <w:rFonts w:hint="eastAsia" w:ascii="黑体" w:hAnsi="黑体" w:eastAsia="黑体"/>
          <w:color w:val="000000"/>
          <w:sz w:val="32"/>
          <w:szCs w:val="32"/>
        </w:rPr>
        <w:t>（一）单位总支出情况的绩效分析</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2020年度本单位共支出资金296.36万元，其中财政资金296.36万元。其中基本支出179.34万元。基本支出保障了人员基本工资、津贴补贴、奖金、其他社会保障缴费、退休费、生活补助、住房公积金以及其他对个人和家庭的补助支出。项目资金117.02万元。项目支出保障了办公费、差旅费、培训费、公务接待费、劳务费、工会经费、福利费、其他交通费用、其他商品和服务支出和其他对企业的补助等支出。主要项目包括基层商会管理工作经费、民营企业投诉处理中心工作专项经费、乡镇分会行业商会工作专项经费、异地商会及招商引资工作经费、非公有制经济工作领导小组专项工作经费、参政议政调研专项工作经费、非公经济人士教育培训经费。</w:t>
      </w:r>
    </w:p>
    <w:p>
      <w:pPr>
        <w:numPr>
          <w:ilvl w:val="0"/>
          <w:numId w:val="1"/>
        </w:numPr>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单位项目资金绩效分析</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2020年度本单位整体支出有基层商会管理工作经费项目、民营企业投诉处理中心工作专项经费项目、乡镇分会行业商会工作专项经费项目、异地商会及招商引资工作经费项目、非公有制经济工作领导小组专项工作经费项目、参政议政调研专项工作经费项目、非公经济人士教育培训经费等项目资金，共计支出117.02万元。</w:t>
      </w:r>
    </w:p>
    <w:p>
      <w:pPr>
        <w:pStyle w:val="4"/>
        <w:widowControl/>
        <w:spacing w:beforeAutospacing="0" w:afterAutospacing="0" w:line="420" w:lineRule="atLeast"/>
        <w:ind w:firstLine="420"/>
        <w:textAlignment w:val="center"/>
        <w:rPr>
          <w:rFonts w:ascii="仿宋" w:hAnsi="仿宋" w:eastAsia="仿宋"/>
          <w:sz w:val="32"/>
          <w:szCs w:val="32"/>
        </w:rPr>
      </w:pPr>
      <w:r>
        <w:rPr>
          <w:rFonts w:hint="eastAsia" w:ascii="仿宋" w:hAnsi="仿宋" w:eastAsia="仿宋"/>
          <w:sz w:val="32"/>
          <w:szCs w:val="32"/>
        </w:rPr>
        <w:t>1.项目基本情况简介</w:t>
      </w:r>
    </w:p>
    <w:p>
      <w:pPr>
        <w:pStyle w:val="4"/>
        <w:widowControl/>
        <w:spacing w:beforeAutospacing="0" w:afterAutospacing="0" w:line="420" w:lineRule="atLeast"/>
        <w:ind w:firstLine="420"/>
        <w:textAlignment w:val="center"/>
        <w:rPr>
          <w:rFonts w:ascii="仿宋" w:hAnsi="仿宋" w:eastAsia="仿宋"/>
          <w:sz w:val="32"/>
          <w:szCs w:val="32"/>
        </w:rPr>
      </w:pPr>
      <w:r>
        <w:rPr>
          <w:rFonts w:hint="eastAsia" w:ascii="仿宋" w:hAnsi="仿宋" w:eastAsia="仿宋"/>
          <w:sz w:val="32"/>
          <w:szCs w:val="32"/>
        </w:rPr>
        <w:t>本单位项目均为工作经费类项目，是单位为完成特定行政工作任务或事业发展目标而发生的支出，包括有关事业发展专项、专项业务费、基本建设支出等。</w:t>
      </w:r>
    </w:p>
    <w:p>
      <w:pPr>
        <w:pStyle w:val="4"/>
        <w:widowControl/>
        <w:numPr>
          <w:ilvl w:val="0"/>
          <w:numId w:val="2"/>
        </w:numPr>
        <w:spacing w:beforeAutospacing="0" w:afterAutospacing="0" w:line="420" w:lineRule="atLeast"/>
        <w:ind w:firstLine="420"/>
        <w:textAlignment w:val="center"/>
        <w:rPr>
          <w:rFonts w:ascii="仿宋" w:hAnsi="仿宋" w:eastAsia="仿宋"/>
          <w:sz w:val="32"/>
          <w:szCs w:val="32"/>
        </w:rPr>
      </w:pPr>
      <w:r>
        <w:rPr>
          <w:rFonts w:hint="eastAsia" w:ascii="仿宋" w:hAnsi="仿宋" w:eastAsia="仿宋"/>
          <w:sz w:val="32"/>
          <w:szCs w:val="32"/>
        </w:rPr>
        <w:t>项目资金使用及管理情况</w:t>
      </w:r>
    </w:p>
    <w:p>
      <w:pPr>
        <w:spacing w:line="560" w:lineRule="exact"/>
        <w:ind w:firstLine="320" w:firstLineChars="100"/>
        <w:rPr>
          <w:rFonts w:ascii="仿宋" w:hAnsi="仿宋" w:eastAsia="仿宋"/>
          <w:color w:val="000000"/>
          <w:sz w:val="32"/>
          <w:szCs w:val="32"/>
        </w:rPr>
      </w:pPr>
      <w:r>
        <w:rPr>
          <w:rFonts w:hint="eastAsia" w:ascii="仿宋" w:hAnsi="仿宋" w:eastAsia="仿宋"/>
          <w:kern w:val="0"/>
          <w:sz w:val="32"/>
          <w:szCs w:val="32"/>
        </w:rPr>
        <w:t>市工商业联合会加强对项目资金管理使用的监督检查及自查自纠行动,有效杜绝挤占挪用项目资金的违法违纪行为。2020年项目支出117.02万元,</w:t>
      </w:r>
      <w:r>
        <w:rPr>
          <w:rFonts w:hint="eastAsia" w:ascii="仿宋" w:hAnsi="仿宋" w:eastAsia="仿宋"/>
          <w:color w:val="000000"/>
          <w:sz w:val="32"/>
          <w:szCs w:val="32"/>
        </w:rPr>
        <w:t>其中商品和服务支出110.54万元、对个人和家庭的补助6.48万元、资本性支出0万元。</w:t>
      </w:r>
    </w:p>
    <w:p>
      <w:pPr>
        <w:pStyle w:val="4"/>
        <w:widowControl/>
        <w:spacing w:beforeAutospacing="0" w:afterAutospacing="0" w:line="420" w:lineRule="atLeast"/>
        <w:ind w:firstLine="420"/>
        <w:textAlignment w:val="center"/>
        <w:rPr>
          <w:rFonts w:ascii="仿宋" w:hAnsi="仿宋" w:eastAsia="仿宋"/>
          <w:sz w:val="32"/>
          <w:szCs w:val="32"/>
        </w:rPr>
      </w:pPr>
      <w:r>
        <w:rPr>
          <w:rFonts w:hint="eastAsia" w:ascii="仿宋" w:hAnsi="仿宋" w:eastAsia="仿宋"/>
          <w:sz w:val="32"/>
          <w:szCs w:val="32"/>
        </w:rPr>
        <w:t>3.项目组织实施情况</w:t>
      </w:r>
    </w:p>
    <w:p>
      <w:pPr>
        <w:pStyle w:val="4"/>
        <w:widowControl/>
        <w:spacing w:beforeAutospacing="0" w:afterAutospacing="0" w:line="420" w:lineRule="atLeast"/>
        <w:ind w:firstLine="420"/>
        <w:textAlignment w:val="center"/>
        <w:rPr>
          <w:rFonts w:ascii="仿宋" w:hAnsi="仿宋" w:eastAsia="仿宋"/>
          <w:sz w:val="32"/>
          <w:szCs w:val="32"/>
        </w:rPr>
      </w:pPr>
      <w:r>
        <w:rPr>
          <w:rFonts w:hint="eastAsia" w:ascii="仿宋" w:hAnsi="仿宋" w:eastAsia="仿宋"/>
          <w:sz w:val="32"/>
          <w:szCs w:val="32"/>
        </w:rPr>
        <w:t>项目单位资金使用情况基本合规,项目支出的具体内容对象、用途等事项明确、清晰,项目资金支出为项目支出,未发现项目资金被挪作其他用途的情况。单位资金管理制度健全,项目资金拨付后,明确专人、专账核算项目资金。</w:t>
      </w:r>
    </w:p>
    <w:p>
      <w:pPr>
        <w:pStyle w:val="4"/>
        <w:widowControl/>
        <w:spacing w:beforeAutospacing="0" w:afterAutospacing="0" w:line="420" w:lineRule="atLeast"/>
        <w:ind w:left="420"/>
        <w:textAlignment w:val="center"/>
        <w:rPr>
          <w:rFonts w:ascii="仿宋" w:hAnsi="仿宋" w:eastAsia="仿宋"/>
          <w:sz w:val="32"/>
          <w:szCs w:val="32"/>
        </w:rPr>
      </w:pPr>
      <w:r>
        <w:rPr>
          <w:rFonts w:hint="eastAsia" w:ascii="仿宋" w:hAnsi="仿宋" w:eastAsia="仿宋"/>
          <w:sz w:val="32"/>
          <w:szCs w:val="32"/>
        </w:rPr>
        <w:t>4.项目绩效情况</w:t>
      </w:r>
    </w:p>
    <w:p>
      <w:pPr>
        <w:pStyle w:val="4"/>
        <w:widowControl/>
        <w:spacing w:beforeAutospacing="0" w:afterAutospacing="0" w:line="420" w:lineRule="atLeast"/>
        <w:ind w:firstLine="320" w:firstLineChars="100"/>
        <w:textAlignment w:val="center"/>
        <w:rPr>
          <w:rFonts w:ascii="Times New Roman" w:hAnsi="Times New Roman" w:eastAsia="仿宋_GB2312" w:cs="仿宋_GB2312"/>
          <w:sz w:val="32"/>
          <w:szCs w:val="32"/>
        </w:rPr>
      </w:pPr>
      <w:r>
        <w:rPr>
          <w:rFonts w:hint="eastAsia" w:ascii="仿宋" w:hAnsi="仿宋" w:eastAsia="仿宋"/>
          <w:sz w:val="32"/>
          <w:szCs w:val="32"/>
        </w:rPr>
        <w:t>（1） 全力抓好非公经济人士思想政治工作。一是做实“浏商大讲堂”品牌。通过“请进来”、“走出去”，邀请专家学者、优秀企业家和部门负责人来浏授课，带领企业家前往发达地区进行考察学习，</w:t>
      </w:r>
      <w:r>
        <w:rPr>
          <w:rFonts w:hint="eastAsia" w:ascii="Times New Roman" w:hAnsi="Times New Roman" w:eastAsia="仿宋_GB2312" w:cs="仿宋_GB2312"/>
          <w:sz w:val="32"/>
          <w:szCs w:val="32"/>
        </w:rPr>
        <w:t>继续推进企业家素质提升工程。今年邀请了北京银行业协会导师许强、盐津铺子董事长张学武、中国老教授协会赵紫晨老师、湖南农大陈弘教授、正和岛首席经济学家王林教授等人来浏做主题讲课。</w:t>
      </w:r>
    </w:p>
    <w:p>
      <w:pPr>
        <w:pStyle w:val="4"/>
        <w:widowControl/>
        <w:spacing w:beforeAutospacing="0" w:afterAutospacing="0" w:line="420" w:lineRule="atLeast"/>
        <w:ind w:firstLine="320" w:firstLineChars="100"/>
        <w:textAlignment w:val="center"/>
        <w:rPr>
          <w:rFonts w:ascii="仿宋" w:hAnsi="仿宋" w:eastAsia="仿宋"/>
          <w:sz w:val="32"/>
          <w:szCs w:val="32"/>
        </w:rPr>
      </w:pPr>
      <w:r>
        <w:rPr>
          <w:rFonts w:hint="eastAsia" w:ascii="仿宋" w:hAnsi="仿宋" w:eastAsia="仿宋"/>
          <w:sz w:val="32"/>
          <w:szCs w:val="32"/>
        </w:rPr>
        <w:t>（2）不断加大优秀企业家精神宣传力度。做好了2020年“绿卡”的增补工作，新增“企业家绿卡”67张，截至目前全市核发“企业家绿卡”480张。</w:t>
      </w:r>
    </w:p>
    <w:p>
      <w:pPr>
        <w:pStyle w:val="4"/>
        <w:widowControl/>
        <w:spacing w:beforeAutospacing="0" w:afterAutospacing="0" w:line="420" w:lineRule="atLeast"/>
        <w:ind w:firstLine="320" w:firstLineChars="100"/>
        <w:textAlignment w:val="center"/>
        <w:rPr>
          <w:rFonts w:ascii="Times New Roman" w:hAnsi="Times New Roman" w:eastAsia="仿宋_GB2312" w:cs="仿宋_GB2312"/>
          <w:sz w:val="32"/>
          <w:szCs w:val="32"/>
        </w:rPr>
      </w:pPr>
      <w:r>
        <w:rPr>
          <w:rFonts w:hint="eastAsia" w:ascii="仿宋" w:hAnsi="仿宋" w:eastAsia="仿宋"/>
          <w:sz w:val="32"/>
          <w:szCs w:val="32"/>
        </w:rPr>
        <w:t>（3） 全面发挥商（协）会党建引领带动作用。率先在长沙地区成立了商（协）会联合党委，32个乡镇街道商会和5各直属行业商协会都建立了党的组织，邀请省市非公党建的主管领导和特聘教授对基层商协会的会长、秘书长和党支部书记进了专题培训</w:t>
      </w:r>
      <w:r>
        <w:rPr>
          <w:rFonts w:hint="eastAsia" w:ascii="Times New Roman" w:hAnsi="Times New Roman" w:eastAsia="仿宋_GB2312" w:cs="仿宋_GB2312"/>
          <w:sz w:val="32"/>
          <w:szCs w:val="32"/>
        </w:rPr>
        <w:t>。</w:t>
      </w:r>
    </w:p>
    <w:p>
      <w:pPr>
        <w:pStyle w:val="4"/>
        <w:widowControl/>
        <w:spacing w:beforeAutospacing="0" w:afterAutospacing="0" w:line="420" w:lineRule="atLeast"/>
        <w:ind w:firstLine="320" w:firstLineChars="100"/>
        <w:textAlignment w:val="center"/>
        <w:rPr>
          <w:rFonts w:ascii="仿宋" w:hAnsi="仿宋" w:eastAsia="仿宋"/>
          <w:sz w:val="32"/>
          <w:szCs w:val="32"/>
        </w:rPr>
      </w:pPr>
      <w:r>
        <w:rPr>
          <w:rFonts w:hint="eastAsia" w:ascii="仿宋" w:hAnsi="仿宋" w:eastAsia="仿宋"/>
          <w:sz w:val="32"/>
          <w:szCs w:val="32"/>
        </w:rPr>
        <w:t>（4）全面助力民企复工复产。安排了3名领导干部到小河乡联点，引导民营企业坚持疫情防控和复工复产“两手抓”。积极帮助企业联系组织复工复产防疫物资，联系采购了口罩50余万个、测温枪300余把，缓解了企业复工难。收集企业融资需求，加强与金融事务中心的对接，组织金企深度对接，111家企业实现与银行意向融资金额23.42亿元。</w:t>
      </w:r>
    </w:p>
    <w:p>
      <w:pPr>
        <w:pStyle w:val="4"/>
        <w:widowControl/>
        <w:spacing w:beforeAutospacing="0" w:afterAutospacing="0" w:line="420" w:lineRule="atLeast"/>
        <w:ind w:firstLine="320" w:firstLineChars="100"/>
        <w:textAlignment w:val="center"/>
        <w:rPr>
          <w:rFonts w:ascii="仿宋" w:hAnsi="仿宋" w:eastAsia="仿宋"/>
          <w:sz w:val="32"/>
          <w:szCs w:val="32"/>
        </w:rPr>
      </w:pPr>
      <w:r>
        <w:rPr>
          <w:rFonts w:hint="eastAsia" w:ascii="仿宋" w:hAnsi="仿宋" w:eastAsia="仿宋"/>
          <w:sz w:val="32"/>
          <w:szCs w:val="32"/>
        </w:rPr>
        <w:t>（5） 积极做好参政议政工作。完成了1篇大会发言和3个以上重点提案。开展了献计“十四五”规划建言献策活动，向政协提交了《持续优化环境破解瓶颈难题以更有力行动推动民营经济高质量发展》和《探索智慧城市建设新模式推进浏阳社会治理现代化》等多篇调研文章。</w:t>
      </w:r>
    </w:p>
    <w:p>
      <w:pPr>
        <w:pStyle w:val="4"/>
        <w:widowControl/>
        <w:spacing w:beforeAutospacing="0" w:afterAutospacing="0" w:line="420" w:lineRule="atLeast"/>
        <w:ind w:left="420"/>
        <w:textAlignment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5．综合评价情况及评价结论</w:t>
      </w:r>
    </w:p>
    <w:p>
      <w:pPr>
        <w:pStyle w:val="4"/>
        <w:widowControl/>
        <w:spacing w:beforeAutospacing="0" w:afterAutospacing="0" w:line="420" w:lineRule="atLeast"/>
        <w:ind w:firstLine="320" w:firstLineChars="100"/>
        <w:textAlignment w:val="center"/>
        <w:rPr>
          <w:rFonts w:ascii="仿宋" w:hAnsi="仿宋" w:eastAsia="仿宋"/>
          <w:color w:val="FF0000"/>
          <w:sz w:val="32"/>
          <w:szCs w:val="32"/>
        </w:rPr>
      </w:pPr>
      <w:r>
        <w:rPr>
          <w:rFonts w:hint="eastAsia" w:ascii="仿宋" w:hAnsi="仿宋" w:eastAsia="仿宋"/>
          <w:sz w:val="32"/>
          <w:szCs w:val="32"/>
        </w:rPr>
        <w:t>浏阳市工商业联合会2020年度项目资金绩效自评综合得分为98分，具体自评情况见附表。</w:t>
      </w:r>
    </w:p>
    <w:p>
      <w:pPr>
        <w:pStyle w:val="4"/>
        <w:widowControl/>
        <w:spacing w:beforeAutospacing="0" w:afterAutospacing="0" w:line="420" w:lineRule="atLeast"/>
        <w:ind w:left="420"/>
        <w:textAlignment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6.绩效评价结果应用建议</w:t>
      </w:r>
    </w:p>
    <w:p>
      <w:pPr>
        <w:pStyle w:val="4"/>
        <w:widowControl/>
        <w:spacing w:beforeAutospacing="0" w:afterAutospacing="0" w:line="420" w:lineRule="atLeast"/>
        <w:ind w:firstLine="320" w:firstLineChars="100"/>
        <w:textAlignment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年初足额安排经常性支出预算资金,提高财政资金使用率,减少年中预算追加。</w:t>
      </w:r>
    </w:p>
    <w:p>
      <w:pPr>
        <w:pStyle w:val="4"/>
        <w:widowControl/>
        <w:spacing w:beforeAutospacing="0" w:afterAutospacing="0" w:line="420" w:lineRule="atLeast"/>
        <w:ind w:left="420"/>
        <w:textAlignment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7．主要经验及做法</w:t>
      </w:r>
    </w:p>
    <w:p>
      <w:pPr>
        <w:pStyle w:val="4"/>
        <w:widowControl/>
        <w:spacing w:beforeAutospacing="0" w:afterAutospacing="0" w:line="420" w:lineRule="atLeast"/>
        <w:ind w:firstLine="320" w:firstLineChars="100"/>
        <w:textAlignment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加强对项目资金管理使用的监督检查及自查自纠行动，有效杜绝挤占挪用项目资金的违法违纪行为,充分发挥财政资金的最大效益。</w:t>
      </w:r>
    </w:p>
    <w:p>
      <w:pPr>
        <w:pStyle w:val="4"/>
        <w:widowControl/>
        <w:spacing w:beforeAutospacing="0" w:afterAutospacing="0" w:line="420" w:lineRule="atLeast"/>
        <w:ind w:firstLine="320" w:firstLineChars="100"/>
        <w:textAlignment w:val="center"/>
        <w:rPr>
          <w:rFonts w:ascii="黑体" w:hAnsi="黑体" w:eastAsia="黑体"/>
          <w:color w:val="000000"/>
          <w:sz w:val="32"/>
          <w:szCs w:val="32"/>
        </w:rPr>
      </w:pPr>
      <w:r>
        <w:rPr>
          <w:rFonts w:hint="eastAsia" w:ascii="黑体" w:hAnsi="黑体" w:eastAsia="黑体"/>
          <w:color w:val="000000"/>
          <w:sz w:val="32"/>
          <w:szCs w:val="32"/>
        </w:rPr>
        <w:t>六、存在的主要问题</w:t>
      </w:r>
    </w:p>
    <w:p>
      <w:pPr>
        <w:pStyle w:val="4"/>
        <w:widowControl/>
        <w:spacing w:beforeAutospacing="0" w:afterAutospacing="0" w:line="420" w:lineRule="atLeast"/>
        <w:ind w:firstLine="320" w:firstLineChars="100"/>
        <w:textAlignment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由于机构设置少，单位职能和业务相对单一，执行项目预算绩效管理时，相应的绩效指标设计不到位，难以科学把控。导致预算绩效管理不能达到预期效果，影响预算绩效管理的实施效率。</w:t>
      </w:r>
    </w:p>
    <w:p>
      <w:pPr>
        <w:pStyle w:val="4"/>
        <w:widowControl/>
        <w:spacing w:beforeAutospacing="0" w:afterAutospacing="0" w:line="420" w:lineRule="atLeast"/>
        <w:ind w:firstLine="320" w:firstLineChars="100"/>
        <w:textAlignment w:val="center"/>
        <w:rPr>
          <w:rFonts w:ascii="黑体" w:hAnsi="黑体" w:eastAsia="黑体"/>
          <w:color w:val="000000"/>
          <w:sz w:val="32"/>
          <w:szCs w:val="32"/>
        </w:rPr>
      </w:pPr>
      <w:r>
        <w:rPr>
          <w:rFonts w:hint="eastAsia" w:ascii="黑体" w:hAnsi="黑体" w:eastAsia="黑体"/>
          <w:color w:val="000000"/>
          <w:sz w:val="32"/>
          <w:szCs w:val="32"/>
        </w:rPr>
        <w:t>七、改进措施和有关建议</w:t>
      </w:r>
    </w:p>
    <w:p>
      <w:pPr>
        <w:overflowPunct w:val="0"/>
        <w:topLinePunct/>
        <w:spacing w:line="600" w:lineRule="exact"/>
        <w:ind w:firstLine="646"/>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一是基层商会建设和发展不平衡；二是商协会党建工作基础比较薄弱。来年工作中，我们要补足短板，更加团结奋进、务实创新，为浏阳现代化建设和高质量发展作出新的更大的贡献。</w:t>
      </w:r>
    </w:p>
    <w:p>
      <w:pPr>
        <w:overflowPunct w:val="0"/>
        <w:topLinePunct/>
        <w:spacing w:line="600" w:lineRule="exact"/>
        <w:ind w:firstLine="646"/>
        <w:rPr>
          <w:rFonts w:hint="eastAsia" w:ascii="Times New Roman" w:hAnsi="Times New Roman" w:eastAsia="仿宋_GB2312" w:cs="仿宋_GB2312"/>
          <w:sz w:val="32"/>
          <w:szCs w:val="32"/>
        </w:rPr>
      </w:pPr>
    </w:p>
    <w:p>
      <w:pPr>
        <w:overflowPunct w:val="0"/>
        <w:topLinePunct/>
        <w:spacing w:line="600" w:lineRule="exact"/>
        <w:ind w:firstLine="646"/>
        <w:rPr>
          <w:rFonts w:hint="eastAsia" w:ascii="Times New Roman" w:hAnsi="Times New Roman" w:eastAsia="仿宋_GB2312" w:cs="仿宋_GB2312"/>
          <w:sz w:val="32"/>
          <w:szCs w:val="32"/>
        </w:rPr>
      </w:pPr>
    </w:p>
    <w:p>
      <w:pPr>
        <w:overflowPunct w:val="0"/>
        <w:topLinePunct/>
        <w:spacing w:line="600" w:lineRule="exact"/>
        <w:ind w:firstLine="646"/>
        <w:rPr>
          <w:rFonts w:hint="eastAsia" w:ascii="Times New Roman" w:hAnsi="Times New Roman" w:eastAsia="仿宋_GB2312" w:cs="仿宋_GB2312"/>
          <w:sz w:val="32"/>
          <w:szCs w:val="32"/>
        </w:rPr>
      </w:pPr>
    </w:p>
    <w:p>
      <w:pPr>
        <w:overflowPunct w:val="0"/>
        <w:topLinePunct/>
        <w:spacing w:line="600" w:lineRule="exact"/>
        <w:ind w:firstLine="646"/>
        <w:rPr>
          <w:rFonts w:hint="eastAsia" w:ascii="Times New Roman" w:hAnsi="Times New Roman" w:eastAsia="仿宋_GB2312" w:cs="仿宋_GB2312"/>
          <w:sz w:val="32"/>
          <w:szCs w:val="32"/>
        </w:rPr>
      </w:pPr>
    </w:p>
    <w:p>
      <w:pPr>
        <w:overflowPunct w:val="0"/>
        <w:topLinePunct/>
        <w:spacing w:line="600" w:lineRule="exact"/>
        <w:ind w:firstLine="646"/>
        <w:rPr>
          <w:rFonts w:hint="eastAsia" w:ascii="Times New Roman" w:hAnsi="Times New Roman" w:eastAsia="仿宋_GB2312" w:cs="仿宋_GB2312"/>
          <w:sz w:val="32"/>
          <w:szCs w:val="32"/>
        </w:rPr>
      </w:pPr>
    </w:p>
    <w:p>
      <w:pPr>
        <w:overflowPunct w:val="0"/>
        <w:topLinePunct/>
        <w:spacing w:line="600" w:lineRule="exact"/>
        <w:ind w:firstLine="646"/>
        <w:rPr>
          <w:rFonts w:hint="eastAsia" w:ascii="Times New Roman" w:hAnsi="Times New Roman" w:eastAsia="仿宋_GB2312" w:cs="仿宋_GB2312"/>
          <w:sz w:val="32"/>
          <w:szCs w:val="32"/>
        </w:rPr>
      </w:pPr>
    </w:p>
    <w:p>
      <w:pPr>
        <w:overflowPunct w:val="0"/>
        <w:topLinePunct/>
        <w:spacing w:line="600" w:lineRule="exact"/>
        <w:ind w:firstLine="646"/>
        <w:rPr>
          <w:rFonts w:hint="eastAsia" w:ascii="Times New Roman" w:hAnsi="Times New Roman" w:eastAsia="仿宋_GB2312" w:cs="仿宋_GB2312"/>
          <w:sz w:val="32"/>
          <w:szCs w:val="32"/>
        </w:rPr>
      </w:pPr>
    </w:p>
    <w:p>
      <w:pPr>
        <w:overflowPunct w:val="0"/>
        <w:topLinePunct/>
        <w:spacing w:line="600" w:lineRule="exact"/>
        <w:ind w:firstLine="646"/>
        <w:rPr>
          <w:rFonts w:hint="eastAsia" w:ascii="Times New Roman" w:hAnsi="Times New Roman" w:eastAsia="仿宋_GB2312" w:cs="仿宋_GB2312"/>
          <w:sz w:val="32"/>
          <w:szCs w:val="32"/>
        </w:rPr>
      </w:pPr>
    </w:p>
    <w:p>
      <w:pPr>
        <w:overflowPunct w:val="0"/>
        <w:topLinePunct/>
        <w:spacing w:line="600" w:lineRule="exact"/>
        <w:ind w:firstLine="646"/>
        <w:rPr>
          <w:rFonts w:hint="eastAsia" w:ascii="Times New Roman" w:hAnsi="Times New Roman" w:eastAsia="仿宋_GB2312" w:cs="仿宋_GB2312"/>
          <w:sz w:val="32"/>
          <w:szCs w:val="32"/>
        </w:rPr>
      </w:pPr>
    </w:p>
    <w:p>
      <w:pPr>
        <w:overflowPunct w:val="0"/>
        <w:topLinePunct/>
        <w:spacing w:line="600" w:lineRule="exact"/>
        <w:ind w:firstLine="646"/>
        <w:rPr>
          <w:rFonts w:hint="eastAsia" w:ascii="Times New Roman" w:hAnsi="Times New Roman" w:eastAsia="仿宋_GB2312" w:cs="仿宋_GB2312"/>
          <w:sz w:val="32"/>
          <w:szCs w:val="32"/>
        </w:rPr>
      </w:pPr>
    </w:p>
    <w:p>
      <w:pPr>
        <w:overflowPunct w:val="0"/>
        <w:topLinePunct/>
        <w:spacing w:line="600" w:lineRule="exact"/>
        <w:ind w:firstLine="646"/>
        <w:rPr>
          <w:rFonts w:hint="eastAsia" w:ascii="Times New Roman" w:hAnsi="Times New Roman" w:eastAsia="仿宋_GB2312" w:cs="仿宋_GB2312"/>
          <w:sz w:val="32"/>
          <w:szCs w:val="32"/>
        </w:rPr>
      </w:pPr>
    </w:p>
    <w:p>
      <w:pPr>
        <w:overflowPunct w:val="0"/>
        <w:topLinePunct/>
        <w:spacing w:line="600" w:lineRule="exact"/>
        <w:ind w:firstLine="646"/>
        <w:rPr>
          <w:rFonts w:hint="eastAsia" w:ascii="Times New Roman" w:hAnsi="Times New Roman" w:eastAsia="仿宋_GB2312" w:cs="仿宋_GB2312"/>
          <w:sz w:val="32"/>
          <w:szCs w:val="32"/>
        </w:rPr>
      </w:pPr>
    </w:p>
    <w:p>
      <w:pPr>
        <w:overflowPunct w:val="0"/>
        <w:topLinePunct/>
        <w:spacing w:line="600" w:lineRule="exact"/>
        <w:ind w:firstLine="646"/>
        <w:rPr>
          <w:rFonts w:hint="eastAsia" w:ascii="Times New Roman" w:hAnsi="Times New Roman" w:eastAsia="仿宋_GB2312" w:cs="仿宋_GB2312"/>
          <w:sz w:val="32"/>
          <w:szCs w:val="32"/>
        </w:rPr>
      </w:pPr>
    </w:p>
    <w:p>
      <w:pPr>
        <w:overflowPunct w:val="0"/>
        <w:topLinePunct/>
        <w:spacing w:line="600" w:lineRule="exact"/>
        <w:ind w:firstLine="646"/>
        <w:rPr>
          <w:rFonts w:hint="eastAsia" w:ascii="Times New Roman" w:hAnsi="Times New Roman" w:eastAsia="仿宋_GB2312" w:cs="仿宋_GB2312"/>
          <w:sz w:val="32"/>
          <w:szCs w:val="32"/>
        </w:rPr>
      </w:pPr>
    </w:p>
    <w:p>
      <w:pPr>
        <w:overflowPunct w:val="0"/>
        <w:topLinePunct/>
        <w:spacing w:line="600" w:lineRule="exact"/>
        <w:ind w:firstLine="646"/>
        <w:rPr>
          <w:rFonts w:hint="eastAsia" w:ascii="Times New Roman" w:hAnsi="Times New Roman" w:eastAsia="仿宋_GB2312" w:cs="仿宋_GB2312"/>
          <w:sz w:val="32"/>
          <w:szCs w:val="32"/>
        </w:rPr>
      </w:pPr>
    </w:p>
    <w:p>
      <w:pPr>
        <w:pStyle w:val="4"/>
        <w:widowControl/>
        <w:spacing w:beforeAutospacing="0" w:afterAutospacing="0" w:line="420" w:lineRule="atLeast"/>
        <w:ind w:firstLine="320" w:firstLineChars="100"/>
        <w:textAlignment w:val="center"/>
        <w:rPr>
          <w:rFonts w:ascii="Times New Roman" w:hAnsi="Times New Roman" w:eastAsia="仿宋_GB2312" w:cs="仿宋_GB2312"/>
          <w:sz w:val="32"/>
          <w:szCs w:val="32"/>
        </w:rPr>
      </w:pPr>
    </w:p>
    <w:tbl>
      <w:tblPr>
        <w:tblW w:w="8970" w:type="dxa"/>
        <w:tblInd w:w="0" w:type="dxa"/>
        <w:shd w:val="clear"/>
        <w:tblLayout w:type="autofit"/>
        <w:tblCellMar>
          <w:top w:w="0" w:type="dxa"/>
          <w:left w:w="0" w:type="dxa"/>
          <w:bottom w:w="0" w:type="dxa"/>
          <w:right w:w="0" w:type="dxa"/>
        </w:tblCellMar>
      </w:tblPr>
      <w:tblGrid>
        <w:gridCol w:w="3390"/>
        <w:gridCol w:w="1875"/>
        <w:gridCol w:w="1860"/>
        <w:gridCol w:w="1845"/>
      </w:tblGrid>
      <w:tr>
        <w:tblPrEx>
          <w:shd w:val="clear"/>
          <w:tblCellMar>
            <w:top w:w="0" w:type="dxa"/>
            <w:left w:w="0" w:type="dxa"/>
            <w:bottom w:w="0" w:type="dxa"/>
            <w:right w:w="0" w:type="dxa"/>
          </w:tblCellMar>
        </w:tblPrEx>
        <w:trPr>
          <w:trHeight w:val="405" w:hRule="atLeast"/>
        </w:trPr>
        <w:tc>
          <w:tcPr>
            <w:tcW w:w="339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both"/>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bdr w:val="none" w:color="auto" w:sz="0" w:space="0"/>
                <w:lang w:val="en-US" w:eastAsia="zh-CN" w:bidi="ar"/>
              </w:rPr>
              <w:t>附件</w:t>
            </w:r>
            <w:r>
              <w:rPr>
                <w:rStyle w:val="8"/>
                <w:rFonts w:eastAsia="黑体"/>
                <w:bdr w:val="none" w:color="auto" w:sz="0" w:space="0"/>
                <w:lang w:val="en-US" w:eastAsia="zh-CN" w:bidi="ar"/>
              </w:rPr>
              <w:t xml:space="preserve">2 </w:t>
            </w:r>
          </w:p>
        </w:tc>
        <w:tc>
          <w:tcPr>
            <w:tcW w:w="1875" w:type="dxa"/>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60" w:type="dxa"/>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5" w:type="dxa"/>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660" w:hRule="atLeast"/>
        </w:trPr>
        <w:tc>
          <w:tcPr>
            <w:tcW w:w="8970" w:type="dxa"/>
            <w:gridSpan w:val="4"/>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bdr w:val="none" w:color="auto" w:sz="0" w:space="0"/>
                <w:lang w:val="en-US" w:eastAsia="zh-CN" w:bidi="ar"/>
              </w:rPr>
              <w:t>部门整体支出绩效自评基础数据表</w:t>
            </w:r>
          </w:p>
        </w:tc>
      </w:tr>
      <w:tr>
        <w:tblPrEx>
          <w:tblCellMar>
            <w:top w:w="0" w:type="dxa"/>
            <w:left w:w="0" w:type="dxa"/>
            <w:bottom w:w="0" w:type="dxa"/>
            <w:right w:w="0" w:type="dxa"/>
          </w:tblCellMar>
        </w:tblPrEx>
        <w:trPr>
          <w:trHeight w:val="315" w:hRule="atLeast"/>
        </w:trPr>
        <w:tc>
          <w:tcPr>
            <w:tcW w:w="339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 xml:space="preserve"> </w:t>
            </w:r>
          </w:p>
        </w:tc>
        <w:tc>
          <w:tcPr>
            <w:tcW w:w="1875" w:type="dxa"/>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60" w:type="dxa"/>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45" w:type="dxa"/>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8970" w:type="dxa"/>
            <w:gridSpan w:val="4"/>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填报单位：浏阳市工商业联合会</w:t>
            </w:r>
          </w:p>
        </w:tc>
      </w:tr>
      <w:tr>
        <w:tblPrEx>
          <w:tblCellMar>
            <w:top w:w="0" w:type="dxa"/>
            <w:left w:w="0" w:type="dxa"/>
            <w:bottom w:w="0" w:type="dxa"/>
            <w:right w:w="0" w:type="dxa"/>
          </w:tblCellMar>
        </w:tblPrEx>
        <w:trPr>
          <w:trHeight w:val="695" w:hRule="atLeast"/>
        </w:trPr>
        <w:tc>
          <w:tcPr>
            <w:tcW w:w="33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财政供养人员情况</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编制数</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2020</w:t>
            </w:r>
            <w:r>
              <w:rPr>
                <w:rStyle w:val="9"/>
                <w:rFonts w:hAnsi="Times New Roman"/>
                <w:bdr w:val="none" w:color="auto" w:sz="0" w:space="0"/>
                <w:lang w:val="en-US" w:eastAsia="zh-CN" w:bidi="ar"/>
              </w:rPr>
              <w:t>年实际在职人数</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控制率</w:t>
            </w:r>
          </w:p>
        </w:tc>
      </w:tr>
      <w:tr>
        <w:tblPrEx>
          <w:tblCellMar>
            <w:top w:w="0" w:type="dxa"/>
            <w:left w:w="0" w:type="dxa"/>
            <w:bottom w:w="0" w:type="dxa"/>
            <w:right w:w="0" w:type="dxa"/>
          </w:tblCellMar>
        </w:tblPrEx>
        <w:trPr>
          <w:trHeight w:val="480" w:hRule="atLeast"/>
        </w:trPr>
        <w:tc>
          <w:tcPr>
            <w:tcW w:w="33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10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9</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100%</w:t>
            </w:r>
          </w:p>
        </w:tc>
      </w:tr>
      <w:tr>
        <w:tblPrEx>
          <w:tblCellMar>
            <w:top w:w="0" w:type="dxa"/>
            <w:left w:w="0" w:type="dxa"/>
            <w:bottom w:w="0" w:type="dxa"/>
            <w:right w:w="0"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经费控制情况</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2019</w:t>
            </w:r>
            <w:r>
              <w:rPr>
                <w:rStyle w:val="9"/>
                <w:rFonts w:hAnsi="Times New Roman"/>
                <w:bdr w:val="none" w:color="auto" w:sz="0" w:space="0"/>
                <w:lang w:val="en-US" w:eastAsia="zh-CN" w:bidi="ar"/>
              </w:rPr>
              <w:t>年决算数</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2020</w:t>
            </w:r>
            <w:r>
              <w:rPr>
                <w:rStyle w:val="9"/>
                <w:rFonts w:hAnsi="Times New Roman"/>
                <w:bdr w:val="none" w:color="auto" w:sz="0" w:space="0"/>
                <w:lang w:val="en-US" w:eastAsia="zh-CN" w:bidi="ar"/>
              </w:rPr>
              <w:t>年预算数</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2020</w:t>
            </w:r>
            <w:r>
              <w:rPr>
                <w:rStyle w:val="9"/>
                <w:rFonts w:hAnsi="Times New Roman"/>
                <w:bdr w:val="none" w:color="auto" w:sz="0" w:space="0"/>
                <w:lang w:val="en-US" w:eastAsia="zh-CN" w:bidi="ar"/>
              </w:rPr>
              <w:t>年决算数</w:t>
            </w:r>
          </w:p>
        </w:tc>
      </w:tr>
      <w:tr>
        <w:tblPrEx>
          <w:tblCellMar>
            <w:top w:w="0" w:type="dxa"/>
            <w:left w:w="0" w:type="dxa"/>
            <w:bottom w:w="0" w:type="dxa"/>
            <w:right w:w="0" w:type="dxa"/>
          </w:tblCellMar>
        </w:tblPrEx>
        <w:trPr>
          <w:trHeight w:val="425" w:hRule="atLeast"/>
        </w:trPr>
        <w:tc>
          <w:tcPr>
            <w:tcW w:w="3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三公经费</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2.97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4.9</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1.41</w:t>
            </w:r>
          </w:p>
        </w:tc>
      </w:tr>
      <w:tr>
        <w:tblPrEx>
          <w:tblCellMar>
            <w:top w:w="0" w:type="dxa"/>
            <w:left w:w="0" w:type="dxa"/>
            <w:bottom w:w="0" w:type="dxa"/>
            <w:right w:w="0" w:type="dxa"/>
          </w:tblCellMar>
        </w:tblPrEx>
        <w:trPr>
          <w:trHeight w:val="435" w:hRule="atLeast"/>
        </w:trPr>
        <w:tc>
          <w:tcPr>
            <w:tcW w:w="3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 xml:space="preserve">   1</w:t>
            </w:r>
            <w:r>
              <w:rPr>
                <w:rStyle w:val="9"/>
                <w:rFonts w:hAnsi="Times New Roman"/>
                <w:bdr w:val="none" w:color="auto" w:sz="0" w:space="0"/>
                <w:lang w:val="en-US" w:eastAsia="zh-CN" w:bidi="ar"/>
              </w:rPr>
              <w:t>、公务用车购置和维护经费</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0</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0</w:t>
            </w:r>
          </w:p>
        </w:tc>
      </w:tr>
      <w:tr>
        <w:tblPrEx>
          <w:tblCellMar>
            <w:top w:w="0" w:type="dxa"/>
            <w:left w:w="0" w:type="dxa"/>
            <w:bottom w:w="0" w:type="dxa"/>
            <w:right w:w="0" w:type="dxa"/>
          </w:tblCellMar>
        </w:tblPrEx>
        <w:trPr>
          <w:trHeight w:val="435" w:hRule="atLeast"/>
        </w:trPr>
        <w:tc>
          <w:tcPr>
            <w:tcW w:w="3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 xml:space="preserve">       其中：公车购置</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0</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0</w:t>
            </w:r>
          </w:p>
        </w:tc>
      </w:tr>
      <w:tr>
        <w:tblPrEx>
          <w:tblCellMar>
            <w:top w:w="0" w:type="dxa"/>
            <w:left w:w="0" w:type="dxa"/>
            <w:bottom w:w="0" w:type="dxa"/>
            <w:right w:w="0" w:type="dxa"/>
          </w:tblCellMar>
        </w:tblPrEx>
        <w:trPr>
          <w:trHeight w:val="445" w:hRule="atLeast"/>
        </w:trPr>
        <w:tc>
          <w:tcPr>
            <w:tcW w:w="3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 xml:space="preserve">             公车运行维护</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0</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0</w:t>
            </w:r>
          </w:p>
        </w:tc>
      </w:tr>
      <w:tr>
        <w:tblPrEx>
          <w:tblCellMar>
            <w:top w:w="0" w:type="dxa"/>
            <w:left w:w="0" w:type="dxa"/>
            <w:bottom w:w="0" w:type="dxa"/>
            <w:right w:w="0" w:type="dxa"/>
          </w:tblCellMar>
        </w:tblPrEx>
        <w:trPr>
          <w:trHeight w:val="435" w:hRule="atLeast"/>
        </w:trPr>
        <w:tc>
          <w:tcPr>
            <w:tcW w:w="3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 xml:space="preserve">   2</w:t>
            </w:r>
            <w:r>
              <w:rPr>
                <w:rStyle w:val="9"/>
                <w:rFonts w:hAnsi="Times New Roman"/>
                <w:bdr w:val="none" w:color="auto" w:sz="0" w:space="0"/>
                <w:lang w:val="en-US" w:eastAsia="zh-CN" w:bidi="ar"/>
              </w:rPr>
              <w:t>、出国经费</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0</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0</w:t>
            </w:r>
          </w:p>
        </w:tc>
      </w:tr>
      <w:tr>
        <w:tblPrEx>
          <w:tblCellMar>
            <w:top w:w="0" w:type="dxa"/>
            <w:left w:w="0" w:type="dxa"/>
            <w:bottom w:w="0" w:type="dxa"/>
            <w:right w:w="0" w:type="dxa"/>
          </w:tblCellMar>
        </w:tblPrEx>
        <w:trPr>
          <w:trHeight w:val="415" w:hRule="atLeast"/>
        </w:trPr>
        <w:tc>
          <w:tcPr>
            <w:tcW w:w="3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 xml:space="preserve">   3</w:t>
            </w:r>
            <w:r>
              <w:rPr>
                <w:rStyle w:val="9"/>
                <w:rFonts w:hAnsi="Times New Roman"/>
                <w:bdr w:val="none" w:color="auto" w:sz="0" w:space="0"/>
                <w:lang w:val="en-US" w:eastAsia="zh-CN" w:bidi="ar"/>
              </w:rPr>
              <w:t>、公务接待</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2.97</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4.9</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1.41</w:t>
            </w:r>
          </w:p>
        </w:tc>
      </w:tr>
      <w:tr>
        <w:tblPrEx>
          <w:tblCellMar>
            <w:top w:w="0" w:type="dxa"/>
            <w:left w:w="0" w:type="dxa"/>
            <w:bottom w:w="0" w:type="dxa"/>
            <w:right w:w="0"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项目支出：</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136.43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72.44</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117.02</w:t>
            </w:r>
          </w:p>
        </w:tc>
      </w:tr>
      <w:tr>
        <w:tblPrEx>
          <w:tblCellMar>
            <w:top w:w="0" w:type="dxa"/>
            <w:left w:w="0" w:type="dxa"/>
            <w:bottom w:w="0" w:type="dxa"/>
            <w:right w:w="0"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1、业务工作专项</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136.43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72.44</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117.02</w:t>
            </w:r>
          </w:p>
        </w:tc>
      </w:tr>
      <w:tr>
        <w:tblPrEx>
          <w:tblCellMar>
            <w:top w:w="0" w:type="dxa"/>
            <w:left w:w="0" w:type="dxa"/>
            <w:bottom w:w="0" w:type="dxa"/>
            <w:right w:w="0"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2、运行维护专项</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0</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0</w:t>
            </w:r>
          </w:p>
        </w:tc>
      </w:tr>
      <w:tr>
        <w:tblPrEx>
          <w:tblCellMar>
            <w:top w:w="0" w:type="dxa"/>
            <w:left w:w="0" w:type="dxa"/>
            <w:bottom w:w="0" w:type="dxa"/>
            <w:right w:w="0"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公用经费</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6.75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12</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7.9</w:t>
            </w:r>
          </w:p>
        </w:tc>
      </w:tr>
      <w:tr>
        <w:tblPrEx>
          <w:tblCellMar>
            <w:top w:w="0" w:type="dxa"/>
            <w:left w:w="0" w:type="dxa"/>
            <w:bottom w:w="0" w:type="dxa"/>
            <w:right w:w="0"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 xml:space="preserve">    其中：办公经费</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6.45</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6</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6.4</w:t>
            </w:r>
          </w:p>
        </w:tc>
      </w:tr>
      <w:tr>
        <w:tblPrEx>
          <w:tblCellMar>
            <w:top w:w="0" w:type="dxa"/>
            <w:left w:w="0" w:type="dxa"/>
            <w:bottom w:w="0" w:type="dxa"/>
            <w:right w:w="0"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 xml:space="preserve">          水费、电费、差旅费</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0.3</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4.5</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0</w:t>
            </w:r>
          </w:p>
        </w:tc>
      </w:tr>
      <w:tr>
        <w:tblPrEx>
          <w:tblCellMar>
            <w:top w:w="0" w:type="dxa"/>
            <w:left w:w="0" w:type="dxa"/>
            <w:bottom w:w="0" w:type="dxa"/>
            <w:right w:w="0"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 xml:space="preserve">          会议费、培训费</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0</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1.5</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1.5</w:t>
            </w:r>
          </w:p>
        </w:tc>
      </w:tr>
      <w:tr>
        <w:tblPrEx>
          <w:tblCellMar>
            <w:top w:w="0" w:type="dxa"/>
            <w:left w:w="0" w:type="dxa"/>
            <w:bottom w:w="0" w:type="dxa"/>
            <w:right w:w="0" w:type="dxa"/>
          </w:tblCellMar>
        </w:tblPrEx>
        <w:trPr>
          <w:trHeight w:val="395" w:hRule="atLeast"/>
        </w:trPr>
        <w:tc>
          <w:tcPr>
            <w:tcW w:w="3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政府采购金额</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2</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0</w:t>
            </w:r>
          </w:p>
        </w:tc>
      </w:tr>
      <w:tr>
        <w:tblPrEx>
          <w:tblCellMar>
            <w:top w:w="0" w:type="dxa"/>
            <w:left w:w="0" w:type="dxa"/>
            <w:bottom w:w="0" w:type="dxa"/>
            <w:right w:w="0" w:type="dxa"/>
          </w:tblCellMar>
        </w:tblPrEx>
        <w:trPr>
          <w:trHeight w:val="480" w:hRule="atLeast"/>
        </w:trPr>
        <w:tc>
          <w:tcPr>
            <w:tcW w:w="3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部门整体支出预算调整</w:t>
            </w:r>
          </w:p>
        </w:tc>
        <w:tc>
          <w:tcPr>
            <w:tcW w:w="18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315.88</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240.51</w:t>
            </w:r>
          </w:p>
        </w:tc>
        <w:tc>
          <w:tcPr>
            <w:tcW w:w="18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296.36</w:t>
            </w:r>
          </w:p>
        </w:tc>
      </w:tr>
      <w:tr>
        <w:tblPrEx>
          <w:tblCellMar>
            <w:top w:w="0" w:type="dxa"/>
            <w:left w:w="0" w:type="dxa"/>
            <w:bottom w:w="0" w:type="dxa"/>
            <w:right w:w="0" w:type="dxa"/>
          </w:tblCellMar>
        </w:tblPrEx>
        <w:trPr>
          <w:trHeight w:val="1120" w:hRule="atLeast"/>
        </w:trPr>
        <w:tc>
          <w:tcPr>
            <w:tcW w:w="3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厉行节约保障措施</w:t>
            </w:r>
          </w:p>
        </w:tc>
        <w:tc>
          <w:tcPr>
            <w:tcW w:w="558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bdr w:val="none" w:color="auto" w:sz="0" w:space="0"/>
                <w:lang w:val="en-US" w:eastAsia="zh-CN" w:bidi="ar"/>
              </w:rPr>
              <w:t>全体机关人员使用空调时夏季不低于26℃，冬季不高于20℃。使用完各类用电设备后，要及时切断电源，减少照明能耗，加强用水设备的日常管理，防止跑冒滴漏。</w:t>
            </w:r>
          </w:p>
        </w:tc>
      </w:tr>
      <w:tr>
        <w:tblPrEx>
          <w:tblCellMar>
            <w:top w:w="0" w:type="dxa"/>
            <w:left w:w="0" w:type="dxa"/>
            <w:bottom w:w="0" w:type="dxa"/>
            <w:right w:w="0" w:type="dxa"/>
          </w:tblCellMar>
        </w:tblPrEx>
        <w:trPr>
          <w:trHeight w:val="1040" w:hRule="atLeast"/>
        </w:trPr>
        <w:tc>
          <w:tcPr>
            <w:tcW w:w="8970" w:type="dxa"/>
            <w:gridSpan w:val="4"/>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bdr w:val="none" w:color="auto" w:sz="0" w:space="0"/>
                <w:lang w:val="en-US" w:eastAsia="zh-CN" w:bidi="ar"/>
              </w:rPr>
              <w:t>说明：“项目支出”需要填报除公共专项资金和基本支出以外的所有项目情况，包括业务工作项目、运行维护项目等；“公用经费”填报基本支出中的一般商品和服务支出。</w:t>
            </w:r>
          </w:p>
        </w:tc>
      </w:tr>
    </w:tbl>
    <w:p>
      <w:pPr>
        <w:pStyle w:val="4"/>
        <w:widowControl/>
        <w:spacing w:beforeAutospacing="0" w:afterAutospacing="0" w:line="420" w:lineRule="atLeast"/>
        <w:ind w:firstLine="320" w:firstLineChars="100"/>
        <w:textAlignment w:val="center"/>
        <w:rPr>
          <w:rFonts w:ascii="仿宋" w:hAnsi="仿宋" w:eastAsia="仿宋"/>
          <w:color w:val="FF0000"/>
          <w:sz w:val="32"/>
          <w:szCs w:val="32"/>
        </w:rPr>
        <w:sectPr>
          <w:pgSz w:w="11906" w:h="16838"/>
          <w:pgMar w:top="1440" w:right="1800" w:bottom="1440" w:left="1800" w:header="851" w:footer="992" w:gutter="0"/>
          <w:cols w:space="425" w:num="1"/>
          <w:docGrid w:type="lines" w:linePitch="312" w:charSpace="0"/>
        </w:sectPr>
      </w:pPr>
    </w:p>
    <w:tbl>
      <w:tblPr>
        <w:tblW w:w="12180" w:type="dxa"/>
        <w:tblInd w:w="0" w:type="dxa"/>
        <w:shd w:val="clear"/>
        <w:tblLayout w:type="autofit"/>
        <w:tblCellMar>
          <w:top w:w="0" w:type="dxa"/>
          <w:left w:w="0" w:type="dxa"/>
          <w:bottom w:w="0" w:type="dxa"/>
          <w:right w:w="0" w:type="dxa"/>
        </w:tblCellMar>
      </w:tblPr>
      <w:tblGrid>
        <w:gridCol w:w="735"/>
        <w:gridCol w:w="690"/>
        <w:gridCol w:w="1170"/>
        <w:gridCol w:w="2070"/>
        <w:gridCol w:w="915"/>
        <w:gridCol w:w="705"/>
        <w:gridCol w:w="705"/>
        <w:gridCol w:w="495"/>
        <w:gridCol w:w="480"/>
        <w:gridCol w:w="495"/>
        <w:gridCol w:w="600"/>
        <w:gridCol w:w="465"/>
        <w:gridCol w:w="495"/>
        <w:gridCol w:w="525"/>
        <w:gridCol w:w="540"/>
        <w:gridCol w:w="585"/>
        <w:gridCol w:w="510"/>
      </w:tblGrid>
      <w:tr>
        <w:tblPrEx>
          <w:shd w:val="clear"/>
          <w:tblCellMar>
            <w:top w:w="0" w:type="dxa"/>
            <w:left w:w="0" w:type="dxa"/>
            <w:bottom w:w="0" w:type="dxa"/>
            <w:right w:w="0" w:type="dxa"/>
          </w:tblCellMar>
        </w:tblPrEx>
        <w:trPr>
          <w:trHeight w:val="820" w:hRule="atLeast"/>
        </w:trPr>
        <w:tc>
          <w:tcPr>
            <w:tcW w:w="12180" w:type="dxa"/>
            <w:gridSpan w:val="17"/>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44"/>
                <w:szCs w:val="44"/>
                <w:u w:val="none"/>
              </w:rPr>
            </w:pPr>
            <w:r>
              <w:rPr>
                <w:rFonts w:hint="default" w:ascii="Times New Roman" w:hAnsi="Times New Roman" w:eastAsia="宋体" w:cs="Times New Roman"/>
                <w:i w:val="0"/>
                <w:color w:val="000000"/>
                <w:kern w:val="0"/>
                <w:sz w:val="44"/>
                <w:szCs w:val="44"/>
                <w:u w:val="none"/>
                <w:bdr w:val="none" w:color="auto" w:sz="0" w:space="0"/>
                <w:lang w:val="en-US" w:eastAsia="zh-CN" w:bidi="ar"/>
              </w:rPr>
              <w:t>2020</w:t>
            </w:r>
            <w:r>
              <w:rPr>
                <w:rStyle w:val="10"/>
                <w:bdr w:val="none" w:color="auto" w:sz="0" w:space="0"/>
                <w:lang w:val="en-US" w:eastAsia="zh-CN" w:bidi="ar"/>
              </w:rPr>
              <w:t>年项目支出绩效目标执行监控表</w:t>
            </w:r>
          </w:p>
        </w:tc>
      </w:tr>
      <w:tr>
        <w:tblPrEx>
          <w:tblCellMar>
            <w:top w:w="0" w:type="dxa"/>
            <w:left w:w="0" w:type="dxa"/>
            <w:bottom w:w="0" w:type="dxa"/>
            <w:right w:w="0" w:type="dxa"/>
          </w:tblCellMar>
        </w:tblPrEx>
        <w:trPr>
          <w:trHeight w:val="480" w:hRule="atLeast"/>
        </w:trPr>
        <w:tc>
          <w:tcPr>
            <w:tcW w:w="259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项目名称</w:t>
            </w:r>
          </w:p>
        </w:tc>
        <w:tc>
          <w:tcPr>
            <w:tcW w:w="9585" w:type="dxa"/>
            <w:gridSpan w:val="1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业务工作经费</w:t>
            </w:r>
          </w:p>
        </w:tc>
      </w:tr>
      <w:tr>
        <w:tblPrEx>
          <w:tblCellMar>
            <w:top w:w="0" w:type="dxa"/>
            <w:left w:w="0" w:type="dxa"/>
            <w:bottom w:w="0" w:type="dxa"/>
            <w:right w:w="0" w:type="dxa"/>
          </w:tblCellMar>
        </w:tblPrEx>
        <w:trPr>
          <w:trHeight w:val="315" w:hRule="atLeast"/>
        </w:trPr>
        <w:tc>
          <w:tcPr>
            <w:tcW w:w="259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主管部门及代码</w:t>
            </w:r>
          </w:p>
        </w:tc>
        <w:tc>
          <w:tcPr>
            <w:tcW w:w="369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浏阳市工商业联合会</w:t>
            </w:r>
          </w:p>
        </w:tc>
        <w:tc>
          <w:tcPr>
            <w:tcW w:w="12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实施单位</w:t>
            </w:r>
          </w:p>
        </w:tc>
        <w:tc>
          <w:tcPr>
            <w:tcW w:w="4695" w:type="dxa"/>
            <w:gridSpan w:val="9"/>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浏阳市工商业联合会</w:t>
            </w:r>
          </w:p>
        </w:tc>
      </w:tr>
      <w:tr>
        <w:tblPrEx>
          <w:tblCellMar>
            <w:top w:w="0" w:type="dxa"/>
            <w:left w:w="0" w:type="dxa"/>
            <w:bottom w:w="0" w:type="dxa"/>
            <w:right w:w="0" w:type="dxa"/>
          </w:tblCellMar>
        </w:tblPrEx>
        <w:trPr>
          <w:trHeight w:val="315" w:hRule="atLeast"/>
        </w:trPr>
        <w:tc>
          <w:tcPr>
            <w:tcW w:w="2595" w:type="dxa"/>
            <w:gridSpan w:val="3"/>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项目资金（万元）</w:t>
            </w:r>
          </w:p>
        </w:tc>
        <w:tc>
          <w:tcPr>
            <w:tcW w:w="369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1680" w:type="dxa"/>
            <w:gridSpan w:val="3"/>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年初预算数</w:t>
            </w:r>
          </w:p>
        </w:tc>
        <w:tc>
          <w:tcPr>
            <w:tcW w:w="15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bdr w:val="none" w:color="auto" w:sz="0" w:space="0"/>
                <w:lang w:val="en-US" w:eastAsia="zh-CN" w:bidi="ar"/>
              </w:rPr>
              <w:t>1-6</w:t>
            </w:r>
            <w:r>
              <w:rPr>
                <w:rStyle w:val="11"/>
                <w:bdr w:val="none" w:color="auto" w:sz="0" w:space="0"/>
                <w:lang w:val="en-US" w:eastAsia="zh-CN" w:bidi="ar"/>
              </w:rPr>
              <w:t>月执行数</w:t>
            </w:r>
          </w:p>
        </w:tc>
        <w:tc>
          <w:tcPr>
            <w:tcW w:w="10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bdr w:val="none" w:color="auto" w:sz="0" w:space="0"/>
                <w:lang w:val="en-US" w:eastAsia="zh-CN" w:bidi="ar"/>
              </w:rPr>
              <w:t>1-6</w:t>
            </w:r>
            <w:r>
              <w:rPr>
                <w:rStyle w:val="11"/>
                <w:bdr w:val="none" w:color="auto" w:sz="0" w:space="0"/>
                <w:lang w:val="en-US" w:eastAsia="zh-CN" w:bidi="ar"/>
              </w:rPr>
              <w:t>月执行率</w:t>
            </w:r>
          </w:p>
        </w:tc>
        <w:tc>
          <w:tcPr>
            <w:tcW w:w="163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bdr w:val="none" w:color="auto" w:sz="0" w:space="0"/>
                <w:lang w:val="en-US" w:eastAsia="zh-CN" w:bidi="ar"/>
              </w:rPr>
              <w:t>全年预计执行数</w:t>
            </w:r>
          </w:p>
        </w:tc>
      </w:tr>
      <w:tr>
        <w:tblPrEx>
          <w:tblCellMar>
            <w:top w:w="0" w:type="dxa"/>
            <w:left w:w="0" w:type="dxa"/>
            <w:bottom w:w="0" w:type="dxa"/>
            <w:right w:w="0" w:type="dxa"/>
          </w:tblCellMar>
        </w:tblPrEx>
        <w:trPr>
          <w:trHeight w:val="315" w:hRule="atLeast"/>
        </w:trPr>
        <w:tc>
          <w:tcPr>
            <w:tcW w:w="2595"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69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bdr w:val="none" w:color="auto" w:sz="0" w:space="0"/>
                <w:lang w:val="en-US" w:eastAsia="zh-CN" w:bidi="ar"/>
              </w:rPr>
              <w:t xml:space="preserve">  </w:t>
            </w:r>
            <w:r>
              <w:rPr>
                <w:rStyle w:val="12"/>
                <w:bdr w:val="none" w:color="auto" w:sz="0" w:space="0"/>
                <w:lang w:val="en-US" w:eastAsia="zh-CN" w:bidi="ar"/>
              </w:rPr>
              <w:t>年度资金总额：</w:t>
            </w:r>
          </w:p>
        </w:tc>
        <w:tc>
          <w:tcPr>
            <w:tcW w:w="168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72.44 </w:t>
            </w:r>
          </w:p>
        </w:tc>
        <w:tc>
          <w:tcPr>
            <w:tcW w:w="15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bdr w:val="none" w:color="auto" w:sz="0" w:space="0"/>
                <w:lang w:val="en-US" w:eastAsia="zh-CN" w:bidi="ar"/>
              </w:rPr>
              <w:t>10</w:t>
            </w:r>
          </w:p>
        </w:tc>
        <w:tc>
          <w:tcPr>
            <w:tcW w:w="10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bdr w:val="none" w:color="auto" w:sz="0" w:space="0"/>
                <w:lang w:val="en-US" w:eastAsia="zh-CN" w:bidi="ar"/>
              </w:rPr>
              <w:t>45.00%</w:t>
            </w:r>
          </w:p>
        </w:tc>
        <w:tc>
          <w:tcPr>
            <w:tcW w:w="163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bdr w:val="none" w:color="auto" w:sz="0" w:space="0"/>
                <w:lang w:val="en-US" w:eastAsia="zh-CN" w:bidi="ar"/>
              </w:rPr>
              <w:t>72.44</w:t>
            </w:r>
          </w:p>
        </w:tc>
      </w:tr>
      <w:tr>
        <w:tblPrEx>
          <w:tblCellMar>
            <w:top w:w="0" w:type="dxa"/>
            <w:left w:w="0" w:type="dxa"/>
            <w:bottom w:w="0" w:type="dxa"/>
            <w:right w:w="0" w:type="dxa"/>
          </w:tblCellMar>
        </w:tblPrEx>
        <w:trPr>
          <w:trHeight w:val="315" w:hRule="atLeast"/>
        </w:trPr>
        <w:tc>
          <w:tcPr>
            <w:tcW w:w="2595"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69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其中：本年一般公共预算拨款</w:t>
            </w:r>
          </w:p>
        </w:tc>
        <w:tc>
          <w:tcPr>
            <w:tcW w:w="168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 xml:space="preserve">72.44 </w:t>
            </w:r>
          </w:p>
        </w:tc>
        <w:tc>
          <w:tcPr>
            <w:tcW w:w="15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bdr w:val="none" w:color="auto" w:sz="0" w:space="0"/>
                <w:lang w:val="en-US" w:eastAsia="zh-CN" w:bidi="ar"/>
              </w:rPr>
              <w:t>0</w:t>
            </w:r>
          </w:p>
        </w:tc>
        <w:tc>
          <w:tcPr>
            <w:tcW w:w="10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bdr w:val="none" w:color="auto" w:sz="0" w:space="0"/>
                <w:lang w:val="en-US" w:eastAsia="zh-CN" w:bidi="ar"/>
              </w:rPr>
              <w:t>0</w:t>
            </w:r>
          </w:p>
        </w:tc>
        <w:tc>
          <w:tcPr>
            <w:tcW w:w="163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r>
      <w:tr>
        <w:tblPrEx>
          <w:tblCellMar>
            <w:top w:w="0" w:type="dxa"/>
            <w:left w:w="0" w:type="dxa"/>
            <w:bottom w:w="0" w:type="dxa"/>
            <w:right w:w="0" w:type="dxa"/>
          </w:tblCellMar>
        </w:tblPrEx>
        <w:trPr>
          <w:trHeight w:val="315" w:hRule="atLeast"/>
        </w:trPr>
        <w:tc>
          <w:tcPr>
            <w:tcW w:w="2595"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69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其他资金</w:t>
            </w:r>
          </w:p>
        </w:tc>
        <w:tc>
          <w:tcPr>
            <w:tcW w:w="168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0</w:t>
            </w:r>
          </w:p>
        </w:tc>
        <w:tc>
          <w:tcPr>
            <w:tcW w:w="15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163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r>
      <w:tr>
        <w:tblPrEx>
          <w:tblCellMar>
            <w:top w:w="0" w:type="dxa"/>
            <w:left w:w="0" w:type="dxa"/>
            <w:bottom w:w="0" w:type="dxa"/>
            <w:right w:w="0" w:type="dxa"/>
          </w:tblCellMar>
        </w:tblPrEx>
        <w:trPr>
          <w:trHeight w:val="72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年度总体目标</w:t>
            </w:r>
          </w:p>
        </w:tc>
        <w:tc>
          <w:tcPr>
            <w:tcW w:w="11445" w:type="dxa"/>
            <w:gridSpan w:val="16"/>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服务“两个健康”，发挥企业和政府之间的桥梁纽带作用。</w:t>
            </w:r>
          </w:p>
        </w:tc>
      </w:tr>
      <w:tr>
        <w:tblPrEx>
          <w:tblCellMar>
            <w:top w:w="0" w:type="dxa"/>
            <w:left w:w="0" w:type="dxa"/>
            <w:bottom w:w="0" w:type="dxa"/>
            <w:right w:w="0" w:type="dxa"/>
          </w:tblCellMar>
        </w:tblPrEx>
        <w:trPr>
          <w:trHeight w:val="31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绩效指标</w:t>
            </w:r>
          </w:p>
        </w:tc>
        <w:tc>
          <w:tcPr>
            <w:tcW w:w="6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一级指标</w:t>
            </w:r>
          </w:p>
        </w:tc>
        <w:tc>
          <w:tcPr>
            <w:tcW w:w="117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二级指标</w:t>
            </w:r>
          </w:p>
        </w:tc>
        <w:tc>
          <w:tcPr>
            <w:tcW w:w="207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三级指标</w:t>
            </w:r>
          </w:p>
        </w:tc>
        <w:tc>
          <w:tcPr>
            <w:tcW w:w="91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年度指标值</w:t>
            </w:r>
          </w:p>
        </w:tc>
        <w:tc>
          <w:tcPr>
            <w:tcW w:w="705" w:type="dxa"/>
            <w:vMerge w:val="restart"/>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bdr w:val="none" w:color="auto" w:sz="0" w:space="0"/>
                <w:lang w:val="en-US" w:eastAsia="zh-CN" w:bidi="ar"/>
              </w:rPr>
              <w:t>1</w:t>
            </w:r>
            <w:r>
              <w:rPr>
                <w:rStyle w:val="11"/>
                <w:bdr w:val="none" w:color="auto" w:sz="0" w:space="0"/>
                <w:lang w:val="en-US" w:eastAsia="zh-CN" w:bidi="ar"/>
              </w:rPr>
              <w:t>月</w:t>
            </w:r>
            <w:r>
              <w:rPr>
                <w:rStyle w:val="13"/>
                <w:rFonts w:eastAsia="宋体"/>
                <w:bdr w:val="none" w:color="auto" w:sz="0" w:space="0"/>
                <w:lang w:val="en-US" w:eastAsia="zh-CN" w:bidi="ar"/>
              </w:rPr>
              <w:t>6</w:t>
            </w:r>
            <w:r>
              <w:rPr>
                <w:rStyle w:val="11"/>
                <w:bdr w:val="none" w:color="auto" w:sz="0" w:space="0"/>
                <w:lang w:val="en-US" w:eastAsia="zh-CN" w:bidi="ar"/>
              </w:rPr>
              <w:t>日执行情况</w:t>
            </w:r>
          </w:p>
        </w:tc>
        <w:tc>
          <w:tcPr>
            <w:tcW w:w="70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全年预计完成情况</w:t>
            </w:r>
          </w:p>
        </w:tc>
        <w:tc>
          <w:tcPr>
            <w:tcW w:w="3030" w:type="dxa"/>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偏差原因分析</w:t>
            </w:r>
          </w:p>
        </w:tc>
        <w:tc>
          <w:tcPr>
            <w:tcW w:w="16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完成目标可能性</w:t>
            </w:r>
          </w:p>
        </w:tc>
        <w:tc>
          <w:tcPr>
            <w:tcW w:w="5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备注</w:t>
            </w:r>
          </w:p>
        </w:tc>
      </w:tr>
      <w:tr>
        <w:tblPrEx>
          <w:tblCellMar>
            <w:top w:w="0" w:type="dxa"/>
            <w:left w:w="0" w:type="dxa"/>
            <w:bottom w:w="0" w:type="dxa"/>
            <w:right w:w="0" w:type="dxa"/>
          </w:tblCellMar>
        </w:tblPrEx>
        <w:trPr>
          <w:trHeight w:val="5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05" w:type="dxa"/>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经费保障</w:t>
            </w: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制度保障</w:t>
            </w: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人员保障</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硬件条件保障</w:t>
            </w:r>
          </w:p>
        </w:tc>
        <w:tc>
          <w:tcPr>
            <w:tcW w:w="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其他保障</w:t>
            </w: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原因说明</w:t>
            </w: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确定能</w:t>
            </w: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有可能</w:t>
            </w: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完全不可能</w:t>
            </w: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8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产出指标</w:t>
            </w:r>
          </w:p>
        </w:tc>
        <w:tc>
          <w:tcPr>
            <w:tcW w:w="117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数量指标</w:t>
            </w:r>
          </w:p>
        </w:tc>
        <w:tc>
          <w:tcPr>
            <w:tcW w:w="20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非公经济人士教育培训300人次；形成1个以上重点提案或调研报告。</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培训300人次</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w:t>
            </w: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r>
      <w:tr>
        <w:tblPrEx>
          <w:tblCellMar>
            <w:top w:w="0" w:type="dxa"/>
            <w:left w:w="0" w:type="dxa"/>
            <w:bottom w:w="0" w:type="dxa"/>
            <w:right w:w="0" w:type="dxa"/>
          </w:tblCellMar>
        </w:tblPrEx>
        <w:trPr>
          <w:trHeight w:val="5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质量指标</w:t>
            </w:r>
          </w:p>
        </w:tc>
        <w:tc>
          <w:tcPr>
            <w:tcW w:w="20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“四好”商会建设实现全覆盖。</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7天*24小时</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w:t>
            </w: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r>
      <w:tr>
        <w:tblPrEx>
          <w:tblCellMar>
            <w:top w:w="0" w:type="dxa"/>
            <w:left w:w="0" w:type="dxa"/>
            <w:bottom w:w="0" w:type="dxa"/>
            <w:right w:w="0" w:type="dxa"/>
          </w:tblCellMar>
        </w:tblPrEx>
        <w:trPr>
          <w:trHeight w:val="5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时效指标</w:t>
            </w:r>
          </w:p>
        </w:tc>
        <w:tc>
          <w:tcPr>
            <w:tcW w:w="20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所有工作原则上在2020年12月底以前完成。</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7天*24小时</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w:t>
            </w: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r>
      <w:tr>
        <w:tblPrEx>
          <w:tblCellMar>
            <w:top w:w="0" w:type="dxa"/>
            <w:left w:w="0" w:type="dxa"/>
            <w:bottom w:w="0" w:type="dxa"/>
            <w:right w:w="0" w:type="dxa"/>
          </w:tblCellMar>
        </w:tblPrEx>
        <w:trPr>
          <w:trHeight w:val="5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成本指标</w:t>
            </w:r>
          </w:p>
        </w:tc>
        <w:tc>
          <w:tcPr>
            <w:tcW w:w="20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已列入项目计划的工作成本不超支。</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w:t>
            </w: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r>
      <w:tr>
        <w:tblPrEx>
          <w:tblCellMar>
            <w:top w:w="0" w:type="dxa"/>
            <w:left w:w="0" w:type="dxa"/>
            <w:bottom w:w="0" w:type="dxa"/>
            <w:right w:w="0" w:type="dxa"/>
          </w:tblCellMar>
        </w:tblPrEx>
        <w:trPr>
          <w:trHeight w:val="8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效益指标</w:t>
            </w: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经济效益指标</w:t>
            </w:r>
          </w:p>
        </w:tc>
        <w:tc>
          <w:tcPr>
            <w:tcW w:w="20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无</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w:t>
            </w: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r>
      <w:tr>
        <w:tblPrEx>
          <w:tblCellMar>
            <w:top w:w="0" w:type="dxa"/>
            <w:left w:w="0" w:type="dxa"/>
            <w:bottom w:w="0" w:type="dxa"/>
            <w:right w:w="0" w:type="dxa"/>
          </w:tblCellMar>
        </w:tblPrEx>
        <w:trPr>
          <w:trHeight w:val="6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社会效益指标</w:t>
            </w:r>
          </w:p>
        </w:tc>
        <w:tc>
          <w:tcPr>
            <w:tcW w:w="20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服务“两个健康”水平得到提升，社会美誉度持续提高。</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w:t>
            </w: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r>
      <w:tr>
        <w:tblPrEx>
          <w:tblCellMar>
            <w:top w:w="0" w:type="dxa"/>
            <w:left w:w="0" w:type="dxa"/>
            <w:bottom w:w="0" w:type="dxa"/>
            <w:right w:w="0" w:type="dxa"/>
          </w:tblCellMar>
        </w:tblPrEx>
        <w:trPr>
          <w:trHeight w:val="5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生态效益指标</w:t>
            </w:r>
          </w:p>
        </w:tc>
        <w:tc>
          <w:tcPr>
            <w:tcW w:w="20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节省能源</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w:t>
            </w: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r>
      <w:tr>
        <w:tblPrEx>
          <w:tblCellMar>
            <w:top w:w="0" w:type="dxa"/>
            <w:left w:w="0" w:type="dxa"/>
            <w:bottom w:w="0" w:type="dxa"/>
            <w:right w:w="0" w:type="dxa"/>
          </w:tblCellMar>
        </w:tblPrEx>
        <w:trPr>
          <w:trHeight w:val="7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可持续影响指标</w:t>
            </w:r>
          </w:p>
        </w:tc>
        <w:tc>
          <w:tcPr>
            <w:tcW w:w="20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全省非公经济持续健康发展，非公经济人士得到健康成长。</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w:t>
            </w: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r>
      <w:tr>
        <w:tblPrEx>
          <w:tblCellMar>
            <w:top w:w="0" w:type="dxa"/>
            <w:left w:w="0" w:type="dxa"/>
            <w:bottom w:w="0" w:type="dxa"/>
            <w:right w:w="0" w:type="dxa"/>
          </w:tblCellMar>
        </w:tblPrEx>
        <w:trPr>
          <w:trHeight w:val="5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服务对象满意度指标</w:t>
            </w:r>
          </w:p>
        </w:tc>
        <w:tc>
          <w:tcPr>
            <w:tcW w:w="20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服务对象民意抽样调查满意率达到90%以上。</w:t>
            </w:r>
          </w:p>
        </w:tc>
        <w:tc>
          <w:tcPr>
            <w:tcW w:w="9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满意度达</w:t>
            </w:r>
            <w:r>
              <w:rPr>
                <w:rStyle w:val="14"/>
                <w:rFonts w:ascii="宋体" w:hAnsi="宋体" w:eastAsia="仿宋_GB2312" w:cs="宋体"/>
                <w:sz w:val="13"/>
                <w:szCs w:val="13"/>
                <w:bdr w:val="none" w:color="auto" w:sz="0" w:space="0"/>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bdr w:val="none" w:color="auto" w:sz="0" w:space="0"/>
                <w:lang w:val="en-US" w:eastAsia="zh-CN" w:bidi="ar"/>
              </w:rPr>
              <w:t>100%</w:t>
            </w: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bdr w:val="none" w:color="auto" w:sz="0" w:space="0"/>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16"/>
                <w:szCs w:val="16"/>
                <w:u w:val="none"/>
              </w:rPr>
            </w:pPr>
          </w:p>
        </w:tc>
      </w:tr>
      <w:tr>
        <w:tblPrEx>
          <w:tblCellMar>
            <w:top w:w="0" w:type="dxa"/>
            <w:left w:w="0" w:type="dxa"/>
            <w:bottom w:w="0" w:type="dxa"/>
            <w:right w:w="0" w:type="dxa"/>
          </w:tblCellMar>
        </w:tblPrEx>
        <w:trPr>
          <w:trHeight w:val="600" w:hRule="atLeast"/>
        </w:trPr>
        <w:tc>
          <w:tcPr>
            <w:tcW w:w="12180" w:type="dxa"/>
            <w:gridSpan w:val="17"/>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填报人：                                         单位负责人：</w:t>
            </w:r>
          </w:p>
        </w:tc>
      </w:tr>
      <w:tr>
        <w:tblPrEx>
          <w:tblCellMar>
            <w:top w:w="0" w:type="dxa"/>
            <w:left w:w="0" w:type="dxa"/>
            <w:bottom w:w="0" w:type="dxa"/>
            <w:right w:w="0" w:type="dxa"/>
          </w:tblCellMar>
        </w:tblPrEx>
        <w:trPr>
          <w:trHeight w:val="285" w:hRule="atLeast"/>
        </w:trPr>
        <w:tc>
          <w:tcPr>
            <w:tcW w:w="12180" w:type="dxa"/>
            <w:gridSpan w:val="17"/>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bdr w:val="none" w:color="auto" w:sz="0" w:space="0"/>
                <w:lang w:val="en-US" w:eastAsia="zh-CN" w:bidi="ar"/>
              </w:rPr>
              <w:t>注：1．偏差原因分析：针对与预期目标产生偏差的指标值，分别从经费保障、制度保障、人员保障、硬件条件保障等方面进行判断和分析，并说明原因。</w:t>
            </w:r>
          </w:p>
        </w:tc>
      </w:tr>
      <w:tr>
        <w:tblPrEx>
          <w:tblCellMar>
            <w:top w:w="0" w:type="dxa"/>
            <w:left w:w="0" w:type="dxa"/>
            <w:bottom w:w="0" w:type="dxa"/>
            <w:right w:w="0" w:type="dxa"/>
          </w:tblCellMar>
        </w:tblPrEx>
        <w:trPr>
          <w:trHeight w:val="285" w:hRule="atLeast"/>
        </w:trPr>
        <w:tc>
          <w:tcPr>
            <w:tcW w:w="12180" w:type="dxa"/>
            <w:gridSpan w:val="17"/>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bdr w:val="none" w:color="auto" w:sz="0" w:space="0"/>
                <w:lang w:val="en-US" w:eastAsia="zh-CN" w:bidi="ar"/>
              </w:rPr>
              <w:t>2．完成目标可能性：对应所设定的实现绩效目标的路径，分确定能、有可能、完全不可能三级综合判断完成的可能性。</w:t>
            </w:r>
          </w:p>
        </w:tc>
      </w:tr>
      <w:tr>
        <w:tblPrEx>
          <w:tblCellMar>
            <w:top w:w="0" w:type="dxa"/>
            <w:left w:w="0" w:type="dxa"/>
            <w:bottom w:w="0" w:type="dxa"/>
            <w:right w:w="0" w:type="dxa"/>
          </w:tblCellMar>
        </w:tblPrEx>
        <w:trPr>
          <w:trHeight w:val="285" w:hRule="atLeast"/>
        </w:trPr>
        <w:tc>
          <w:tcPr>
            <w:tcW w:w="12180" w:type="dxa"/>
            <w:gridSpan w:val="17"/>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bdr w:val="none" w:color="auto" w:sz="0" w:space="0"/>
                <w:lang w:val="en-US" w:eastAsia="zh-CN" w:bidi="ar"/>
              </w:rPr>
              <w:t>3．备注：说明预计到年底不能完成目标的原因及拟采取的措施。</w:t>
            </w:r>
          </w:p>
        </w:tc>
      </w:tr>
    </w:tbl>
    <w:p>
      <w:pPr>
        <w:pStyle w:val="4"/>
        <w:widowControl/>
        <w:spacing w:beforeAutospacing="0" w:afterAutospacing="0" w:line="420" w:lineRule="atLeast"/>
        <w:ind w:firstLine="320" w:firstLineChars="100"/>
        <w:textAlignment w:val="center"/>
        <w:rPr>
          <w:rFonts w:ascii="仿宋" w:hAnsi="仿宋" w:eastAsia="仿宋"/>
          <w:color w:val="FF0000"/>
          <w:sz w:val="32"/>
          <w:szCs w:val="32"/>
        </w:rPr>
      </w:pPr>
    </w:p>
    <w:p>
      <w:pPr>
        <w:pStyle w:val="4"/>
        <w:widowControl/>
        <w:spacing w:beforeAutospacing="0" w:afterAutospacing="0" w:line="420" w:lineRule="atLeast"/>
        <w:ind w:firstLine="320" w:firstLineChars="100"/>
        <w:textAlignment w:val="center"/>
        <w:rPr>
          <w:rFonts w:ascii="仿宋" w:hAnsi="仿宋" w:eastAsia="仿宋"/>
          <w:color w:val="FF0000"/>
          <w:sz w:val="32"/>
          <w:szCs w:val="32"/>
        </w:rPr>
      </w:pPr>
    </w:p>
    <w:p>
      <w:pPr>
        <w:pStyle w:val="4"/>
        <w:widowControl/>
        <w:spacing w:beforeAutospacing="0" w:afterAutospacing="0" w:line="420" w:lineRule="atLeast"/>
        <w:ind w:firstLine="320" w:firstLineChars="100"/>
        <w:textAlignment w:val="center"/>
        <w:rPr>
          <w:rFonts w:ascii="仿宋" w:hAnsi="仿宋" w:eastAsia="仿宋"/>
          <w:color w:val="FF0000"/>
          <w:sz w:val="32"/>
          <w:szCs w:val="32"/>
        </w:rPr>
        <w:sectPr>
          <w:pgSz w:w="16838" w:h="11906" w:orient="landscape"/>
          <w:pgMar w:top="1803" w:right="1440" w:bottom="1803" w:left="1440" w:header="851" w:footer="992" w:gutter="0"/>
          <w:paperSrc/>
          <w:cols w:space="0" w:num="1"/>
          <w:rtlGutter w:val="0"/>
          <w:docGrid w:type="lines" w:linePitch="319" w:charSpace="0"/>
        </w:sectPr>
      </w:pPr>
    </w:p>
    <w:tbl>
      <w:tblPr>
        <w:tblW w:w="8250" w:type="dxa"/>
        <w:tblInd w:w="0" w:type="dxa"/>
        <w:shd w:val="clear"/>
        <w:tblLayout w:type="autofit"/>
        <w:tblCellMar>
          <w:top w:w="0" w:type="dxa"/>
          <w:left w:w="0" w:type="dxa"/>
          <w:bottom w:w="0" w:type="dxa"/>
          <w:right w:w="0" w:type="dxa"/>
        </w:tblCellMar>
      </w:tblPr>
      <w:tblGrid>
        <w:gridCol w:w="750"/>
        <w:gridCol w:w="435"/>
        <w:gridCol w:w="1410"/>
        <w:gridCol w:w="1020"/>
        <w:gridCol w:w="960"/>
        <w:gridCol w:w="1275"/>
        <w:gridCol w:w="975"/>
        <w:gridCol w:w="600"/>
        <w:gridCol w:w="825"/>
      </w:tblGrid>
      <w:tr>
        <w:tblPrEx>
          <w:shd w:val="clear"/>
          <w:tblCellMar>
            <w:top w:w="0" w:type="dxa"/>
            <w:left w:w="0" w:type="dxa"/>
            <w:bottom w:w="0" w:type="dxa"/>
            <w:right w:w="0" w:type="dxa"/>
          </w:tblCellMar>
        </w:tblPrEx>
        <w:trPr>
          <w:trHeight w:val="555" w:hRule="atLeast"/>
        </w:trPr>
        <w:tc>
          <w:tcPr>
            <w:tcW w:w="8250" w:type="dxa"/>
            <w:gridSpan w:val="9"/>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44"/>
                <w:szCs w:val="44"/>
                <w:u w:val="none"/>
              </w:rPr>
            </w:pPr>
            <w:r>
              <w:rPr>
                <w:rFonts w:hint="default" w:ascii="Times New Roman" w:hAnsi="Times New Roman" w:eastAsia="宋体" w:cs="Times New Roman"/>
                <w:i w:val="0"/>
                <w:color w:val="000000"/>
                <w:kern w:val="0"/>
                <w:sz w:val="44"/>
                <w:szCs w:val="44"/>
                <w:u w:val="none"/>
                <w:bdr w:val="none" w:color="auto" w:sz="0" w:space="0"/>
                <w:lang w:val="en-US" w:eastAsia="zh-CN" w:bidi="ar"/>
              </w:rPr>
              <w:t>2020</w:t>
            </w:r>
            <w:r>
              <w:rPr>
                <w:rStyle w:val="15"/>
                <w:bdr w:val="none" w:color="auto" w:sz="0" w:space="0"/>
                <w:lang w:val="en-US" w:eastAsia="zh-CN" w:bidi="ar"/>
              </w:rPr>
              <w:t>年部门整体支出绩效自评表</w:t>
            </w:r>
          </w:p>
        </w:tc>
      </w:tr>
      <w:tr>
        <w:tblPrEx>
          <w:shd w:val="clear"/>
          <w:tblCellMar>
            <w:top w:w="0" w:type="dxa"/>
            <w:left w:w="0" w:type="dxa"/>
            <w:bottom w:w="0" w:type="dxa"/>
            <w:right w:w="0" w:type="dxa"/>
          </w:tblCellMar>
        </w:tblPrEx>
        <w:trPr>
          <w:trHeight w:val="570" w:hRule="atLeast"/>
        </w:trPr>
        <w:tc>
          <w:tcPr>
            <w:tcW w:w="750"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bdr w:val="none" w:color="auto" w:sz="0" w:space="0"/>
                <w:lang w:val="en-US" w:eastAsia="zh-CN" w:bidi="ar"/>
              </w:rPr>
              <w:t xml:space="preserve"> </w:t>
            </w:r>
          </w:p>
        </w:tc>
        <w:tc>
          <w:tcPr>
            <w:tcW w:w="435" w:type="dxa"/>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10" w:type="dxa"/>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20" w:type="dxa"/>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0" w:type="dxa"/>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75" w:type="dxa"/>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00" w:type="dxa"/>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25" w:type="dxa"/>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11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部门（单位）名称</w:t>
            </w:r>
          </w:p>
        </w:tc>
        <w:tc>
          <w:tcPr>
            <w:tcW w:w="7065" w:type="dxa"/>
            <w:gridSpan w:val="7"/>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浏阳市工商业联合会</w:t>
            </w:r>
          </w:p>
        </w:tc>
      </w:tr>
      <w:tr>
        <w:tblPrEx>
          <w:tblCellMar>
            <w:top w:w="0" w:type="dxa"/>
            <w:left w:w="0" w:type="dxa"/>
            <w:bottom w:w="0" w:type="dxa"/>
            <w:right w:w="0" w:type="dxa"/>
          </w:tblCellMar>
        </w:tblPrEx>
        <w:trPr>
          <w:trHeight w:val="48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整体支出规模</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全年预算数</w:t>
            </w:r>
          </w:p>
        </w:tc>
        <w:tc>
          <w:tcPr>
            <w:tcW w:w="28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全年执行数</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执行率</w:t>
            </w:r>
          </w:p>
        </w:tc>
      </w:tr>
      <w:tr>
        <w:tblPrEx>
          <w:tblCellMar>
            <w:top w:w="0" w:type="dxa"/>
            <w:left w:w="0" w:type="dxa"/>
            <w:bottom w:w="0" w:type="dxa"/>
            <w:right w:w="0" w:type="dxa"/>
          </w:tblCellMar>
        </w:tblPrEx>
        <w:trPr>
          <w:trHeight w:val="48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资金来源：     （1）财政拨款</w:t>
            </w:r>
          </w:p>
        </w:tc>
        <w:tc>
          <w:tcPr>
            <w:tcW w:w="19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2,405,148.00</w:t>
            </w:r>
          </w:p>
        </w:tc>
        <w:tc>
          <w:tcPr>
            <w:tcW w:w="28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2,963,600.00</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100.00%</w:t>
            </w:r>
          </w:p>
        </w:tc>
      </w:tr>
      <w:tr>
        <w:tblPrEx>
          <w:tblCellMar>
            <w:top w:w="0" w:type="dxa"/>
            <w:left w:w="0" w:type="dxa"/>
            <w:bottom w:w="0" w:type="dxa"/>
            <w:right w:w="0" w:type="dxa"/>
          </w:tblCellMar>
        </w:tblPrEx>
        <w:trPr>
          <w:trHeight w:val="48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r>
              <w:rPr>
                <w:rStyle w:val="16"/>
                <w:bdr w:val="none" w:color="auto" w:sz="0" w:space="0"/>
                <w:lang w:val="en-US" w:eastAsia="zh-CN" w:bidi="ar"/>
              </w:rPr>
              <w:t>2</w:t>
            </w:r>
            <w:r>
              <w:rPr>
                <w:rStyle w:val="17"/>
                <w:bdr w:val="none" w:color="auto" w:sz="0" w:space="0"/>
                <w:lang w:val="en-US" w:eastAsia="zh-CN" w:bidi="ar"/>
              </w:rPr>
              <w:t>）其他资金</w:t>
            </w:r>
          </w:p>
        </w:tc>
        <w:tc>
          <w:tcPr>
            <w:tcW w:w="19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28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100.00%</w:t>
            </w:r>
          </w:p>
        </w:tc>
      </w:tr>
      <w:tr>
        <w:tblPrEx>
          <w:tblCellMar>
            <w:top w:w="0" w:type="dxa"/>
            <w:left w:w="0" w:type="dxa"/>
            <w:bottom w:w="0" w:type="dxa"/>
            <w:right w:w="0" w:type="dxa"/>
          </w:tblCellMar>
        </w:tblPrEx>
        <w:trPr>
          <w:trHeight w:val="48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资金结构：     （1）基本支出</w:t>
            </w:r>
          </w:p>
        </w:tc>
        <w:tc>
          <w:tcPr>
            <w:tcW w:w="19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1,680,748.00</w:t>
            </w:r>
          </w:p>
        </w:tc>
        <w:tc>
          <w:tcPr>
            <w:tcW w:w="28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1,793,400.00</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100.00%</w:t>
            </w:r>
          </w:p>
        </w:tc>
      </w:tr>
      <w:tr>
        <w:tblPrEx>
          <w:tblCellMar>
            <w:top w:w="0" w:type="dxa"/>
            <w:left w:w="0" w:type="dxa"/>
            <w:bottom w:w="0" w:type="dxa"/>
            <w:right w:w="0" w:type="dxa"/>
          </w:tblCellMar>
        </w:tblPrEx>
        <w:trPr>
          <w:trHeight w:val="48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r>
              <w:rPr>
                <w:rStyle w:val="16"/>
                <w:bdr w:val="none" w:color="auto" w:sz="0" w:space="0"/>
                <w:lang w:val="en-US" w:eastAsia="zh-CN" w:bidi="ar"/>
              </w:rPr>
              <w:t>2</w:t>
            </w:r>
            <w:r>
              <w:rPr>
                <w:rStyle w:val="17"/>
                <w:bdr w:val="none" w:color="auto" w:sz="0" w:space="0"/>
                <w:lang w:val="en-US" w:eastAsia="zh-CN" w:bidi="ar"/>
              </w:rPr>
              <w:t>）项目支出</w:t>
            </w:r>
          </w:p>
        </w:tc>
        <w:tc>
          <w:tcPr>
            <w:tcW w:w="19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724,400.00</w:t>
            </w:r>
          </w:p>
        </w:tc>
        <w:tc>
          <w:tcPr>
            <w:tcW w:w="28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1,170,200.00</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100.00%</w:t>
            </w:r>
          </w:p>
        </w:tc>
      </w:tr>
      <w:tr>
        <w:tblPrEx>
          <w:tblCellMar>
            <w:top w:w="0" w:type="dxa"/>
            <w:left w:w="0" w:type="dxa"/>
            <w:bottom w:w="0" w:type="dxa"/>
            <w:right w:w="0" w:type="dxa"/>
          </w:tblCellMar>
        </w:tblPrEx>
        <w:trPr>
          <w:trHeight w:val="48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年度总体目标</w:t>
            </w:r>
          </w:p>
        </w:tc>
        <w:tc>
          <w:tcPr>
            <w:tcW w:w="286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年初设定目标</w:t>
            </w:r>
          </w:p>
        </w:tc>
        <w:tc>
          <w:tcPr>
            <w:tcW w:w="463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全年完成情况</w:t>
            </w:r>
          </w:p>
        </w:tc>
      </w:tr>
      <w:tr>
        <w:tblPrEx>
          <w:tblCellMar>
            <w:top w:w="0" w:type="dxa"/>
            <w:left w:w="0" w:type="dxa"/>
            <w:bottom w:w="0" w:type="dxa"/>
            <w:right w:w="0" w:type="dxa"/>
          </w:tblCellMar>
        </w:tblPrEx>
        <w:trPr>
          <w:trHeight w:val="274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6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服务“两个健康”，发挥企业和政府之间的桥梁纽带作用。</w:t>
            </w:r>
          </w:p>
        </w:tc>
        <w:tc>
          <w:tcPr>
            <w:tcW w:w="463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指导商会全面开展"四好"商会和"一会一品"建设；做好女企业家商会的换届工作。2.巩固和完善外地浏阳商会或同乡会；加强与外省市工商联、商会之间的交流合作，重点面向北上广重点招商区域；召开异地商会会长迎新联谊座谈会。3.引导非公人士参与"万企帮万村"精准扶贫行动，组织工商联界别政协委员进社区和异地商会、同乡会关爱留守儿童和留守老人。4.做好精准扶贫、产业链建设等中心工作。5.组织工商联界别政协委员开展专项调研，6.建立领导干部联系非公企业和商会制度；深入开展"走百家企业、解发展难题"活动。7.营造企业家健康成长环境，弘扬优秀企业家精神，更好发挥企业家作用。8.加强与美国湖南商会、加拿大华人商会、菲律宾湖南商会、香港驻湖南办事处和省贸促会的联系；推动浏商参与国际交流合作。</w:t>
            </w:r>
          </w:p>
        </w:tc>
      </w:tr>
      <w:tr>
        <w:tblPrEx>
          <w:shd w:val="clear"/>
          <w:tblCellMar>
            <w:top w:w="0" w:type="dxa"/>
            <w:left w:w="0" w:type="dxa"/>
            <w:bottom w:w="0" w:type="dxa"/>
            <w:right w:w="0" w:type="dxa"/>
          </w:tblCellMar>
        </w:tblPrEx>
        <w:trPr>
          <w:trHeight w:val="520" w:hRule="atLeast"/>
        </w:trPr>
        <w:tc>
          <w:tcPr>
            <w:tcW w:w="8250" w:type="dxa"/>
            <w:gridSpan w:val="9"/>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分解目标自评</w:t>
            </w:r>
          </w:p>
        </w:tc>
      </w:tr>
      <w:tr>
        <w:tblPrEx>
          <w:tblCellMar>
            <w:top w:w="0" w:type="dxa"/>
            <w:left w:w="0" w:type="dxa"/>
            <w:bottom w:w="0" w:type="dxa"/>
            <w:right w:w="0"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一级指标</w:t>
            </w:r>
          </w:p>
        </w:tc>
        <w:tc>
          <w:tcPr>
            <w:tcW w:w="4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权重</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二级指标</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三级指标</w:t>
            </w:r>
          </w:p>
        </w:tc>
        <w:tc>
          <w:tcPr>
            <w:tcW w:w="22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年度指标值</w:t>
            </w:r>
          </w:p>
        </w:tc>
        <w:tc>
          <w:tcPr>
            <w:tcW w:w="97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全年完成值</w:t>
            </w:r>
          </w:p>
        </w:tc>
        <w:tc>
          <w:tcPr>
            <w:tcW w:w="60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自评得分</w:t>
            </w:r>
          </w:p>
        </w:tc>
        <w:tc>
          <w:tcPr>
            <w:tcW w:w="82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偏差及原因分析</w:t>
            </w:r>
          </w:p>
        </w:tc>
      </w:tr>
      <w:tr>
        <w:tblPrEx>
          <w:tblCellMar>
            <w:top w:w="0" w:type="dxa"/>
            <w:left w:w="0" w:type="dxa"/>
            <w:bottom w:w="0" w:type="dxa"/>
            <w:right w:w="0" w:type="dxa"/>
          </w:tblCellMar>
        </w:tblPrEx>
        <w:trPr>
          <w:trHeight w:val="48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投入管理</w:t>
            </w:r>
          </w:p>
        </w:tc>
        <w:tc>
          <w:tcPr>
            <w:tcW w:w="4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预算编审管理（3）</w:t>
            </w:r>
          </w:p>
        </w:tc>
        <w:tc>
          <w:tcPr>
            <w:tcW w:w="3255" w:type="dxa"/>
            <w:gridSpan w:val="3"/>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根据财政管理工作绩效考核相关办法规定填报</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预算执行管理（4）</w:t>
            </w:r>
          </w:p>
        </w:tc>
        <w:tc>
          <w:tcPr>
            <w:tcW w:w="3255"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部门结转结余资金管理（4）</w:t>
            </w:r>
          </w:p>
        </w:tc>
        <w:tc>
          <w:tcPr>
            <w:tcW w:w="3255"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预算绩效管理（5）</w:t>
            </w:r>
          </w:p>
        </w:tc>
        <w:tc>
          <w:tcPr>
            <w:tcW w:w="3255"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预决算信息公开管理（4）</w:t>
            </w:r>
          </w:p>
        </w:tc>
        <w:tc>
          <w:tcPr>
            <w:tcW w:w="3255"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财政监督管理（3）</w:t>
            </w:r>
          </w:p>
        </w:tc>
        <w:tc>
          <w:tcPr>
            <w:tcW w:w="3255"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政府采购管理（3）</w:t>
            </w:r>
          </w:p>
        </w:tc>
        <w:tc>
          <w:tcPr>
            <w:tcW w:w="3255"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资产管理（4）</w:t>
            </w:r>
          </w:p>
        </w:tc>
        <w:tc>
          <w:tcPr>
            <w:tcW w:w="3255"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1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产出指标</w:t>
            </w:r>
          </w:p>
        </w:tc>
        <w:tc>
          <w:tcPr>
            <w:tcW w:w="4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w:t>
            </w:r>
          </w:p>
        </w:tc>
        <w:tc>
          <w:tcPr>
            <w:tcW w:w="14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数量指标（6）</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在职人员控制率（3分）</w:t>
            </w:r>
          </w:p>
        </w:tc>
        <w:tc>
          <w:tcPr>
            <w:tcW w:w="22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在职人员控制率＝（在职人员数</w:t>
            </w:r>
            <w:r>
              <w:rPr>
                <w:rStyle w:val="18"/>
                <w:bdr w:val="none" w:color="auto" w:sz="0" w:space="0"/>
                <w:lang w:val="en-US" w:eastAsia="zh-CN" w:bidi="ar"/>
              </w:rPr>
              <w:t>/</w:t>
            </w:r>
            <w:r>
              <w:rPr>
                <w:rStyle w:val="19"/>
                <w:bdr w:val="none" w:color="auto" w:sz="0" w:space="0"/>
                <w:lang w:val="en-US" w:eastAsia="zh-CN" w:bidi="ar"/>
              </w:rPr>
              <w:t>编制数）</w:t>
            </w:r>
            <w:r>
              <w:rPr>
                <w:rStyle w:val="18"/>
                <w:bdr w:val="none" w:color="auto" w:sz="0" w:space="0"/>
                <w:lang w:val="en-US" w:eastAsia="zh-CN" w:bidi="ar"/>
              </w:rPr>
              <w:t xml:space="preserve">*100% </w:t>
            </w:r>
            <w:r>
              <w:rPr>
                <w:rStyle w:val="19"/>
                <w:bdr w:val="none" w:color="auto" w:sz="0" w:space="0"/>
                <w:lang w:val="en-US" w:eastAsia="zh-CN" w:bidi="ar"/>
              </w:rPr>
              <w:t>在职人员数：部门实际在职人数，</w:t>
            </w:r>
            <w:r>
              <w:rPr>
                <w:rStyle w:val="18"/>
                <w:bdr w:val="none" w:color="auto" w:sz="0" w:space="0"/>
                <w:lang w:val="en-US" w:eastAsia="zh-CN" w:bidi="ar"/>
              </w:rPr>
              <w:t>编制数：机构编制部门核定的人员编制数　</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0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“三公经费”变 动率（3分）</w:t>
            </w:r>
          </w:p>
        </w:tc>
        <w:tc>
          <w:tcPr>
            <w:tcW w:w="22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w:t>
            </w:r>
            <w:r>
              <w:rPr>
                <w:rStyle w:val="18"/>
                <w:bdr w:val="none" w:color="auto" w:sz="0" w:space="0"/>
                <w:lang w:val="en-US" w:eastAsia="zh-CN" w:bidi="ar"/>
              </w:rPr>
              <w:t>三公经费”变动率＝[（本年度 “三公经费”预算安排数－上年度 “三公经费”预算安排数）/上年度“三公经费”预算安排数]*100%　</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4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质量指标（8</w:t>
            </w:r>
            <w:r>
              <w:rPr>
                <w:rStyle w:val="18"/>
                <w:bdr w:val="none" w:color="auto" w:sz="0" w:space="0"/>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支出经费控制率（4分）</w:t>
            </w:r>
          </w:p>
        </w:tc>
        <w:tc>
          <w:tcPr>
            <w:tcW w:w="22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支出经费控制率＝（实际支出经费总额/</w:t>
            </w:r>
            <w:r>
              <w:rPr>
                <w:rStyle w:val="18"/>
                <w:bdr w:val="none" w:color="auto" w:sz="0" w:space="0"/>
                <w:lang w:val="en-US" w:eastAsia="zh-CN" w:bidi="ar"/>
              </w:rPr>
              <w:t>预算安排经费总额）*100%　</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资金使用合规性（4分）</w:t>
            </w:r>
          </w:p>
        </w:tc>
        <w:tc>
          <w:tcPr>
            <w:tcW w:w="22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单位财务管理规定　</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14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时效指标（5</w:t>
            </w:r>
            <w:r>
              <w:rPr>
                <w:rStyle w:val="18"/>
                <w:bdr w:val="none" w:color="auto" w:sz="0" w:space="0"/>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资金到位率（2分</w:t>
            </w:r>
          </w:p>
        </w:tc>
        <w:tc>
          <w:tcPr>
            <w:tcW w:w="22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实际到位资金与计划投入资金的比率，用以反映和考核资金安排的落 实情况。资金到位率=</w:t>
            </w:r>
            <w:r>
              <w:rPr>
                <w:rStyle w:val="18"/>
                <w:bdr w:val="none" w:color="auto" w:sz="0" w:space="0"/>
                <w:lang w:val="en-US" w:eastAsia="zh-CN" w:bidi="ar"/>
              </w:rPr>
              <w:t>（实际到位资金/计划投入资金）×100%。</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04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重点工作办结率（3分）</w:t>
            </w:r>
          </w:p>
        </w:tc>
        <w:tc>
          <w:tcPr>
            <w:tcW w:w="22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重点工作办结率＝（重点工作实际 完成数/</w:t>
            </w:r>
            <w:r>
              <w:rPr>
                <w:rStyle w:val="18"/>
                <w:bdr w:val="none" w:color="auto" w:sz="0" w:space="0"/>
                <w:lang w:val="en-US" w:eastAsia="zh-CN" w:bidi="ar"/>
              </w:rPr>
              <w:t>上级交办或下达数）重点工作：党委、政府、人大及相关 部门交办或下达的工作任务</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成本指标（6</w:t>
            </w:r>
            <w:r>
              <w:rPr>
                <w:rStyle w:val="18"/>
                <w:bdr w:val="none" w:color="auto" w:sz="0" w:space="0"/>
                <w:lang w:val="en-US" w:eastAsia="zh-CN" w:bidi="ar"/>
              </w:rPr>
              <w:t>分）</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整体绩效支出总量增长率（2分）</w:t>
            </w:r>
          </w:p>
        </w:tc>
        <w:tc>
          <w:tcPr>
            <w:tcW w:w="22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整体绩效支出总量和上年对比率　</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政府采取、购买服务执行情况（2分）</w:t>
            </w:r>
          </w:p>
        </w:tc>
        <w:tc>
          <w:tcPr>
            <w:tcW w:w="22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政府采购法　</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整体绩效支出完成率（2分）</w:t>
            </w:r>
          </w:p>
        </w:tc>
        <w:tc>
          <w:tcPr>
            <w:tcW w:w="22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整体绩效支出占预算比率</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8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效益指标</w:t>
            </w:r>
          </w:p>
        </w:tc>
        <w:tc>
          <w:tcPr>
            <w:tcW w:w="4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经济效益指标（10</w:t>
            </w:r>
            <w:r>
              <w:rPr>
                <w:rStyle w:val="18"/>
                <w:bdr w:val="none" w:color="auto" w:sz="0" w:space="0"/>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非公有制经济领导小组专项工作</w:t>
            </w:r>
          </w:p>
        </w:tc>
        <w:tc>
          <w:tcPr>
            <w:tcW w:w="22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引导非公人士参与"万企帮万村"精准扶贫行动，组织工商联界别政协委员进社区和异地商会、同乡会关爱留守儿童和留守老人</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3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社会效益指标（10</w:t>
            </w:r>
            <w:r>
              <w:rPr>
                <w:rStyle w:val="18"/>
                <w:bdr w:val="none" w:color="auto" w:sz="0" w:space="0"/>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民营企业投诉处理中心工作</w:t>
            </w:r>
          </w:p>
        </w:tc>
        <w:tc>
          <w:tcPr>
            <w:tcW w:w="22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深入开展"走百家企业、解发展难题"活动。</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4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生态效益指标（7</w:t>
            </w:r>
            <w:r>
              <w:rPr>
                <w:rStyle w:val="18"/>
                <w:bdr w:val="none" w:color="auto" w:sz="0" w:space="0"/>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参政议政调研专项工作</w:t>
            </w:r>
          </w:p>
        </w:tc>
        <w:tc>
          <w:tcPr>
            <w:tcW w:w="22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组织工商联界别政协委员开展专项调研</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可持续影响指标</w:t>
            </w:r>
            <w:r>
              <w:rPr>
                <w:rStyle w:val="18"/>
                <w:bdr w:val="none" w:color="auto" w:sz="0" w:space="0"/>
                <w:lang w:val="en-US" w:eastAsia="zh-CN" w:bidi="ar"/>
              </w:rPr>
              <w:t>(8)</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异地商会及招商引资工作</w:t>
            </w:r>
          </w:p>
        </w:tc>
        <w:tc>
          <w:tcPr>
            <w:tcW w:w="22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指导商会全面开展"四好"商会和"一会一品"建设；做好女企业家商会的换届工作</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满意度指标（10</w:t>
            </w:r>
            <w:r>
              <w:rPr>
                <w:rStyle w:val="18"/>
                <w:bdr w:val="none" w:color="auto" w:sz="0" w:space="0"/>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社会和人民群众满意度的评价</w:t>
            </w:r>
          </w:p>
        </w:tc>
        <w:tc>
          <w:tcPr>
            <w:tcW w:w="22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满意度达100%</w:t>
            </w:r>
          </w:p>
        </w:tc>
        <w:tc>
          <w:tcPr>
            <w:tcW w:w="9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大于</w:t>
            </w:r>
            <w:r>
              <w:rPr>
                <w:rStyle w:val="18"/>
                <w:bdr w:val="none" w:color="auto" w:sz="0" w:space="0"/>
                <w:lang w:val="en-US" w:eastAsia="zh-CN" w:bidi="ar"/>
              </w:rPr>
              <w:t>98%</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20" w:hRule="atLeast"/>
        </w:trPr>
        <w:tc>
          <w:tcPr>
            <w:tcW w:w="259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总  分</w:t>
            </w:r>
          </w:p>
        </w:tc>
        <w:tc>
          <w:tcPr>
            <w:tcW w:w="4230"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40" w:hRule="atLeast"/>
        </w:trPr>
        <w:tc>
          <w:tcPr>
            <w:tcW w:w="8250" w:type="dxa"/>
            <w:gridSpan w:val="9"/>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ascii="楷体_GB2312" w:hAnsi="宋体" w:eastAsia="楷体_GB2312" w:cs="楷体_GB2312"/>
                <w:i w:val="0"/>
                <w:color w:val="000000"/>
                <w:sz w:val="18"/>
                <w:szCs w:val="18"/>
                <w:u w:val="none"/>
              </w:rPr>
            </w:pPr>
            <w:r>
              <w:rPr>
                <w:rFonts w:hint="eastAsia" w:ascii="楷体_GB2312" w:hAnsi="宋体" w:eastAsia="楷体_GB2312" w:cs="楷体_GB2312"/>
                <w:i w:val="0"/>
                <w:color w:val="000000"/>
                <w:kern w:val="0"/>
                <w:sz w:val="18"/>
                <w:szCs w:val="18"/>
                <w:u w:val="none"/>
                <w:bdr w:val="none" w:color="auto" w:sz="0" w:space="0"/>
                <w:lang w:val="en-US" w:eastAsia="zh-CN" w:bidi="ar"/>
              </w:rPr>
              <w:t>注：上述产出指标和效益指标既可以按照重点任务完成情况分别填列，也可以依据所有重点任务归纳提炼综合指标。</w:t>
            </w:r>
          </w:p>
        </w:tc>
      </w:tr>
    </w:tbl>
    <w:p>
      <w:pPr>
        <w:pStyle w:val="4"/>
        <w:widowControl/>
        <w:spacing w:beforeAutospacing="0" w:afterAutospacing="0" w:line="420" w:lineRule="atLeast"/>
        <w:ind w:firstLine="320" w:firstLineChars="100"/>
        <w:textAlignment w:val="center"/>
        <w:rPr>
          <w:rFonts w:ascii="仿宋" w:hAnsi="仿宋" w:eastAsia="仿宋"/>
          <w:color w:val="FF0000"/>
          <w:sz w:val="32"/>
          <w:szCs w:val="32"/>
        </w:rPr>
      </w:pPr>
    </w:p>
    <w:p>
      <w:pPr>
        <w:pStyle w:val="4"/>
        <w:widowControl/>
        <w:spacing w:beforeAutospacing="0" w:afterAutospacing="0" w:line="420" w:lineRule="atLeast"/>
        <w:ind w:firstLine="320" w:firstLineChars="100"/>
        <w:textAlignment w:val="center"/>
        <w:rPr>
          <w:rFonts w:ascii="仿宋" w:hAnsi="仿宋" w:eastAsia="仿宋"/>
          <w:color w:val="FF0000"/>
          <w:sz w:val="32"/>
          <w:szCs w:val="32"/>
        </w:rPr>
      </w:pPr>
    </w:p>
    <w:tbl>
      <w:tblPr>
        <w:tblW w:w="9015" w:type="dxa"/>
        <w:tblInd w:w="0" w:type="dxa"/>
        <w:shd w:val="clear"/>
        <w:tblLayout w:type="autofit"/>
        <w:tblCellMar>
          <w:top w:w="0" w:type="dxa"/>
          <w:left w:w="0" w:type="dxa"/>
          <w:bottom w:w="0" w:type="dxa"/>
          <w:right w:w="0" w:type="dxa"/>
        </w:tblCellMar>
      </w:tblPr>
      <w:tblGrid>
        <w:gridCol w:w="930"/>
        <w:gridCol w:w="840"/>
        <w:gridCol w:w="945"/>
        <w:gridCol w:w="1695"/>
        <w:gridCol w:w="1125"/>
        <w:gridCol w:w="450"/>
        <w:gridCol w:w="765"/>
        <w:gridCol w:w="660"/>
        <w:gridCol w:w="810"/>
        <w:gridCol w:w="795"/>
      </w:tblGrid>
      <w:tr>
        <w:tblPrEx>
          <w:shd w:val="clear"/>
          <w:tblCellMar>
            <w:top w:w="0" w:type="dxa"/>
            <w:left w:w="0" w:type="dxa"/>
            <w:bottom w:w="0" w:type="dxa"/>
            <w:right w:w="0" w:type="dxa"/>
          </w:tblCellMar>
        </w:tblPrEx>
        <w:trPr>
          <w:trHeight w:val="840" w:hRule="atLeast"/>
        </w:trPr>
        <w:tc>
          <w:tcPr>
            <w:tcW w:w="9015" w:type="dxa"/>
            <w:gridSpan w:val="10"/>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bdr w:val="none" w:color="auto" w:sz="0" w:space="0"/>
                <w:lang w:val="en-US" w:eastAsia="zh-CN" w:bidi="ar"/>
              </w:rPr>
              <w:t>2020年项目支出绩效自评表</w:t>
            </w:r>
          </w:p>
        </w:tc>
      </w:tr>
      <w:tr>
        <w:tblPrEx>
          <w:tblCellMar>
            <w:top w:w="0" w:type="dxa"/>
            <w:left w:w="0" w:type="dxa"/>
            <w:bottom w:w="0" w:type="dxa"/>
            <w:right w:w="0" w:type="dxa"/>
          </w:tblCellMar>
        </w:tblPrEx>
        <w:trPr>
          <w:trHeight w:val="315" w:hRule="atLeast"/>
        </w:trPr>
        <w:tc>
          <w:tcPr>
            <w:tcW w:w="9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项目支出名称</w:t>
            </w:r>
          </w:p>
        </w:tc>
        <w:tc>
          <w:tcPr>
            <w:tcW w:w="8085" w:type="dxa"/>
            <w:gridSpan w:val="9"/>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业务工作经费</w:t>
            </w:r>
          </w:p>
        </w:tc>
      </w:tr>
      <w:tr>
        <w:tblPrEx>
          <w:tblCellMar>
            <w:top w:w="0" w:type="dxa"/>
            <w:left w:w="0" w:type="dxa"/>
            <w:bottom w:w="0" w:type="dxa"/>
            <w:right w:w="0" w:type="dxa"/>
          </w:tblCellMar>
        </w:tblPrEx>
        <w:trPr>
          <w:trHeight w:val="285"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085" w:type="dxa"/>
            <w:gridSpan w:val="9"/>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80" w:hRule="atLeast"/>
        </w:trPr>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bdr w:val="none" w:color="auto" w:sz="0" w:space="0"/>
                <w:lang w:val="en-US" w:eastAsia="zh-CN" w:bidi="ar"/>
              </w:rPr>
              <w:t>主管部门</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浏阳市工商业联合会</w:t>
            </w:r>
          </w:p>
        </w:tc>
        <w:tc>
          <w:tcPr>
            <w:tcW w:w="12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bdr w:val="none" w:color="auto" w:sz="0" w:space="0"/>
                <w:lang w:val="en-US" w:eastAsia="zh-CN" w:bidi="ar"/>
              </w:rPr>
              <w:t>实施单位</w:t>
            </w:r>
          </w:p>
        </w:tc>
        <w:tc>
          <w:tcPr>
            <w:tcW w:w="226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浏阳市工商业联合会</w:t>
            </w:r>
          </w:p>
        </w:tc>
      </w:tr>
      <w:tr>
        <w:tblPrEx>
          <w:tblCellMar>
            <w:top w:w="0" w:type="dxa"/>
            <w:left w:w="0" w:type="dxa"/>
            <w:bottom w:w="0" w:type="dxa"/>
            <w:right w:w="0" w:type="dxa"/>
          </w:tblCellMar>
        </w:tblPrEx>
        <w:trPr>
          <w:trHeight w:val="540" w:hRule="atLeast"/>
        </w:trPr>
        <w:tc>
          <w:tcPr>
            <w:tcW w:w="9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项目资金（万元）</w:t>
            </w:r>
          </w:p>
        </w:tc>
        <w:tc>
          <w:tcPr>
            <w:tcW w:w="17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alibri" w:hAnsi="Calibri" w:eastAsia="宋体" w:cs="Calibri"/>
                <w:i w:val="0"/>
                <w:color w:val="000000"/>
                <w:sz w:val="21"/>
                <w:szCs w:val="21"/>
                <w:u w:val="none"/>
              </w:rPr>
            </w:pP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年初预算数</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全年预算数</w:t>
            </w:r>
          </w:p>
        </w:tc>
        <w:tc>
          <w:tcPr>
            <w:tcW w:w="12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全年执行数</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bdr w:val="none" w:color="auto" w:sz="0" w:space="0"/>
                <w:lang w:val="en-US" w:eastAsia="zh-CN" w:bidi="ar"/>
              </w:rPr>
              <w:t>分值</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bdr w:val="none" w:color="auto" w:sz="0" w:space="0"/>
                <w:lang w:val="en-US" w:eastAsia="zh-CN" w:bidi="ar"/>
              </w:rPr>
              <w:t>执行率</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bdr w:val="none" w:color="auto" w:sz="0" w:space="0"/>
                <w:lang w:val="en-US" w:eastAsia="zh-CN" w:bidi="ar"/>
              </w:rPr>
              <w:t>得分</w:t>
            </w:r>
          </w:p>
        </w:tc>
      </w:tr>
      <w:tr>
        <w:tblPrEx>
          <w:tblCellMar>
            <w:top w:w="0" w:type="dxa"/>
            <w:left w:w="0" w:type="dxa"/>
            <w:bottom w:w="0" w:type="dxa"/>
            <w:right w:w="0" w:type="dxa"/>
          </w:tblCellMar>
        </w:tblPrEx>
        <w:trPr>
          <w:trHeight w:val="315"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bdr w:val="none" w:color="auto" w:sz="0" w:space="0"/>
                <w:lang w:val="en-US" w:eastAsia="zh-CN" w:bidi="ar"/>
              </w:rPr>
              <w:t>年度资金总额　</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 xml:space="preserve">72.44 </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 xml:space="preserve">72.44 </w:t>
            </w:r>
          </w:p>
        </w:tc>
        <w:tc>
          <w:tcPr>
            <w:tcW w:w="12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72.44</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100.00%</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w:t>
            </w:r>
          </w:p>
        </w:tc>
      </w:tr>
      <w:tr>
        <w:tblPrEx>
          <w:tblCellMar>
            <w:top w:w="0" w:type="dxa"/>
            <w:left w:w="0" w:type="dxa"/>
            <w:bottom w:w="0" w:type="dxa"/>
            <w:right w:w="0" w:type="dxa"/>
          </w:tblCellMar>
        </w:tblPrEx>
        <w:trPr>
          <w:trHeight w:val="315"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bdr w:val="none" w:color="auto" w:sz="0" w:space="0"/>
                <w:lang w:val="en-US" w:eastAsia="zh-CN" w:bidi="ar"/>
              </w:rPr>
              <w:t>其中：当年财政拨款　</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 xml:space="preserve">72.44 </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 xml:space="preserve">72.44 </w:t>
            </w:r>
          </w:p>
        </w:tc>
        <w:tc>
          <w:tcPr>
            <w:tcW w:w="12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315"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bdr w:val="none" w:color="auto" w:sz="0" w:space="0"/>
                <w:lang w:val="en-US" w:eastAsia="zh-CN" w:bidi="ar"/>
              </w:rPr>
              <w:t>上年结转资金　</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w:t>
            </w:r>
          </w:p>
        </w:tc>
        <w:tc>
          <w:tcPr>
            <w:tcW w:w="12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315"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bdr w:val="none" w:color="auto" w:sz="0" w:space="0"/>
                <w:lang w:val="en-US" w:eastAsia="zh-CN" w:bidi="ar"/>
              </w:rPr>
              <w:t>其他资金</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w:t>
            </w:r>
          </w:p>
        </w:tc>
        <w:tc>
          <w:tcPr>
            <w:tcW w:w="12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420" w:hRule="atLeast"/>
        </w:trPr>
        <w:tc>
          <w:tcPr>
            <w:tcW w:w="9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bdr w:val="none" w:color="auto" w:sz="0" w:space="0"/>
                <w:lang w:val="en-US" w:eastAsia="zh-CN" w:bidi="ar"/>
              </w:rPr>
              <w:t>年度总体目标</w:t>
            </w: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bdr w:val="none" w:color="auto" w:sz="0" w:space="0"/>
                <w:lang w:val="en-US" w:eastAsia="zh-CN" w:bidi="ar"/>
              </w:rPr>
              <w:t>预期目标</w:t>
            </w:r>
          </w:p>
        </w:tc>
        <w:tc>
          <w:tcPr>
            <w:tcW w:w="3480"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bdr w:val="none" w:color="auto" w:sz="0" w:space="0"/>
                <w:lang w:val="en-US" w:eastAsia="zh-CN" w:bidi="ar"/>
              </w:rPr>
              <w:t>实际完成情况　</w:t>
            </w:r>
          </w:p>
        </w:tc>
      </w:tr>
      <w:tr>
        <w:tblPrEx>
          <w:tblCellMar>
            <w:top w:w="0" w:type="dxa"/>
            <w:left w:w="0" w:type="dxa"/>
            <w:bottom w:w="0" w:type="dxa"/>
            <w:right w:w="0" w:type="dxa"/>
          </w:tblCellMar>
        </w:tblPrEx>
        <w:trPr>
          <w:trHeight w:val="440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460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服务“两个健康”，发挥企业和政府之间的桥梁纽带作用。</w:t>
            </w:r>
          </w:p>
        </w:tc>
        <w:tc>
          <w:tcPr>
            <w:tcW w:w="3480"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指导商会全面开展"四好"商会和"一会一品"建设；做好女企业家商会的换届工作。2.巩固和完善外地浏阳商会或同乡会；加强与外省市工商联、商会之间的交流合作，重点面向北上广重点招商区域；召开异地商会会长迎新联谊座谈会。3.引导非公人士参与"万企帮万村"精准扶贫行动，组织工商联界别政协委员进社区和异地商会、同乡会关爱留守儿童和留守老人。4.做好精准扶贫、产业链建设等中心工作。5.组织工商联界别政协委员开展专项调研，6.建立领导干部联系非公企业和商会制度；深入开展"走百家企业、解发展难题"活动。7.营造企业家健康成长环境，弘扬优秀企业家精神，更好发挥企业家作用。8.加强与美国湖南商会、加拿大华人商会、菲律宾湖南商会、香港驻湖南办事处和省贸促会的联系；推动浏商参与国际交流合作。</w:t>
            </w:r>
          </w:p>
        </w:tc>
      </w:tr>
      <w:tr>
        <w:tblPrEx>
          <w:shd w:val="clear"/>
          <w:tblCellMar>
            <w:top w:w="0" w:type="dxa"/>
            <w:left w:w="0" w:type="dxa"/>
            <w:bottom w:w="0" w:type="dxa"/>
            <w:right w:w="0" w:type="dxa"/>
          </w:tblCellMar>
        </w:tblPrEx>
        <w:trPr>
          <w:trHeight w:val="720" w:hRule="atLeast"/>
        </w:trPr>
        <w:tc>
          <w:tcPr>
            <w:tcW w:w="9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绩</w:t>
            </w:r>
            <w:r>
              <w:rPr>
                <w:rFonts w:hint="eastAsia" w:ascii="宋体" w:hAnsi="宋体" w:eastAsia="宋体" w:cs="宋体"/>
                <w:i w:val="0"/>
                <w:color w:val="000000"/>
                <w:kern w:val="0"/>
                <w:sz w:val="21"/>
                <w:szCs w:val="21"/>
                <w:u w:val="none"/>
                <w:bdr w:val="none" w:color="auto" w:sz="0" w:space="0"/>
                <w:lang w:val="en-US" w:eastAsia="zh-CN" w:bidi="ar"/>
              </w:rPr>
              <w:br w:type="textWrapping"/>
            </w:r>
            <w:r>
              <w:rPr>
                <w:rFonts w:hint="eastAsia" w:ascii="宋体" w:hAnsi="宋体" w:eastAsia="宋体" w:cs="宋体"/>
                <w:i w:val="0"/>
                <w:color w:val="000000"/>
                <w:kern w:val="0"/>
                <w:sz w:val="21"/>
                <w:szCs w:val="21"/>
                <w:u w:val="none"/>
                <w:bdr w:val="none" w:color="auto" w:sz="0" w:space="0"/>
                <w:lang w:val="en-US" w:eastAsia="zh-CN" w:bidi="ar"/>
              </w:rPr>
              <w:t>效</w:t>
            </w:r>
            <w:r>
              <w:rPr>
                <w:rFonts w:hint="eastAsia" w:ascii="宋体" w:hAnsi="宋体" w:eastAsia="宋体" w:cs="宋体"/>
                <w:i w:val="0"/>
                <w:color w:val="000000"/>
                <w:kern w:val="0"/>
                <w:sz w:val="21"/>
                <w:szCs w:val="21"/>
                <w:u w:val="none"/>
                <w:bdr w:val="none" w:color="auto" w:sz="0" w:space="0"/>
                <w:lang w:val="en-US" w:eastAsia="zh-CN" w:bidi="ar"/>
              </w:rPr>
              <w:br w:type="textWrapping"/>
            </w:r>
            <w:r>
              <w:rPr>
                <w:rFonts w:hint="eastAsia" w:ascii="宋体" w:hAnsi="宋体" w:eastAsia="宋体" w:cs="宋体"/>
                <w:i w:val="0"/>
                <w:color w:val="000000"/>
                <w:kern w:val="0"/>
                <w:sz w:val="21"/>
                <w:szCs w:val="21"/>
                <w:u w:val="none"/>
                <w:bdr w:val="none" w:color="auto" w:sz="0" w:space="0"/>
                <w:lang w:val="en-US" w:eastAsia="zh-CN" w:bidi="ar"/>
              </w:rPr>
              <w:t>指</w:t>
            </w:r>
            <w:r>
              <w:rPr>
                <w:rFonts w:hint="eastAsia" w:ascii="宋体" w:hAnsi="宋体" w:eastAsia="宋体" w:cs="宋体"/>
                <w:i w:val="0"/>
                <w:color w:val="000000"/>
                <w:kern w:val="0"/>
                <w:sz w:val="21"/>
                <w:szCs w:val="21"/>
                <w:u w:val="none"/>
                <w:bdr w:val="none" w:color="auto" w:sz="0" w:space="0"/>
                <w:lang w:val="en-US" w:eastAsia="zh-CN" w:bidi="ar"/>
              </w:rPr>
              <w:br w:type="textWrapping"/>
            </w:r>
            <w:r>
              <w:rPr>
                <w:rFonts w:hint="eastAsia" w:ascii="宋体" w:hAnsi="宋体" w:eastAsia="宋体" w:cs="宋体"/>
                <w:i w:val="0"/>
                <w:color w:val="000000"/>
                <w:kern w:val="0"/>
                <w:sz w:val="21"/>
                <w:szCs w:val="21"/>
                <w:u w:val="none"/>
                <w:bdr w:val="none" w:color="auto" w:sz="0" w:space="0"/>
                <w:lang w:val="en-US" w:eastAsia="zh-CN" w:bidi="ar"/>
              </w:rPr>
              <w:t>标</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一级指标</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二级指标</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三级指标</w:t>
            </w:r>
          </w:p>
        </w:tc>
        <w:tc>
          <w:tcPr>
            <w:tcW w:w="15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年度指标值</w:t>
            </w: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实际完成值</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分值</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得分</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偏差原因分析及改进措施</w:t>
            </w:r>
          </w:p>
        </w:tc>
      </w:tr>
      <w:tr>
        <w:tblPrEx>
          <w:tblCellMar>
            <w:top w:w="0" w:type="dxa"/>
            <w:left w:w="0" w:type="dxa"/>
            <w:bottom w:w="0" w:type="dxa"/>
            <w:right w:w="0" w:type="dxa"/>
          </w:tblCellMar>
        </w:tblPrEx>
        <w:trPr>
          <w:trHeight w:val="102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产出指标(50分)</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数量指标（</w:t>
            </w:r>
            <w:r>
              <w:rPr>
                <w:rStyle w:val="20"/>
                <w:rFonts w:eastAsia="仿宋_GB2312"/>
                <w:bdr w:val="none" w:color="auto" w:sz="0" w:space="0"/>
                <w:lang w:val="en-US" w:eastAsia="zh-CN" w:bidi="ar"/>
              </w:rPr>
              <w:t>15</w:t>
            </w: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非公经济人士教育培训300人次；形成1个以上重点提案或调研报告。</w:t>
            </w:r>
          </w:p>
        </w:tc>
        <w:tc>
          <w:tcPr>
            <w:tcW w:w="15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100.00%</w:t>
            </w: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15</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15</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56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质量指标（</w:t>
            </w:r>
            <w:r>
              <w:rPr>
                <w:rStyle w:val="20"/>
                <w:rFonts w:eastAsia="仿宋_GB2312"/>
                <w:bdr w:val="none" w:color="auto" w:sz="0" w:space="0"/>
                <w:lang w:val="en-US" w:eastAsia="zh-CN" w:bidi="ar"/>
              </w:rPr>
              <w:t>20</w:t>
            </w: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“四好”商会建设实现全覆盖。</w:t>
            </w:r>
          </w:p>
        </w:tc>
        <w:tc>
          <w:tcPr>
            <w:tcW w:w="15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7*24</w:t>
            </w: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19</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72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时效指标（</w:t>
            </w:r>
            <w:r>
              <w:rPr>
                <w:rStyle w:val="20"/>
                <w:rFonts w:eastAsia="仿宋_GB2312"/>
                <w:bdr w:val="none" w:color="auto" w:sz="0" w:space="0"/>
                <w:lang w:val="en-US" w:eastAsia="zh-CN" w:bidi="ar"/>
              </w:rPr>
              <w:t>5</w:t>
            </w: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所有工作原则上在2020年12月底以前完成。</w:t>
            </w:r>
          </w:p>
        </w:tc>
        <w:tc>
          <w:tcPr>
            <w:tcW w:w="15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7*24</w:t>
            </w: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56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成本指标(</w:t>
            </w:r>
            <w:r>
              <w:rPr>
                <w:rStyle w:val="20"/>
                <w:rFonts w:eastAsia="仿宋_GB2312"/>
                <w:bdr w:val="none" w:color="auto" w:sz="0" w:space="0"/>
                <w:lang w:val="en-US" w:eastAsia="zh-CN" w:bidi="ar"/>
              </w:rPr>
              <w:t>10</w:t>
            </w: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已列入项目计划的工作成本不超支。</w:t>
            </w:r>
          </w:p>
        </w:tc>
        <w:tc>
          <w:tcPr>
            <w:tcW w:w="15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≤100%</w:t>
            </w: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56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效益指标（40分）</w:t>
            </w:r>
          </w:p>
        </w:tc>
        <w:tc>
          <w:tcPr>
            <w:tcW w:w="94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经济效益指标（10）</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无</w:t>
            </w:r>
          </w:p>
        </w:tc>
        <w:tc>
          <w:tcPr>
            <w:tcW w:w="15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100%</w:t>
            </w: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82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社会效益指标（10）</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服务“两个健康”水平得到提升，社会美誉度持续提高。</w:t>
            </w:r>
          </w:p>
        </w:tc>
        <w:tc>
          <w:tcPr>
            <w:tcW w:w="15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100%</w:t>
            </w: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56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生态效益指标（10）</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节省能源</w:t>
            </w:r>
          </w:p>
        </w:tc>
        <w:tc>
          <w:tcPr>
            <w:tcW w:w="15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100%</w:t>
            </w: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72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可持续影响指标（</w:t>
            </w:r>
            <w:r>
              <w:rPr>
                <w:rStyle w:val="20"/>
                <w:rFonts w:eastAsia="仿宋_GB2312"/>
                <w:bdr w:val="none" w:color="auto" w:sz="0" w:space="0"/>
                <w:lang w:val="en-US" w:eastAsia="zh-CN" w:bidi="ar"/>
              </w:rPr>
              <w:t>10</w:t>
            </w: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全省非公经济持续健康发展，非公经济人士得到健康成长。</w:t>
            </w:r>
          </w:p>
        </w:tc>
        <w:tc>
          <w:tcPr>
            <w:tcW w:w="15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100%</w:t>
            </w: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68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服务对象满意度指标（</w:t>
            </w:r>
            <w:r>
              <w:rPr>
                <w:rStyle w:val="20"/>
                <w:rFonts w:eastAsia="仿宋_GB2312"/>
                <w:bdr w:val="none" w:color="auto" w:sz="0" w:space="0"/>
                <w:lang w:val="en-US" w:eastAsia="zh-CN" w:bidi="ar"/>
              </w:rPr>
              <w:t>10</w:t>
            </w:r>
            <w:r>
              <w:rPr>
                <w:rFonts w:hint="eastAsia" w:ascii="仿宋_GB2312" w:hAnsi="宋体" w:eastAsia="仿宋_GB2312" w:cs="仿宋_GB2312"/>
                <w:i w:val="0"/>
                <w:color w:val="000000"/>
                <w:kern w:val="0"/>
                <w:sz w:val="18"/>
                <w:szCs w:val="18"/>
                <w:u w:val="none"/>
                <w:bdr w:val="none" w:color="auto" w:sz="0" w:space="0"/>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服务对象民意抽样调查满意率达到90%以上。</w:t>
            </w:r>
          </w:p>
        </w:tc>
        <w:tc>
          <w:tcPr>
            <w:tcW w:w="15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满意度达95</w:t>
            </w:r>
            <w:r>
              <w:rPr>
                <w:rStyle w:val="20"/>
                <w:rFonts w:eastAsia="仿宋_GB2312"/>
                <w:bdr w:val="none" w:color="auto" w:sz="0" w:space="0"/>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大于93%</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9</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520" w:hRule="atLeast"/>
        </w:trPr>
        <w:tc>
          <w:tcPr>
            <w:tcW w:w="6750" w:type="dxa"/>
            <w:gridSpan w:val="7"/>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bdr w:val="none" w:color="auto" w:sz="0" w:space="0"/>
                <w:lang w:val="en-US" w:eastAsia="zh-CN" w:bidi="ar"/>
              </w:rPr>
              <w:t>总分</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100</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98</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Calibri" w:hAnsi="Calibri" w:eastAsia="宋体" w:cs="Calibri"/>
                <w:i w:val="0"/>
                <w:color w:val="000000"/>
                <w:sz w:val="21"/>
                <w:szCs w:val="21"/>
                <w:u w:val="none"/>
              </w:rPr>
            </w:pPr>
          </w:p>
        </w:tc>
      </w:tr>
    </w:tbl>
    <w:p>
      <w:pPr>
        <w:pStyle w:val="4"/>
        <w:widowControl/>
        <w:spacing w:beforeAutospacing="0" w:afterAutospacing="0" w:line="420" w:lineRule="atLeast"/>
        <w:ind w:firstLine="320" w:firstLineChars="100"/>
        <w:textAlignment w:val="center"/>
        <w:rPr>
          <w:rFonts w:ascii="仿宋" w:hAnsi="仿宋" w:eastAsia="仿宋"/>
          <w:color w:val="FF0000"/>
          <w:sz w:val="32"/>
          <w:szCs w:val="32"/>
        </w:rPr>
      </w:pPr>
      <w:bookmarkStart w:id="0" w:name="_GoBack"/>
      <w:bookmarkEnd w:id="0"/>
    </w:p>
    <w:sectPr>
      <w:pgSz w:w="11906" w:h="16838"/>
      <w:pgMar w:top="1440" w:right="1803" w:bottom="1440" w:left="1803"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274D90"/>
    <w:multiLevelType w:val="singleLevel"/>
    <w:tmpl w:val="B8274D90"/>
    <w:lvl w:ilvl="0" w:tentative="0">
      <w:start w:val="2"/>
      <w:numFmt w:val="chineseCounting"/>
      <w:suff w:val="nothing"/>
      <w:lvlText w:val="（%1）"/>
      <w:lvlJc w:val="left"/>
      <w:rPr>
        <w:rFonts w:hint="eastAsia"/>
      </w:rPr>
    </w:lvl>
  </w:abstractNum>
  <w:abstractNum w:abstractNumId="1">
    <w:nsid w:val="6CCFB49F"/>
    <w:multiLevelType w:val="singleLevel"/>
    <w:tmpl w:val="6CCFB49F"/>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4CD55D1"/>
    <w:rsid w:val="00081C34"/>
    <w:rsid w:val="00A65B68"/>
    <w:rsid w:val="00B624B0"/>
    <w:rsid w:val="00B93719"/>
    <w:rsid w:val="00D84C8F"/>
    <w:rsid w:val="00F14721"/>
    <w:rsid w:val="01FE15CE"/>
    <w:rsid w:val="04D012CB"/>
    <w:rsid w:val="05BC063B"/>
    <w:rsid w:val="060965B4"/>
    <w:rsid w:val="0672190E"/>
    <w:rsid w:val="06CA5AA5"/>
    <w:rsid w:val="09BC4AD7"/>
    <w:rsid w:val="0AEC1D78"/>
    <w:rsid w:val="0B3442F5"/>
    <w:rsid w:val="0DDD7F42"/>
    <w:rsid w:val="0E097459"/>
    <w:rsid w:val="0EAB5876"/>
    <w:rsid w:val="116845D3"/>
    <w:rsid w:val="14BD3E36"/>
    <w:rsid w:val="14CD55D1"/>
    <w:rsid w:val="168E0591"/>
    <w:rsid w:val="184470D2"/>
    <w:rsid w:val="18C07347"/>
    <w:rsid w:val="19B360BD"/>
    <w:rsid w:val="1B62314E"/>
    <w:rsid w:val="1C875218"/>
    <w:rsid w:val="1D734F72"/>
    <w:rsid w:val="1F34344C"/>
    <w:rsid w:val="1F4E0680"/>
    <w:rsid w:val="23807DAB"/>
    <w:rsid w:val="26BF6474"/>
    <w:rsid w:val="26C548D1"/>
    <w:rsid w:val="26FD51BE"/>
    <w:rsid w:val="2707788B"/>
    <w:rsid w:val="27F41D24"/>
    <w:rsid w:val="2B5F66AB"/>
    <w:rsid w:val="2BA024C4"/>
    <w:rsid w:val="2BED3402"/>
    <w:rsid w:val="2E6115AC"/>
    <w:rsid w:val="2E8B30E8"/>
    <w:rsid w:val="30CE30BA"/>
    <w:rsid w:val="34197272"/>
    <w:rsid w:val="36052743"/>
    <w:rsid w:val="360F6351"/>
    <w:rsid w:val="37EB40E3"/>
    <w:rsid w:val="382F2ECC"/>
    <w:rsid w:val="3A262018"/>
    <w:rsid w:val="3D283864"/>
    <w:rsid w:val="40104E7D"/>
    <w:rsid w:val="43CC5544"/>
    <w:rsid w:val="47594B82"/>
    <w:rsid w:val="48EC4D5D"/>
    <w:rsid w:val="4D8E69D8"/>
    <w:rsid w:val="4FA81696"/>
    <w:rsid w:val="51F0200E"/>
    <w:rsid w:val="531E4AF6"/>
    <w:rsid w:val="53942117"/>
    <w:rsid w:val="545862D8"/>
    <w:rsid w:val="550E7258"/>
    <w:rsid w:val="56062489"/>
    <w:rsid w:val="578C4FC1"/>
    <w:rsid w:val="592D1578"/>
    <w:rsid w:val="59D42588"/>
    <w:rsid w:val="5C1C2A73"/>
    <w:rsid w:val="5F7D7514"/>
    <w:rsid w:val="6121522E"/>
    <w:rsid w:val="61BE22D4"/>
    <w:rsid w:val="63080467"/>
    <w:rsid w:val="63BE7867"/>
    <w:rsid w:val="64740F5B"/>
    <w:rsid w:val="66206362"/>
    <w:rsid w:val="66E97AFD"/>
    <w:rsid w:val="66E97B76"/>
    <w:rsid w:val="6781012B"/>
    <w:rsid w:val="68CC40EA"/>
    <w:rsid w:val="6AAC47DC"/>
    <w:rsid w:val="6B186670"/>
    <w:rsid w:val="6BBC0C7C"/>
    <w:rsid w:val="70F15AE6"/>
    <w:rsid w:val="7279095B"/>
    <w:rsid w:val="74604FA5"/>
    <w:rsid w:val="750C2AB5"/>
    <w:rsid w:val="75E13560"/>
    <w:rsid w:val="77B04BF7"/>
    <w:rsid w:val="786C6C2A"/>
    <w:rsid w:val="7D2648B3"/>
    <w:rsid w:val="7DAD40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Char"/>
    <w:basedOn w:val="6"/>
    <w:link w:val="3"/>
    <w:qFormat/>
    <w:uiPriority w:val="0"/>
    <w:rPr>
      <w:rFonts w:ascii="Calibri" w:hAnsi="Calibri"/>
      <w:kern w:val="2"/>
      <w:sz w:val="18"/>
      <w:szCs w:val="18"/>
    </w:rPr>
  </w:style>
  <w:style w:type="character" w:customStyle="1" w:styleId="8">
    <w:name w:val="font01"/>
    <w:basedOn w:val="6"/>
    <w:uiPriority w:val="0"/>
    <w:rPr>
      <w:rFonts w:hint="default" w:ascii="Times New Roman" w:hAnsi="Times New Roman" w:cs="Times New Roman"/>
      <w:color w:val="000000"/>
      <w:sz w:val="32"/>
      <w:szCs w:val="32"/>
      <w:u w:val="none"/>
    </w:rPr>
  </w:style>
  <w:style w:type="character" w:customStyle="1" w:styleId="9">
    <w:name w:val="font31"/>
    <w:basedOn w:val="6"/>
    <w:uiPriority w:val="0"/>
    <w:rPr>
      <w:rFonts w:hint="eastAsia" w:ascii="仿宋_GB2312" w:eastAsia="仿宋_GB2312" w:cs="仿宋_GB2312"/>
      <w:color w:val="000000"/>
      <w:sz w:val="24"/>
      <w:szCs w:val="24"/>
      <w:u w:val="none"/>
    </w:rPr>
  </w:style>
  <w:style w:type="character" w:customStyle="1" w:styleId="10">
    <w:name w:val="font161"/>
    <w:basedOn w:val="6"/>
    <w:uiPriority w:val="0"/>
    <w:rPr>
      <w:rFonts w:hint="eastAsia" w:ascii="宋体" w:hAnsi="宋体" w:eastAsia="宋体" w:cs="宋体"/>
      <w:color w:val="000000"/>
      <w:sz w:val="44"/>
      <w:szCs w:val="44"/>
      <w:u w:val="none"/>
    </w:rPr>
  </w:style>
  <w:style w:type="character" w:customStyle="1" w:styleId="11">
    <w:name w:val="font81"/>
    <w:basedOn w:val="6"/>
    <w:uiPriority w:val="0"/>
    <w:rPr>
      <w:rFonts w:hint="eastAsia" w:ascii="宋体" w:hAnsi="宋体" w:eastAsia="宋体" w:cs="宋体"/>
      <w:color w:val="000000"/>
      <w:sz w:val="16"/>
      <w:szCs w:val="16"/>
      <w:u w:val="none"/>
    </w:rPr>
  </w:style>
  <w:style w:type="character" w:customStyle="1" w:styleId="12">
    <w:name w:val="font71"/>
    <w:basedOn w:val="6"/>
    <w:uiPriority w:val="0"/>
    <w:rPr>
      <w:rFonts w:hint="eastAsia" w:ascii="宋体" w:hAnsi="宋体" w:eastAsia="宋体" w:cs="宋体"/>
      <w:color w:val="000000"/>
      <w:sz w:val="16"/>
      <w:szCs w:val="16"/>
      <w:u w:val="none"/>
    </w:rPr>
  </w:style>
  <w:style w:type="character" w:customStyle="1" w:styleId="13">
    <w:name w:val="font101"/>
    <w:basedOn w:val="6"/>
    <w:uiPriority w:val="0"/>
    <w:rPr>
      <w:rFonts w:hint="default" w:ascii="Times New Roman" w:hAnsi="Times New Roman" w:cs="Times New Roman"/>
      <w:color w:val="000000"/>
      <w:sz w:val="16"/>
      <w:szCs w:val="16"/>
      <w:u w:val="none"/>
    </w:rPr>
  </w:style>
  <w:style w:type="character" w:customStyle="1" w:styleId="14">
    <w:name w:val="font112"/>
    <w:basedOn w:val="6"/>
    <w:uiPriority w:val="0"/>
    <w:rPr>
      <w:rFonts w:hint="default" w:ascii="Times New Roman" w:hAnsi="Times New Roman" w:cs="Times New Roman"/>
      <w:color w:val="000000"/>
      <w:sz w:val="16"/>
      <w:szCs w:val="16"/>
      <w:u w:val="none"/>
    </w:rPr>
  </w:style>
  <w:style w:type="character" w:customStyle="1" w:styleId="15">
    <w:name w:val="font91"/>
    <w:basedOn w:val="6"/>
    <w:uiPriority w:val="0"/>
    <w:rPr>
      <w:rFonts w:hint="eastAsia" w:ascii="宋体" w:hAnsi="宋体" w:eastAsia="宋体" w:cs="宋体"/>
      <w:color w:val="000000"/>
      <w:sz w:val="44"/>
      <w:szCs w:val="44"/>
      <w:u w:val="none"/>
    </w:rPr>
  </w:style>
  <w:style w:type="character" w:customStyle="1" w:styleId="16">
    <w:name w:val="font51"/>
    <w:basedOn w:val="6"/>
    <w:uiPriority w:val="0"/>
    <w:rPr>
      <w:rFonts w:hint="eastAsia" w:ascii="宋体" w:hAnsi="宋体" w:eastAsia="宋体" w:cs="宋体"/>
      <w:color w:val="000000"/>
      <w:sz w:val="20"/>
      <w:szCs w:val="20"/>
      <w:u w:val="none"/>
    </w:rPr>
  </w:style>
  <w:style w:type="character" w:customStyle="1" w:styleId="17">
    <w:name w:val="font21"/>
    <w:basedOn w:val="6"/>
    <w:uiPriority w:val="0"/>
    <w:rPr>
      <w:rFonts w:hint="eastAsia" w:ascii="宋体" w:hAnsi="宋体" w:eastAsia="宋体" w:cs="宋体"/>
      <w:color w:val="000000"/>
      <w:sz w:val="20"/>
      <w:szCs w:val="20"/>
      <w:u w:val="none"/>
    </w:rPr>
  </w:style>
  <w:style w:type="character" w:customStyle="1" w:styleId="18">
    <w:name w:val="font11"/>
    <w:basedOn w:val="6"/>
    <w:uiPriority w:val="0"/>
    <w:rPr>
      <w:rFonts w:hint="eastAsia" w:ascii="宋体" w:hAnsi="宋体" w:eastAsia="宋体" w:cs="宋体"/>
      <w:color w:val="000000"/>
      <w:sz w:val="18"/>
      <w:szCs w:val="18"/>
      <w:u w:val="none"/>
    </w:rPr>
  </w:style>
  <w:style w:type="character" w:customStyle="1" w:styleId="19">
    <w:name w:val="font61"/>
    <w:basedOn w:val="6"/>
    <w:uiPriority w:val="0"/>
    <w:rPr>
      <w:rFonts w:hint="eastAsia" w:ascii="宋体" w:hAnsi="宋体" w:eastAsia="宋体" w:cs="宋体"/>
      <w:color w:val="000000"/>
      <w:sz w:val="18"/>
      <w:szCs w:val="18"/>
      <w:u w:val="none"/>
    </w:rPr>
  </w:style>
  <w:style w:type="character" w:customStyle="1" w:styleId="20">
    <w:name w:val="font121"/>
    <w:basedOn w:val="6"/>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4327</Words>
  <Characters>351</Characters>
  <Lines>2</Lines>
  <Paragraphs>9</Paragraphs>
  <TotalTime>96</TotalTime>
  <ScaleCrop>false</ScaleCrop>
  <LinksUpToDate>false</LinksUpToDate>
  <CharactersWithSpaces>4669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2021-10-13T02:16:00Z</dcterms:created>
  <dc:creator>麦袋</dc:creator>
  <cp:lastModifiedBy>麦袋</cp:lastModifiedBy>
  <dcterms:modified xsi:type="dcterms:W3CDTF">2021-10-15T07:58:26Z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