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ascii="Times New Roman" w:hAnsi="Times New Roman" w:eastAsia="方正小标宋_GBK"/>
          <w:color w:val="000000"/>
          <w:sz w:val="48"/>
          <w:szCs w:val="48"/>
        </w:rPr>
      </w:pPr>
      <w:bookmarkStart w:id="0" w:name="_GoBack"/>
      <w:r>
        <w:rPr>
          <w:rFonts w:hint="eastAsia" w:ascii="Times New Roman" w:hAnsi="Times New Roman" w:eastAsia="方正小标宋_GBK"/>
          <w:color w:val="000000"/>
          <w:sz w:val="48"/>
          <w:szCs w:val="48"/>
        </w:rPr>
        <w:t>浏阳市人民政府征地拆迁管理办公室</w:t>
      </w:r>
    </w:p>
    <w:p>
      <w:pPr>
        <w:ind w:firstLine="1200" w:firstLineChars="250"/>
        <w:rPr>
          <w:rFonts w:ascii="Times New Roman" w:hAnsi="Times New Roman" w:eastAsia="方正小标宋_GBK"/>
          <w:color w:val="000000"/>
          <w:sz w:val="48"/>
          <w:szCs w:val="48"/>
        </w:rPr>
      </w:pPr>
      <w:r>
        <w:rPr>
          <w:rFonts w:ascii="Times New Roman" w:hAnsi="Times New Roman" w:eastAsia="方正小标宋_GBK"/>
          <w:color w:val="000000"/>
          <w:sz w:val="48"/>
          <w:szCs w:val="48"/>
        </w:rPr>
        <w:t>2020年</w:t>
      </w:r>
      <w:r>
        <w:rPr>
          <w:rFonts w:hint="eastAsia" w:ascii="Times New Roman" w:hAnsi="Times New Roman" w:eastAsia="方正小标宋_GBK"/>
          <w:color w:val="000000"/>
          <w:sz w:val="48"/>
          <w:szCs w:val="48"/>
        </w:rPr>
        <w:t>部门</w:t>
      </w:r>
      <w:r>
        <w:rPr>
          <w:rFonts w:ascii="Times New Roman" w:hAnsi="Times New Roman" w:eastAsia="方正小标宋_GBK"/>
          <w:color w:val="000000"/>
          <w:sz w:val="48"/>
          <w:szCs w:val="48"/>
        </w:rPr>
        <w:t>整体支出绩效自评报告</w:t>
      </w:r>
    </w:p>
    <w:p>
      <w:pPr>
        <w:jc w:val="center"/>
        <w:rPr>
          <w:rFonts w:ascii="Times New Roman" w:hAnsi="Times New Roman" w:eastAsia="楷体_GB2312"/>
          <w:b/>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44"/>
          <w:szCs w:val="44"/>
        </w:rPr>
      </w:pPr>
      <w:r>
        <w:rPr>
          <w:rFonts w:ascii="Times New Roman" w:hAnsi="Times New Roman" w:eastAsia="黑体"/>
          <w:color w:val="000000"/>
          <w:sz w:val="44"/>
          <w:szCs w:val="44"/>
        </w:rPr>
        <w:t>单位名称（盖章）：</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仿宋_GB2312"/>
          <w:color w:val="000000"/>
          <w:sz w:val="36"/>
          <w:szCs w:val="36"/>
        </w:rPr>
      </w:pPr>
      <w:r>
        <w:rPr>
          <w:rFonts w:ascii="Times New Roman" w:hAnsi="Times New Roman" w:eastAsia="仿宋_GB2312"/>
          <w:color w:val="000000"/>
          <w:sz w:val="36"/>
          <w:szCs w:val="36"/>
        </w:rPr>
        <w:t>二O二一年   月   日</w:t>
      </w:r>
    </w:p>
    <w:p>
      <w:pPr>
        <w:spacing w:line="596" w:lineRule="exact"/>
        <w:jc w:val="center"/>
        <w:rPr>
          <w:rFonts w:ascii="Times New Roman" w:hAnsi="Times New Roman" w:eastAsia="方正小标宋简体"/>
          <w:color w:val="000000"/>
          <w:kern w:val="0"/>
          <w:sz w:val="44"/>
          <w:szCs w:val="44"/>
        </w:rPr>
      </w:pPr>
      <w:r>
        <w:rPr>
          <w:rFonts w:ascii="Times New Roman" w:hAnsi="Times New Roman" w:eastAsia="黑体"/>
          <w:color w:val="000000"/>
          <w:sz w:val="32"/>
          <w:szCs w:val="32"/>
        </w:rPr>
        <w:br w:type="page"/>
      </w:r>
      <w:r>
        <w:rPr>
          <w:rFonts w:ascii="Times New Roman" w:hAnsi="Times New Roman" w:eastAsia="方正小标宋简体"/>
          <w:color w:val="000000"/>
          <w:kern w:val="0"/>
          <w:sz w:val="44"/>
          <w:szCs w:val="44"/>
        </w:rPr>
        <w:t xml:space="preserve"> </w:t>
      </w:r>
    </w:p>
    <w:p>
      <w:pPr>
        <w:pStyle w:val="8"/>
        <w:widowControl/>
        <w:spacing w:line="596" w:lineRule="exact"/>
        <w:ind w:firstLine="579" w:firstLineChars="181"/>
        <w:rPr>
          <w:rFonts w:ascii="Times New Roman" w:hAnsi="Times New Roman" w:eastAsia="黑体"/>
          <w:color w:val="000000"/>
          <w:kern w:val="0"/>
          <w:sz w:val="32"/>
          <w:szCs w:val="32"/>
        </w:rPr>
      </w:pPr>
      <w:r>
        <w:rPr>
          <w:rFonts w:ascii="Times New Roman" w:hAnsi="Times New Roman" w:eastAsia="黑体"/>
          <w:color w:val="000000"/>
          <w:kern w:val="0"/>
          <w:sz w:val="32"/>
          <w:szCs w:val="32"/>
        </w:rPr>
        <w:t>一、部门概况</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（一）部门职能概述</w:t>
      </w:r>
    </w:p>
    <w:p>
      <w:pPr>
        <w:spacing w:line="400" w:lineRule="atLeast"/>
        <w:ind w:firstLine="800" w:firstLineChars="250"/>
        <w:rPr>
          <w:rFonts w:ascii="仿宋_GB2312" w:eastAsia="仿宋_GB2312"/>
          <w:sz w:val="32"/>
          <w:szCs w:val="32"/>
        </w:rPr>
      </w:pPr>
      <w:r>
        <w:rPr>
          <w:rFonts w:hint="eastAsia" w:ascii="Times New Roman" w:hAnsi="Times New Roman" w:eastAsia="仿宋_GB2312"/>
          <w:color w:val="000000"/>
          <w:kern w:val="0"/>
          <w:sz w:val="32"/>
          <w:szCs w:val="32"/>
        </w:rPr>
        <w:t>浏阳市人民政府征地拆迁管理办公室为独立核算的一级预算单位，执行政府会计制度，是</w:t>
      </w:r>
      <w:r>
        <w:rPr>
          <w:rFonts w:hint="eastAsia" w:ascii="仿宋_GB2312" w:eastAsia="仿宋_GB2312"/>
          <w:sz w:val="32"/>
          <w:szCs w:val="32"/>
        </w:rPr>
        <w:t xml:space="preserve">负责浏阳本辖区范围内各建设项目的土地征用、房屋拆迁工作，负责签订征地协议、房屋拆迁协议，并保管好各种协议及有关的图纸。协调处理建设项目因征地、拆迁诱发的矛盾、纠纷，确保建设项目正常进行。 </w:t>
      </w:r>
      <w:r>
        <w:rPr>
          <w:rFonts w:hint="eastAsia" w:ascii="Times New Roman" w:hAnsi="Times New Roman" w:eastAsia="仿宋_GB2312"/>
          <w:color w:val="000000"/>
          <w:kern w:val="0"/>
          <w:sz w:val="32"/>
          <w:szCs w:val="32"/>
        </w:rPr>
        <w:t xml:space="preserve"> </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（二）部门组织机构及人员情况</w:t>
      </w:r>
    </w:p>
    <w:p>
      <w:pPr>
        <w:spacing w:line="400" w:lineRule="atLeast"/>
        <w:ind w:firstLine="640" w:firstLineChars="200"/>
        <w:rPr>
          <w:rFonts w:ascii="仿宋_GB2312" w:eastAsia="仿宋_GB2312"/>
          <w:sz w:val="32"/>
          <w:szCs w:val="32"/>
        </w:rPr>
      </w:pPr>
      <w:r>
        <w:rPr>
          <w:rFonts w:hint="eastAsia" w:ascii="仿宋_GB2312" w:eastAsia="仿宋_GB2312"/>
          <w:sz w:val="32"/>
          <w:szCs w:val="32"/>
        </w:rPr>
        <w:t>（二）、机构设置:设浏阳市人民政府征地拆迁管理办公室。本部门没有正式人员，均为抽调人员。</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（三）年度重点工作计划</w:t>
      </w:r>
    </w:p>
    <w:p>
      <w:pPr>
        <w:pStyle w:val="5"/>
        <w:shd w:val="clear" w:color="auto" w:fill="FFFFFF"/>
        <w:spacing w:before="225" w:beforeAutospacing="0" w:after="225" w:afterAutospacing="0"/>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olor w:val="000000"/>
          <w:sz w:val="32"/>
          <w:szCs w:val="32"/>
        </w:rPr>
        <w:t xml:space="preserve"> </w:t>
      </w:r>
      <w:r>
        <w:rPr>
          <w:rFonts w:hint="eastAsia" w:ascii="Times New Roman" w:hAnsi="Times New Roman" w:eastAsia="仿宋_GB2312" w:cs="Times New Roman"/>
          <w:color w:val="000000"/>
          <w:sz w:val="32"/>
          <w:szCs w:val="32"/>
        </w:rPr>
        <w:t>一是按照党的群众路线教育</w:t>
      </w:r>
      <w:r>
        <w:rPr>
          <w:rFonts w:hint="eastAsia" w:ascii="Times New Roman" w:hAnsi="Times New Roman" w:eastAsia="仿宋_GB2312" w:cs="Times New Roman"/>
          <w:color w:val="000000"/>
          <w:sz w:val="32"/>
          <w:szCs w:val="32"/>
          <w:lang w:val="en-US" w:eastAsia="zh-CN"/>
        </w:rPr>
        <w:t>实践</w:t>
      </w:r>
      <w:r>
        <w:rPr>
          <w:rFonts w:hint="eastAsia" w:ascii="Times New Roman" w:hAnsi="Times New Roman" w:eastAsia="仿宋_GB2312" w:cs="Times New Roman"/>
          <w:color w:val="000000"/>
          <w:sz w:val="32"/>
          <w:szCs w:val="32"/>
        </w:rPr>
        <w:t>活动和“三严三实”的强求，强化内部管理，加强自身建设，依法实施各类项目征地拆迁工作，全力服务经济发展，全力维护群众权益，全力促进社会和谐。</w:t>
      </w:r>
    </w:p>
    <w:p>
      <w:pPr>
        <w:pStyle w:val="5"/>
        <w:shd w:val="clear" w:color="auto" w:fill="FFFFFF"/>
        <w:spacing w:before="225" w:beforeAutospacing="0" w:after="225" w:afterAutospacing="0"/>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olor w:val="000000"/>
          <w:sz w:val="32"/>
          <w:szCs w:val="32"/>
        </w:rPr>
        <w:t>二是 2021年启动南北横线项目和椒花水库项目的征地拆迁相关工作。</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（四）部门整体支出规模、使用方向、主要内容和涉及范围</w:t>
      </w:r>
    </w:p>
    <w:p>
      <w:pPr>
        <w:spacing w:line="596" w:lineRule="exact"/>
        <w:ind w:firstLine="640" w:firstLineChars="200"/>
        <w:rPr>
          <w:rFonts w:ascii="仿宋_GB2312" w:eastAsia="仿宋_GB2312"/>
          <w:sz w:val="32"/>
          <w:szCs w:val="32"/>
        </w:rPr>
      </w:pPr>
      <w:r>
        <w:rPr>
          <w:rFonts w:hint="eastAsia" w:ascii="仿宋_GB2312" w:eastAsia="仿宋_GB2312"/>
          <w:sz w:val="32"/>
          <w:szCs w:val="32"/>
        </w:rPr>
        <w:t>浏阳市征地拆迁管理办公室承接全市的征地拆迁工作，主要有浏阳市土地储备中心安云一号地块项目、新屋2号用地项目、新河一号用地项目、旺湖一号地块项目、永丰一号地块项目、永丰二号地块项目、永丰三号地块项目，淳口镇鹤源3号地块项目、洞阳110千伏变电站新建工程项目、北盛镇开发边洲一号地块项目、社港镇新光6号地块用地项目、G319与荷文公路互通改造项目、G319浏阳天马山隧道扩建工程项目、道吾片区棚改四期（浏阳市四水厂建设项目）、红色旅游公路一期A2段项目、文家市秋收起义研学旅行基地等项目。</w:t>
      </w:r>
    </w:p>
    <w:p>
      <w:pPr>
        <w:spacing w:line="596" w:lineRule="exact"/>
        <w:ind w:firstLine="480" w:firstLineChars="150"/>
        <w:rPr>
          <w:rFonts w:ascii="Times New Roman" w:hAnsi="Times New Roman" w:eastAsia="黑体"/>
          <w:color w:val="000000"/>
          <w:kern w:val="0"/>
          <w:sz w:val="32"/>
          <w:szCs w:val="32"/>
        </w:rPr>
      </w:pPr>
      <w:r>
        <w:rPr>
          <w:rFonts w:ascii="Times New Roman" w:hAnsi="Times New Roman" w:eastAsia="黑体"/>
          <w:color w:val="000000"/>
          <w:kern w:val="0"/>
          <w:sz w:val="32"/>
          <w:szCs w:val="32"/>
        </w:rPr>
        <w:t>二、部门整体支出资金管理及使用情况</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（一）基本支出</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1．实际整体收支情况。本单位2020年度基本支出总资金</w:t>
      </w:r>
      <w:r>
        <w:rPr>
          <w:rFonts w:hint="eastAsia" w:ascii="Times New Roman" w:hAnsi="Times New Roman" w:eastAsia="仿宋_GB2312"/>
          <w:color w:val="000000"/>
          <w:kern w:val="0"/>
          <w:sz w:val="32"/>
          <w:szCs w:val="32"/>
        </w:rPr>
        <w:t>为0万元，没有相应的基本支出。</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2．“三公” 经费总支出情况。</w:t>
      </w:r>
      <w:r>
        <w:rPr>
          <w:rFonts w:hint="eastAsia" w:ascii="Times New Roman" w:hAnsi="Times New Roman" w:eastAsia="仿宋_GB2312"/>
          <w:color w:val="000000"/>
          <w:kern w:val="0"/>
          <w:sz w:val="32"/>
          <w:szCs w:val="32"/>
        </w:rPr>
        <w:t>本单位</w:t>
      </w:r>
      <w:r>
        <w:rPr>
          <w:rFonts w:hint="eastAsia" w:ascii="仿宋_GB2312" w:eastAsia="仿宋_GB2312"/>
          <w:sz w:val="32"/>
          <w:szCs w:val="32"/>
        </w:rPr>
        <w:t>2020年度三公经费实际支出9.42 万元，其中公务接待费0万元，公车运行维护费9.42万元。本年度无因公出国（境）费用支出和公务用车（购置）支出。</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3．因公出国（境）费用支出和公务用车（购置）情况。</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无</w:t>
      </w:r>
    </w:p>
    <w:p>
      <w:pPr>
        <w:spacing w:line="59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（二）项目支出 </w:t>
      </w:r>
    </w:p>
    <w:p>
      <w:pPr>
        <w:spacing w:line="59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2020年度本单位项目支出总资金</w:t>
      </w:r>
      <w:r>
        <w:rPr>
          <w:rFonts w:hint="eastAsia" w:ascii="Times New Roman" w:hAnsi="Times New Roman" w:eastAsia="仿宋_GB2312"/>
          <w:color w:val="000000"/>
          <w:sz w:val="32"/>
          <w:szCs w:val="32"/>
        </w:rPr>
        <w:t>872.57037万元，主要用于征地拆迁相关支出。</w:t>
      </w:r>
    </w:p>
    <w:p>
      <w:pPr>
        <w:spacing w:line="596" w:lineRule="exact"/>
        <w:ind w:firstLine="480" w:firstLineChars="150"/>
        <w:rPr>
          <w:rFonts w:ascii="Times New Roman" w:hAnsi="Times New Roman" w:eastAsia="黑体"/>
          <w:bCs/>
          <w:color w:val="000000"/>
          <w:sz w:val="32"/>
          <w:szCs w:val="32"/>
        </w:rPr>
      </w:pPr>
      <w:r>
        <w:rPr>
          <w:rFonts w:ascii="Times New Roman" w:hAnsi="Times New Roman" w:eastAsia="黑体"/>
          <w:bCs/>
          <w:color w:val="000000"/>
          <w:sz w:val="32"/>
          <w:szCs w:val="32"/>
        </w:rPr>
        <w:t xml:space="preserve">三、部门项目组织实施情况 </w:t>
      </w:r>
    </w:p>
    <w:p>
      <w:pPr>
        <w:spacing w:line="640" w:lineRule="exact"/>
        <w:ind w:firstLine="640" w:firstLineChars="200"/>
        <w:rPr>
          <w:rFonts w:ascii="仿宋_GB2312" w:eastAsia="仿宋_GB2312"/>
          <w:sz w:val="32"/>
          <w:szCs w:val="32"/>
        </w:rPr>
      </w:pPr>
      <w:r>
        <w:rPr>
          <w:rFonts w:ascii="仿宋_GB2312" w:eastAsia="仿宋_GB2312"/>
          <w:sz w:val="32"/>
          <w:szCs w:val="32"/>
        </w:rPr>
        <w:t>由单位负责</w:t>
      </w:r>
      <w:r>
        <w:rPr>
          <w:rFonts w:hint="eastAsia" w:ascii="仿宋_GB2312" w:eastAsia="仿宋_GB2312"/>
          <w:sz w:val="32"/>
          <w:szCs w:val="32"/>
        </w:rPr>
        <w:t>人负责项目</w:t>
      </w:r>
      <w:r>
        <w:rPr>
          <w:rFonts w:ascii="仿宋_GB2312" w:eastAsia="仿宋_GB2312"/>
          <w:sz w:val="32"/>
          <w:szCs w:val="32"/>
        </w:rPr>
        <w:t>管理</w:t>
      </w:r>
      <w:r>
        <w:rPr>
          <w:rFonts w:hint="eastAsia" w:ascii="仿宋_GB2312" w:eastAsia="仿宋_GB2312"/>
          <w:sz w:val="32"/>
          <w:szCs w:val="32"/>
        </w:rPr>
        <w:t>，监督</w:t>
      </w:r>
      <w:r>
        <w:rPr>
          <w:rFonts w:ascii="仿宋_GB2312" w:eastAsia="仿宋_GB2312"/>
          <w:sz w:val="32"/>
          <w:szCs w:val="32"/>
        </w:rPr>
        <w:t>检查工作进度、工作质量及经费使用情况，负责解决项目实施过程中出现的重大问题，定期或不定期召开会</w:t>
      </w:r>
      <w:r>
        <w:rPr>
          <w:rFonts w:hint="eastAsia" w:ascii="仿宋_GB2312" w:eastAsia="仿宋_GB2312"/>
          <w:sz w:val="32"/>
          <w:szCs w:val="32"/>
        </w:rPr>
        <w:t>议，</w:t>
      </w:r>
      <w:r>
        <w:rPr>
          <w:rFonts w:ascii="仿宋_GB2312" w:eastAsia="仿宋_GB2312"/>
          <w:sz w:val="32"/>
          <w:szCs w:val="32"/>
        </w:rPr>
        <w:t>汇报项目进展及阶段性成果。</w:t>
      </w:r>
      <w:r>
        <w:rPr>
          <w:rFonts w:hint="eastAsia" w:ascii="仿宋_GB2312" w:eastAsia="仿宋_GB2312"/>
          <w:sz w:val="32"/>
          <w:szCs w:val="32"/>
        </w:rPr>
        <w:t>工作中进行了分工，分为内业组和外业组：内业组负责</w:t>
      </w:r>
      <w:r>
        <w:rPr>
          <w:rFonts w:hint="eastAsia" w:ascii="仿宋_GB2312" w:hAnsi="仿宋_GB2312" w:eastAsia="仿宋_GB2312" w:cs="仿宋_GB2312"/>
          <w:sz w:val="32"/>
          <w:szCs w:val="32"/>
        </w:rPr>
        <w:t>所有项目调度、项目实施情况的掌握，数据汇总、报送等相关工作，外业组负责法律文书的送达、张贴、留影和收集；征地项目概算，督促项目单位按时完成征地公告程序及项目结算；配合、参与项目征拆听证、复议、诉讼工作的调查、资料收集、拟初稿定及其他具体工作；征地补偿项目实地踏勘、核实、调查、登记等相关工作。</w:t>
      </w:r>
      <w:r>
        <w:rPr>
          <w:rFonts w:ascii="仿宋_GB2312" w:eastAsia="仿宋_GB2312"/>
          <w:sz w:val="32"/>
          <w:szCs w:val="32"/>
        </w:rPr>
        <w:t>按组织设计原则，因事设职，因职选人，各司其职，各负其责，充分体现“精简、高效、分工明确、责任清楚、团结协作、发挥整体功能”的管理体系。</w:t>
      </w:r>
    </w:p>
    <w:p>
      <w:pPr>
        <w:spacing w:line="596"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四、资产管理情况 </w:t>
      </w:r>
    </w:p>
    <w:p>
      <w:pPr>
        <w:spacing w:line="596" w:lineRule="exact"/>
        <w:ind w:firstLine="960" w:firstLineChars="3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本年度无资产增加情况，两辆公务车辆已进行公务车改革并处置。</w:t>
      </w:r>
    </w:p>
    <w:p>
      <w:pPr>
        <w:spacing w:line="596"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五、部门整体支出绩效情况 </w:t>
      </w:r>
    </w:p>
    <w:p>
      <w:pPr>
        <w:spacing w:line="400" w:lineRule="atLeast"/>
        <w:ind w:firstLine="480" w:firstLineChars="150"/>
        <w:rPr>
          <w:rFonts w:ascii="Times New Roman" w:hAnsi="Times New Roman" w:eastAsia="仿宋_GB2312"/>
          <w:color w:val="000000"/>
          <w:sz w:val="32"/>
          <w:szCs w:val="32"/>
        </w:rPr>
      </w:pPr>
      <w:r>
        <w:rPr>
          <w:rFonts w:ascii="Times New Roman" w:hAnsi="Times New Roman" w:eastAsia="仿宋_GB2312"/>
          <w:color w:val="000000"/>
          <w:sz w:val="32"/>
          <w:szCs w:val="32"/>
        </w:rPr>
        <w:t>单位</w:t>
      </w:r>
      <w:r>
        <w:rPr>
          <w:rFonts w:hint="eastAsia" w:ascii="Times New Roman" w:hAnsi="Times New Roman" w:eastAsia="仿宋_GB2312"/>
          <w:color w:val="000000"/>
          <w:sz w:val="32"/>
          <w:szCs w:val="32"/>
        </w:rPr>
        <w:t>总支出情况</w:t>
      </w:r>
      <w:r>
        <w:rPr>
          <w:rFonts w:ascii="Times New Roman" w:hAnsi="Times New Roman" w:eastAsia="仿宋_GB2312"/>
          <w:color w:val="000000"/>
          <w:sz w:val="32"/>
          <w:szCs w:val="32"/>
        </w:rPr>
        <w:t>绩效分析，2020年本单位共支出资金</w:t>
      </w:r>
      <w:r>
        <w:rPr>
          <w:rFonts w:hint="eastAsia" w:ascii="Times New Roman" w:hAnsi="Times New Roman" w:eastAsia="仿宋_GB2312"/>
          <w:color w:val="000000"/>
          <w:sz w:val="32"/>
          <w:szCs w:val="32"/>
        </w:rPr>
        <w:t>872.57</w:t>
      </w:r>
      <w:r>
        <w:rPr>
          <w:rFonts w:ascii="Times New Roman" w:hAnsi="Times New Roman" w:eastAsia="仿宋_GB2312"/>
          <w:color w:val="000000"/>
          <w:sz w:val="32"/>
          <w:szCs w:val="32"/>
        </w:rPr>
        <w:t>万元，其中财政资金</w:t>
      </w:r>
      <w:r>
        <w:rPr>
          <w:rFonts w:hint="eastAsia" w:ascii="Times New Roman" w:hAnsi="Times New Roman" w:eastAsia="仿宋_GB2312"/>
          <w:color w:val="000000"/>
          <w:sz w:val="32"/>
          <w:szCs w:val="32"/>
        </w:rPr>
        <w:t>872.57</w:t>
      </w:r>
      <w:r>
        <w:rPr>
          <w:rFonts w:ascii="Times New Roman" w:hAnsi="Times New Roman" w:eastAsia="仿宋_GB2312"/>
          <w:color w:val="000000"/>
          <w:sz w:val="32"/>
          <w:szCs w:val="32"/>
        </w:rPr>
        <w:t>万元</w:t>
      </w:r>
      <w:r>
        <w:rPr>
          <w:rFonts w:hint="eastAsia" w:ascii="Times New Roman" w:hAnsi="Times New Roman" w:eastAsia="仿宋_GB2312"/>
          <w:color w:val="000000"/>
          <w:sz w:val="32"/>
          <w:szCs w:val="32"/>
        </w:rPr>
        <w:t>，基本支出0万元，项目支出872.57万元，</w:t>
      </w:r>
      <w:r>
        <w:rPr>
          <w:rFonts w:ascii="Times New Roman" w:hAnsi="Times New Roman" w:eastAsia="仿宋_GB2312"/>
          <w:color w:val="000000"/>
          <w:sz w:val="32"/>
          <w:szCs w:val="32"/>
        </w:rPr>
        <w:t>主要</w:t>
      </w:r>
      <w:r>
        <w:rPr>
          <w:rFonts w:hint="eastAsia" w:ascii="Times New Roman" w:hAnsi="Times New Roman" w:eastAsia="仿宋_GB2312"/>
          <w:color w:val="000000"/>
          <w:sz w:val="32"/>
          <w:szCs w:val="32"/>
        </w:rPr>
        <w:t>是征地拆迁工作经费项目，项目完成很好，</w:t>
      </w:r>
      <w:r>
        <w:rPr>
          <w:rFonts w:ascii="Times New Roman" w:hAnsi="Times New Roman" w:eastAsia="仿宋_GB2312"/>
          <w:color w:val="000000"/>
          <w:sz w:val="32"/>
          <w:szCs w:val="32"/>
        </w:rPr>
        <w:t>绩效情况</w:t>
      </w:r>
      <w:r>
        <w:rPr>
          <w:rFonts w:hint="eastAsia" w:ascii="Times New Roman" w:hAnsi="Times New Roman" w:eastAsia="仿宋_GB2312"/>
          <w:color w:val="000000"/>
          <w:sz w:val="32"/>
          <w:szCs w:val="32"/>
        </w:rPr>
        <w:t>良好。</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项目基本情况</w:t>
      </w:r>
      <w:r>
        <w:rPr>
          <w:rFonts w:hint="eastAsia" w:ascii="Times New Roman" w:hAnsi="Times New Roman" w:eastAsia="仿宋_GB2312"/>
          <w:color w:val="000000"/>
          <w:kern w:val="0"/>
          <w:sz w:val="32"/>
          <w:szCs w:val="32"/>
        </w:rPr>
        <w:t>及项目资金使用实施情况</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2020年主要是征地拆迁工作经费项目，用于征地拆迁的相关支出。严格按照预算管理办法及财政要求，结合本单位实际情况，按时编制年度预算。三公经费更是严格预算并按照相关管理规定执行。</w:t>
      </w:r>
    </w:p>
    <w:p>
      <w:pPr>
        <w:spacing w:line="400" w:lineRule="atLeast"/>
        <w:ind w:firstLine="640" w:firstLineChars="200"/>
        <w:rPr>
          <w:rFonts w:ascii="仿宋_GB2312" w:eastAsia="仿宋_GB2312"/>
          <w:sz w:val="32"/>
          <w:szCs w:val="32"/>
        </w:rPr>
      </w:pPr>
      <w:r>
        <w:rPr>
          <w:rFonts w:hint="eastAsia" w:ascii="仿宋_GB2312" w:eastAsia="仿宋_GB2312"/>
          <w:sz w:val="32"/>
          <w:szCs w:val="32"/>
        </w:rPr>
        <w:t>2、项目绩效情况</w:t>
      </w:r>
    </w:p>
    <w:p>
      <w:pPr>
        <w:spacing w:line="400" w:lineRule="atLeast"/>
        <w:ind w:firstLine="537" w:firstLineChars="168"/>
        <w:rPr>
          <w:rFonts w:ascii="仿宋_GB2312" w:eastAsia="仿宋_GB2312"/>
          <w:sz w:val="32"/>
          <w:szCs w:val="32"/>
        </w:rPr>
      </w:pPr>
      <w:r>
        <w:rPr>
          <w:rFonts w:hint="eastAsia" w:ascii="仿宋_GB2312" w:eastAsia="仿宋_GB2312"/>
          <w:sz w:val="32"/>
          <w:szCs w:val="32"/>
        </w:rPr>
        <w:t>资金使用达到了预期效果，绩效明显。</w:t>
      </w:r>
      <w:r>
        <w:rPr>
          <w:rFonts w:hint="eastAsia" w:ascii="仿宋_GB2312" w:hAnsi="仿宋" w:eastAsia="仿宋_GB2312"/>
          <w:sz w:val="32"/>
          <w:szCs w:val="32"/>
        </w:rPr>
        <w:t>主动联系对接项目，在政策把握、依法进程序以及个案处置等方面加强业务指导。积极与职能部门沟通协调，建立了良好的互动机制，形成了强大的部门合力，促进了工作的开展。通过耐心细致地做工作，务实的工作作风赢得了拆迁户的认可，较好地推动了项目的征拆。</w:t>
      </w:r>
    </w:p>
    <w:p>
      <w:pPr>
        <w:spacing w:line="400" w:lineRule="atLeast"/>
        <w:ind w:firstLine="640" w:firstLineChars="200"/>
        <w:rPr>
          <w:rFonts w:ascii="Times New Roman" w:hAnsi="Times New Roman" w:eastAsia="仿宋_GB2312"/>
          <w:color w:val="000000"/>
          <w:kern w:val="0"/>
          <w:sz w:val="32"/>
          <w:szCs w:val="32"/>
        </w:rPr>
      </w:pPr>
      <w:r>
        <w:rPr>
          <w:rFonts w:hint="eastAsia" w:ascii="仿宋_GB2312" w:eastAsia="仿宋_GB2312"/>
          <w:sz w:val="32"/>
          <w:szCs w:val="32"/>
        </w:rPr>
        <w:t xml:space="preserve">3、综合评价情况及评价结论 </w:t>
      </w:r>
      <w:r>
        <w:rPr>
          <w:rFonts w:hint="eastAsia" w:ascii="Times New Roman" w:hAnsi="Times New Roman" w:eastAsia="仿宋_GB2312"/>
          <w:color w:val="000000"/>
          <w:kern w:val="0"/>
          <w:sz w:val="32"/>
          <w:szCs w:val="32"/>
        </w:rPr>
        <w:t xml:space="preserve"> </w:t>
      </w:r>
    </w:p>
    <w:p>
      <w:pPr>
        <w:adjustRightInd w:val="0"/>
        <w:snapToGrid w:val="0"/>
        <w:spacing w:line="600" w:lineRule="exact"/>
        <w:jc w:val="center"/>
        <w:rPr>
          <w:rFonts w:ascii="Times New Roman" w:hAnsi="Times New Roman" w:eastAsia="方正小标宋简体"/>
          <w:color w:val="000000"/>
          <w:kern w:val="0"/>
          <w:sz w:val="44"/>
          <w:szCs w:val="44"/>
        </w:rPr>
      </w:pPr>
      <w:r>
        <w:rPr>
          <w:rFonts w:hint="eastAsia" w:ascii="仿宋_GB2312" w:hAnsi="仿宋" w:eastAsia="仿宋_GB2312"/>
          <w:sz w:val="32"/>
          <w:szCs w:val="32"/>
        </w:rPr>
        <w:t xml:space="preserve">  全年认真完成市委市政府下达的目标任务，依法依规完成各项征地拆迁工作，确保各类项目用地需求，推动我市经济又好又快发展，全力化解征地拆迁过程中的不稳定因素，促进社会和谐稳定。</w:t>
      </w:r>
      <w:r>
        <w:rPr>
          <w:rFonts w:ascii="仿宋_GB2312" w:eastAsia="仿宋_GB2312"/>
          <w:sz w:val="32"/>
          <w:szCs w:val="32"/>
        </w:rPr>
        <w:t>绩效评价自评小组根据《2020年部门整体支出绩效自评表》方案，自评得分</w:t>
      </w:r>
      <w:r>
        <w:rPr>
          <w:rFonts w:hint="eastAsia" w:ascii="仿宋_GB2312" w:eastAsia="仿宋_GB2312"/>
          <w:sz w:val="32"/>
          <w:szCs w:val="32"/>
        </w:rPr>
        <w:t>98</w:t>
      </w:r>
      <w:r>
        <w:rPr>
          <w:rFonts w:ascii="仿宋_GB2312" w:eastAsia="仿宋_GB2312"/>
          <w:sz w:val="32"/>
          <w:szCs w:val="32"/>
        </w:rPr>
        <w:t>分</w:t>
      </w:r>
      <w:r>
        <w:rPr>
          <w:rFonts w:hint="eastAsia" w:ascii="仿宋_GB2312" w:eastAsia="仿宋_GB2312"/>
          <w:sz w:val="32"/>
          <w:szCs w:val="32"/>
        </w:rPr>
        <w:t>，</w:t>
      </w:r>
      <w:r>
        <w:rPr>
          <w:rFonts w:ascii="仿宋_GB2312" w:eastAsia="仿宋_GB2312"/>
          <w:sz w:val="32"/>
          <w:szCs w:val="32"/>
        </w:rPr>
        <w:t>考评结果为</w:t>
      </w:r>
      <w:r>
        <w:rPr>
          <w:rFonts w:hint="eastAsia" w:ascii="仿宋_GB2312" w:eastAsia="仿宋_GB2312"/>
          <w:sz w:val="32"/>
          <w:szCs w:val="32"/>
        </w:rPr>
        <w:t>优秀。</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4、绩效评价结果应用建议</w:t>
      </w:r>
    </w:p>
    <w:p>
      <w:pPr>
        <w:ind w:firstLine="640" w:firstLineChars="200"/>
        <w:rPr>
          <w:rFonts w:ascii="仿宋_GB2312" w:eastAsia="仿宋_GB2312"/>
          <w:sz w:val="32"/>
          <w:szCs w:val="32"/>
        </w:rPr>
      </w:pPr>
      <w:r>
        <w:rPr>
          <w:rFonts w:hint="eastAsia" w:ascii="仿宋_GB2312" w:eastAsia="仿宋_GB2312"/>
          <w:sz w:val="32"/>
          <w:szCs w:val="32"/>
        </w:rPr>
        <w:t>一是结合最终评价结果，严格按照工作计划，合理安排预算资金使用，加强预算管理制度建设。二是按照财政局要求，对自评结果在网站进行公开。</w:t>
      </w:r>
    </w:p>
    <w:p>
      <w:pPr>
        <w:spacing w:line="596" w:lineRule="exac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xml:space="preserve">    5</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主要经验及做法</w:t>
      </w:r>
    </w:p>
    <w:p>
      <w:pPr>
        <w:spacing w:line="600" w:lineRule="exact"/>
        <w:ind w:firstLine="627"/>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一是严格按要求建立了项目风险评估、司法强制腾地、三公告等台账。</w:t>
      </w:r>
    </w:p>
    <w:p>
      <w:pPr>
        <w:spacing w:line="600" w:lineRule="exact"/>
        <w:ind w:firstLine="627"/>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二是及时准确做好了土地征收审批单、三公告、三榜公示、个案处理结果等政府信息公开工作。</w:t>
      </w:r>
    </w:p>
    <w:p>
      <w:pPr>
        <w:spacing w:line="568"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六、存在的主要问题 </w:t>
      </w:r>
    </w:p>
    <w:p>
      <w:pPr>
        <w:pStyle w:val="5"/>
        <w:shd w:val="clear" w:color="auto" w:fill="FFFFFF"/>
        <w:spacing w:before="0" w:beforeAutospacing="0" w:after="0" w:afterAutospacing="0" w:line="450" w:lineRule="atLeast"/>
        <w:ind w:right="210" w:firstLine="64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一是财政支出绩效评价意识有待提高，未形成预算绩效管理长效机制。</w:t>
      </w:r>
    </w:p>
    <w:p>
      <w:pPr>
        <w:spacing w:line="600" w:lineRule="exact"/>
        <w:ind w:firstLine="64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二是新《土地法》颁布实施后，新旧征拆政策的调整，特别是相关配套政策尚未完善，对项目征拆推进带来一定影响。</w:t>
      </w:r>
    </w:p>
    <w:p>
      <w:pPr>
        <w:spacing w:line="568"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七、改进措施和有关建议 </w:t>
      </w:r>
    </w:p>
    <w:p>
      <w:pPr>
        <w:spacing w:line="596" w:lineRule="exact"/>
        <w:ind w:firstLine="640" w:firstLineChars="200"/>
        <w:rPr>
          <w:rFonts w:ascii="仿宋_GB2312" w:hAnsi="仿宋" w:eastAsia="仿宋_GB2312"/>
          <w:sz w:val="32"/>
          <w:szCs w:val="32"/>
        </w:rPr>
      </w:pPr>
      <w:r>
        <w:rPr>
          <w:rFonts w:hint="eastAsia" w:ascii="仿宋_GB2312" w:hAnsi="仿宋" w:eastAsia="仿宋_GB2312"/>
          <w:sz w:val="32"/>
          <w:szCs w:val="32"/>
        </w:rPr>
        <w:t>1、强化宣传，营造氛围，使征地拆迁政策家喻户晓。实践证明，只要及时做好政策宣传工作，就能得到广大群众的理解和支持，顺利推进征地拆迁工作。</w:t>
      </w:r>
    </w:p>
    <w:p>
      <w:pPr>
        <w:widowControl/>
        <w:shd w:val="clear" w:color="auto" w:fill="FFFFFF"/>
        <w:ind w:firstLine="640" w:firstLineChars="200"/>
        <w:jc w:val="left"/>
        <w:rPr>
          <w:rFonts w:ascii="仿宋_GB2312" w:hAnsi="仿宋" w:eastAsia="仿宋_GB2312"/>
          <w:sz w:val="32"/>
          <w:szCs w:val="32"/>
        </w:rPr>
      </w:pPr>
      <w:r>
        <w:rPr>
          <w:rFonts w:hint="eastAsia" w:ascii="仿宋_GB2312" w:hAnsi="仿宋" w:eastAsia="仿宋_GB2312"/>
          <w:sz w:val="32"/>
          <w:szCs w:val="32"/>
        </w:rPr>
        <w:t>2、真情服务，亲情征拆，妥善做好征地拆迁工作。工作人员要充分理解被征地拆迁群众为城市发展所作出的牺牲和贡献，以维护好、实现好、发展好人民群众的根本利益为出发点和落脚点，做到亲情征拆、和谐征拆。</w:t>
      </w:r>
    </w:p>
    <w:p>
      <w:pPr>
        <w:pStyle w:val="5"/>
        <w:shd w:val="clear" w:color="auto" w:fill="FFFFFF"/>
        <w:spacing w:before="0" w:beforeAutospacing="0" w:after="0" w:afterAutospacing="0" w:line="450" w:lineRule="atLeast"/>
        <w:ind w:right="210" w:firstLine="633" w:firstLineChars="198"/>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3、因部门整体支出的预算资金安排和使用上仍有不可预见性，导致预算控制率低，需加强预算管理、严格预算执行，科学编制预算。</w:t>
      </w:r>
    </w:p>
    <w:p>
      <w:pPr>
        <w:spacing w:line="568" w:lineRule="exact"/>
        <w:ind w:firstLine="640" w:firstLineChars="200"/>
        <w:rPr>
          <w:rFonts w:ascii="仿宋_GB2312" w:hAnsi="仿宋" w:eastAsia="仿宋_GB2312"/>
          <w:sz w:val="32"/>
          <w:szCs w:val="32"/>
        </w:rPr>
      </w:pPr>
      <w:r>
        <w:rPr>
          <w:rFonts w:hint="eastAsia" w:ascii="仿宋_GB2312" w:hAnsi="仿宋" w:eastAsia="仿宋_GB2312"/>
          <w:sz w:val="32"/>
          <w:szCs w:val="32"/>
        </w:rPr>
        <w:t>4、提高思想认识。组织相关人员认真学习《预算法》等相关法规、制度，提高单位领导对全面预算管理的重视程度，增强财务人员的预算意识，坚持先有预算、后有支出，没有预算不得支出。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spacing w:line="568"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八、单位在资金管理、项目管理等方面的先进经验及做法</w:t>
      </w:r>
    </w:p>
    <w:p>
      <w:pPr>
        <w:spacing w:line="568" w:lineRule="exact"/>
        <w:ind w:firstLine="640" w:firstLineChars="200"/>
        <w:rPr>
          <w:rFonts w:ascii="仿宋_GB2312" w:hAnsi="仿宋" w:eastAsia="仿宋_GB2312"/>
          <w:sz w:val="32"/>
          <w:szCs w:val="32"/>
        </w:rPr>
      </w:pPr>
      <w:r>
        <w:rPr>
          <w:rFonts w:hint="eastAsia" w:ascii="仿宋_GB2312" w:hAnsi="仿宋" w:eastAsia="仿宋_GB2312"/>
          <w:sz w:val="32"/>
          <w:szCs w:val="32"/>
        </w:rPr>
        <w:t>无</w:t>
      </w:r>
    </w:p>
    <w:p>
      <w:pPr>
        <w:spacing w:line="568"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九、部门整体支出绩效评价等级</w:t>
      </w:r>
    </w:p>
    <w:p>
      <w:pPr>
        <w:adjustRightInd w:val="0"/>
        <w:snapToGrid w:val="0"/>
        <w:spacing w:line="600" w:lineRule="exact"/>
        <w:ind w:right="1280" w:firstLine="640" w:firstLineChars="200"/>
        <w:rPr>
          <w:rFonts w:ascii="仿宋_GB2312" w:eastAsia="仿宋_GB2312"/>
          <w:sz w:val="32"/>
          <w:szCs w:val="32"/>
        </w:rPr>
      </w:pPr>
      <w:r>
        <w:rPr>
          <w:rFonts w:ascii="仿宋_GB2312" w:eastAsia="仿宋_GB2312"/>
          <w:sz w:val="32"/>
          <w:szCs w:val="32"/>
        </w:rPr>
        <w:t>绩效评价自评小组根据《</w:t>
      </w:r>
      <w:r>
        <w:rPr>
          <w:rFonts w:hint="eastAsia" w:ascii="仿宋_GB2312" w:eastAsia="仿宋_GB2312"/>
          <w:sz w:val="32"/>
          <w:szCs w:val="32"/>
        </w:rPr>
        <w:t>部门整体</w:t>
      </w:r>
      <w:r>
        <w:rPr>
          <w:rFonts w:ascii="仿宋_GB2312" w:eastAsia="仿宋_GB2312"/>
          <w:sz w:val="32"/>
          <w:szCs w:val="32"/>
        </w:rPr>
        <w:t>支出绩效评价</w:t>
      </w:r>
      <w:r>
        <w:rPr>
          <w:rFonts w:hint="eastAsia" w:ascii="仿宋_GB2312" w:eastAsia="仿宋_GB2312"/>
          <w:sz w:val="32"/>
          <w:szCs w:val="32"/>
        </w:rPr>
        <w:t>参考</w:t>
      </w:r>
      <w:r>
        <w:rPr>
          <w:rFonts w:ascii="仿宋_GB2312" w:eastAsia="仿宋_GB2312"/>
          <w:sz w:val="32"/>
          <w:szCs w:val="32"/>
        </w:rPr>
        <w:t>指标》方案，自评得分</w:t>
      </w:r>
      <w:r>
        <w:rPr>
          <w:rFonts w:hint="eastAsia" w:ascii="仿宋_GB2312" w:eastAsia="仿宋_GB2312"/>
          <w:sz w:val="32"/>
          <w:szCs w:val="32"/>
        </w:rPr>
        <w:t>98</w:t>
      </w:r>
      <w:r>
        <w:rPr>
          <w:rFonts w:ascii="仿宋_GB2312" w:eastAsia="仿宋_GB2312"/>
          <w:sz w:val="32"/>
          <w:szCs w:val="32"/>
        </w:rPr>
        <w:t>分</w:t>
      </w:r>
      <w:r>
        <w:rPr>
          <w:rFonts w:hint="eastAsia" w:ascii="仿宋_GB2312" w:eastAsia="仿宋_GB2312"/>
          <w:sz w:val="32"/>
          <w:szCs w:val="32"/>
        </w:rPr>
        <w:t>，</w:t>
      </w:r>
      <w:r>
        <w:rPr>
          <w:rFonts w:ascii="仿宋_GB2312" w:eastAsia="仿宋_GB2312"/>
          <w:sz w:val="32"/>
          <w:szCs w:val="32"/>
        </w:rPr>
        <w:t>考评结果为</w:t>
      </w:r>
      <w:r>
        <w:rPr>
          <w:rFonts w:hint="eastAsia" w:ascii="仿宋_GB2312" w:eastAsia="仿宋_GB2312"/>
          <w:sz w:val="32"/>
          <w:szCs w:val="32"/>
        </w:rPr>
        <w:t xml:space="preserve">优秀。             </w:t>
      </w:r>
    </w:p>
    <w:p>
      <w:pPr>
        <w:adjustRightInd w:val="0"/>
        <w:snapToGrid w:val="0"/>
        <w:spacing w:line="600" w:lineRule="exact"/>
        <w:ind w:right="1280" w:firstLine="640" w:firstLineChars="200"/>
        <w:rPr>
          <w:rFonts w:ascii="仿宋_GB2312" w:eastAsia="仿宋_GB2312"/>
          <w:sz w:val="32"/>
          <w:szCs w:val="32"/>
        </w:rPr>
      </w:pPr>
    </w:p>
    <w:p>
      <w:pPr>
        <w:adjustRightInd w:val="0"/>
        <w:snapToGrid w:val="0"/>
        <w:spacing w:line="600" w:lineRule="exact"/>
        <w:ind w:right="1280" w:firstLine="640" w:firstLineChars="200"/>
        <w:rPr>
          <w:rFonts w:ascii="仿宋_GB2312" w:eastAsia="仿宋_GB2312"/>
          <w:sz w:val="32"/>
          <w:szCs w:val="32"/>
        </w:rPr>
      </w:pPr>
    </w:p>
    <w:p>
      <w:pPr>
        <w:adjustRightInd w:val="0"/>
        <w:snapToGrid w:val="0"/>
        <w:spacing w:line="600" w:lineRule="exact"/>
        <w:ind w:right="1280" w:firstLine="640" w:firstLineChars="200"/>
        <w:rPr>
          <w:rFonts w:ascii="仿宋_GB2312" w:eastAsia="仿宋_GB2312"/>
          <w:sz w:val="32"/>
          <w:szCs w:val="32"/>
        </w:rPr>
      </w:pPr>
    </w:p>
    <w:p>
      <w:pPr>
        <w:adjustRightInd w:val="0"/>
        <w:snapToGrid w:val="0"/>
        <w:spacing w:line="600" w:lineRule="exact"/>
        <w:ind w:right="1280" w:firstLine="640" w:firstLineChars="200"/>
        <w:rPr>
          <w:rFonts w:ascii="仿宋_GB2312" w:eastAsia="仿宋_GB2312"/>
          <w:sz w:val="32"/>
          <w:szCs w:val="32"/>
        </w:rPr>
      </w:pPr>
    </w:p>
    <w:p>
      <w:pPr>
        <w:adjustRightInd w:val="0"/>
        <w:snapToGrid w:val="0"/>
        <w:spacing w:line="600" w:lineRule="exact"/>
        <w:ind w:right="1280" w:firstLine="640" w:firstLineChars="200"/>
        <w:rPr>
          <w:rFonts w:ascii="仿宋_GB2312" w:eastAsia="仿宋_GB2312"/>
          <w:sz w:val="32"/>
          <w:szCs w:val="32"/>
        </w:rPr>
      </w:pPr>
    </w:p>
    <w:p>
      <w:pPr>
        <w:adjustRightInd w:val="0"/>
        <w:snapToGrid w:val="0"/>
        <w:spacing w:line="600" w:lineRule="exact"/>
        <w:ind w:right="1280" w:firstLine="640" w:firstLineChars="200"/>
        <w:rPr>
          <w:rFonts w:ascii="仿宋_GB2312" w:eastAsia="仿宋_GB2312"/>
          <w:sz w:val="32"/>
          <w:szCs w:val="32"/>
        </w:rPr>
      </w:pPr>
    </w:p>
    <w:p>
      <w:pPr>
        <w:adjustRightInd w:val="0"/>
        <w:snapToGrid w:val="0"/>
        <w:spacing w:line="600" w:lineRule="exact"/>
        <w:ind w:right="1280" w:firstLine="640" w:firstLineChars="200"/>
        <w:jc w:val="right"/>
        <w:rPr>
          <w:rFonts w:ascii="仿宋_GB2312" w:eastAsia="仿宋_GB2312"/>
          <w:sz w:val="32"/>
          <w:szCs w:val="32"/>
        </w:rPr>
      </w:pPr>
      <w:r>
        <w:rPr>
          <w:rFonts w:hint="eastAsia" w:ascii="仿宋_GB2312" w:eastAsia="仿宋_GB2312"/>
          <w:sz w:val="32"/>
          <w:szCs w:val="32"/>
        </w:rPr>
        <w:t>2021.5.20</w:t>
      </w: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p>
      <w:pPr>
        <w:spacing w:line="576" w:lineRule="exact"/>
        <w:rPr>
          <w:rFonts w:ascii="Times New Roman" w:hAnsi="Times New Roman" w:eastAsia="黑体"/>
          <w:color w:val="000000"/>
          <w:sz w:val="32"/>
          <w:szCs w:val="32"/>
        </w:rPr>
      </w:pPr>
    </w:p>
    <w:bookmarkEnd w:id="0"/>
    <w:sectPr>
      <w:pgSz w:w="11906" w:h="16838"/>
      <w:pgMar w:top="1021" w:right="1077" w:bottom="85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0048094D"/>
    <w:rsid w:val="00002C26"/>
    <w:rsid w:val="000123FE"/>
    <w:rsid w:val="000308D1"/>
    <w:rsid w:val="00044D73"/>
    <w:rsid w:val="000753F5"/>
    <w:rsid w:val="00081F6D"/>
    <w:rsid w:val="000A7C13"/>
    <w:rsid w:val="000B7587"/>
    <w:rsid w:val="000C39E5"/>
    <w:rsid w:val="000E2291"/>
    <w:rsid w:val="000E669C"/>
    <w:rsid w:val="00136A1B"/>
    <w:rsid w:val="0016134C"/>
    <w:rsid w:val="001911A2"/>
    <w:rsid w:val="001C6188"/>
    <w:rsid w:val="00215ED3"/>
    <w:rsid w:val="00220544"/>
    <w:rsid w:val="00222B48"/>
    <w:rsid w:val="00272E00"/>
    <w:rsid w:val="002A20A6"/>
    <w:rsid w:val="002A2B5F"/>
    <w:rsid w:val="002B7C13"/>
    <w:rsid w:val="002C1E39"/>
    <w:rsid w:val="002E529C"/>
    <w:rsid w:val="00323FE5"/>
    <w:rsid w:val="00332078"/>
    <w:rsid w:val="00341438"/>
    <w:rsid w:val="00352296"/>
    <w:rsid w:val="00365954"/>
    <w:rsid w:val="00372D3F"/>
    <w:rsid w:val="003B29A2"/>
    <w:rsid w:val="003B4975"/>
    <w:rsid w:val="003C0BD6"/>
    <w:rsid w:val="003C50C5"/>
    <w:rsid w:val="003E0CF7"/>
    <w:rsid w:val="003F3B71"/>
    <w:rsid w:val="003F7AB6"/>
    <w:rsid w:val="0046204D"/>
    <w:rsid w:val="0048094D"/>
    <w:rsid w:val="00485971"/>
    <w:rsid w:val="004923EF"/>
    <w:rsid w:val="004B6118"/>
    <w:rsid w:val="004D4600"/>
    <w:rsid w:val="004E5258"/>
    <w:rsid w:val="0051308E"/>
    <w:rsid w:val="00520053"/>
    <w:rsid w:val="0057047B"/>
    <w:rsid w:val="0057670E"/>
    <w:rsid w:val="00590186"/>
    <w:rsid w:val="005945B1"/>
    <w:rsid w:val="005A0298"/>
    <w:rsid w:val="005A3F07"/>
    <w:rsid w:val="005A6D16"/>
    <w:rsid w:val="005D233B"/>
    <w:rsid w:val="005D3DF5"/>
    <w:rsid w:val="005F6156"/>
    <w:rsid w:val="0060390B"/>
    <w:rsid w:val="00612B6A"/>
    <w:rsid w:val="00626D8A"/>
    <w:rsid w:val="00653E94"/>
    <w:rsid w:val="00692548"/>
    <w:rsid w:val="00693F8A"/>
    <w:rsid w:val="00696A6F"/>
    <w:rsid w:val="006A1B79"/>
    <w:rsid w:val="006B1655"/>
    <w:rsid w:val="006F14A7"/>
    <w:rsid w:val="006F46BB"/>
    <w:rsid w:val="00704527"/>
    <w:rsid w:val="00706A86"/>
    <w:rsid w:val="007154F5"/>
    <w:rsid w:val="00723717"/>
    <w:rsid w:val="00726E64"/>
    <w:rsid w:val="007C1BDF"/>
    <w:rsid w:val="008120C5"/>
    <w:rsid w:val="00822C9C"/>
    <w:rsid w:val="00834688"/>
    <w:rsid w:val="00873F78"/>
    <w:rsid w:val="0087647A"/>
    <w:rsid w:val="008956B6"/>
    <w:rsid w:val="00895B91"/>
    <w:rsid w:val="008C292E"/>
    <w:rsid w:val="008E1B7E"/>
    <w:rsid w:val="008E35CD"/>
    <w:rsid w:val="0091610B"/>
    <w:rsid w:val="00931B46"/>
    <w:rsid w:val="009405EB"/>
    <w:rsid w:val="00953297"/>
    <w:rsid w:val="00956E05"/>
    <w:rsid w:val="00987B35"/>
    <w:rsid w:val="009A3036"/>
    <w:rsid w:val="009C102A"/>
    <w:rsid w:val="009D1423"/>
    <w:rsid w:val="009D3373"/>
    <w:rsid w:val="009E0C01"/>
    <w:rsid w:val="00A015E9"/>
    <w:rsid w:val="00A355A3"/>
    <w:rsid w:val="00AB1828"/>
    <w:rsid w:val="00AC4AE6"/>
    <w:rsid w:val="00AE5A0C"/>
    <w:rsid w:val="00AF03EB"/>
    <w:rsid w:val="00AF2F05"/>
    <w:rsid w:val="00B23D89"/>
    <w:rsid w:val="00B3564C"/>
    <w:rsid w:val="00B43B13"/>
    <w:rsid w:val="00B66020"/>
    <w:rsid w:val="00B840B5"/>
    <w:rsid w:val="00B949CA"/>
    <w:rsid w:val="00BB5D9C"/>
    <w:rsid w:val="00BF4545"/>
    <w:rsid w:val="00C02212"/>
    <w:rsid w:val="00C05716"/>
    <w:rsid w:val="00C0573A"/>
    <w:rsid w:val="00C13E22"/>
    <w:rsid w:val="00C15D02"/>
    <w:rsid w:val="00C76803"/>
    <w:rsid w:val="00CB3CD8"/>
    <w:rsid w:val="00CB639E"/>
    <w:rsid w:val="00CC0DC9"/>
    <w:rsid w:val="00CD4BB1"/>
    <w:rsid w:val="00CF3AB8"/>
    <w:rsid w:val="00D032E1"/>
    <w:rsid w:val="00D125D6"/>
    <w:rsid w:val="00D34D5E"/>
    <w:rsid w:val="00D761CB"/>
    <w:rsid w:val="00DB20D7"/>
    <w:rsid w:val="00DB4E36"/>
    <w:rsid w:val="00DC5A63"/>
    <w:rsid w:val="00DF1DB0"/>
    <w:rsid w:val="00E31AB4"/>
    <w:rsid w:val="00E43642"/>
    <w:rsid w:val="00E43F6B"/>
    <w:rsid w:val="00E63E20"/>
    <w:rsid w:val="00E74BE7"/>
    <w:rsid w:val="00EA24E0"/>
    <w:rsid w:val="00EB454A"/>
    <w:rsid w:val="00EC51D9"/>
    <w:rsid w:val="00ED5C8E"/>
    <w:rsid w:val="00EE3C9E"/>
    <w:rsid w:val="00F16CBF"/>
    <w:rsid w:val="00F36E15"/>
    <w:rsid w:val="00F4053F"/>
    <w:rsid w:val="00F55A9B"/>
    <w:rsid w:val="00F57407"/>
    <w:rsid w:val="00F77E88"/>
    <w:rsid w:val="00FB4BB7"/>
    <w:rsid w:val="00FC74FF"/>
    <w:rsid w:val="00FD67D8"/>
    <w:rsid w:val="00FE75D4"/>
    <w:rsid w:val="32FF4F22"/>
    <w:rsid w:val="79DA5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List Paragraph"/>
    <w:basedOn w:val="1"/>
    <w:qFormat/>
    <w:uiPriority w:val="99"/>
    <w:pPr>
      <w:ind w:firstLine="420" w:firstLineChars="200"/>
    </w:pPr>
    <w:rPr>
      <w:szCs w:val="22"/>
    </w:rPr>
  </w:style>
  <w:style w:type="character" w:customStyle="1" w:styleId="9">
    <w:name w:val="页眉 Char"/>
    <w:basedOn w:val="7"/>
    <w:link w:val="4"/>
    <w:semiHidden/>
    <w:uiPriority w:val="99"/>
    <w:rPr>
      <w:rFonts w:ascii="Calibri" w:hAnsi="Calibri" w:eastAsia="宋体" w:cs="Times New Roman"/>
      <w:sz w:val="18"/>
      <w:szCs w:val="18"/>
    </w:rPr>
  </w:style>
  <w:style w:type="character" w:customStyle="1" w:styleId="10">
    <w:name w:val="页脚 Char"/>
    <w:basedOn w:val="7"/>
    <w:link w:val="3"/>
    <w:semiHidden/>
    <w:qFormat/>
    <w:uiPriority w:val="99"/>
    <w:rPr>
      <w:rFonts w:ascii="Calibri" w:hAnsi="Calibri" w:eastAsia="宋体" w:cs="Times New Roman"/>
      <w:sz w:val="18"/>
      <w:szCs w:val="18"/>
    </w:rPr>
  </w:style>
  <w:style w:type="character" w:customStyle="1" w:styleId="11">
    <w:name w:val="日期 Char"/>
    <w:basedOn w:val="7"/>
    <w:link w:val="2"/>
    <w:semiHidden/>
    <w:qFormat/>
    <w:uiPriority w:val="99"/>
    <w:rPr>
      <w:rFonts w:ascii="Calibri" w:hAnsi="Calibri"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2487</Words>
  <Characters>2559</Characters>
  <Lines>19</Lines>
  <Paragraphs>5</Paragraphs>
  <TotalTime>619</TotalTime>
  <ScaleCrop>false</ScaleCrop>
  <LinksUpToDate>false</LinksUpToDate>
  <CharactersWithSpaces>2599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2021-03-23T05:28:00Z</dcterms:created>
  <dc:creator>微软用户</dc:creator>
  <cp:lastModifiedBy>飛</cp:lastModifiedBy>
  <dcterms:modified xsi:type="dcterms:W3CDTF">2022-11-04T02:56:09Z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5C39A50BC2784668819B5C0F3FB60511</vt:lpwstr>
  </property>
</Properties>
</file>