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r>
        <w:rPr>
          <w:rFonts w:ascii="Times New Roman" w:hAnsi="Times New Roman" w:eastAsia="方正小标宋_GBK"/>
          <w:color w:val="000000"/>
          <w:sz w:val="48"/>
          <w:szCs w:val="48"/>
        </w:rPr>
        <w:t>202</w:t>
      </w:r>
      <w:r>
        <w:rPr>
          <w:rFonts w:hint="eastAsia" w:ascii="Times New Roman" w:hAnsi="Times New Roman" w:eastAsia="方正小标宋_GBK"/>
          <w:color w:val="000000"/>
          <w:sz w:val="48"/>
          <w:szCs w:val="48"/>
        </w:rPr>
        <w:t>1</w:t>
      </w:r>
      <w:r>
        <w:rPr>
          <w:rFonts w:ascii="Times New Roman" w:hAnsi="Times New Roman" w:eastAsia="方正小标宋_GBK"/>
          <w:color w:val="000000"/>
          <w:sz w:val="48"/>
          <w:szCs w:val="48"/>
        </w:rPr>
        <w:t>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6"/>
          <w:szCs w:val="36"/>
        </w:rPr>
      </w:pPr>
      <w:r>
        <w:rPr>
          <w:rFonts w:ascii="Times New Roman" w:hAnsi="Times New Roman" w:eastAsia="黑体"/>
          <w:color w:val="000000"/>
          <w:sz w:val="36"/>
          <w:szCs w:val="36"/>
        </w:rPr>
        <w:t>单位名称（盖章）：</w:t>
      </w:r>
      <w:r>
        <w:rPr>
          <w:rFonts w:hint="eastAsia" w:ascii="Times New Roman" w:hAnsi="Times New Roman" w:eastAsia="黑体"/>
          <w:color w:val="000000"/>
          <w:sz w:val="36"/>
          <w:szCs w:val="36"/>
        </w:rPr>
        <w:t>浏阳市自然资源局</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楷体_GB2312"/>
          <w:b/>
          <w:color w:val="000000"/>
          <w:sz w:val="36"/>
          <w:szCs w:val="36"/>
        </w:rPr>
      </w:pPr>
      <w:r>
        <w:rPr>
          <w:rFonts w:ascii="Times New Roman" w:hAnsi="Times New Roman" w:eastAsia="楷体_GB2312"/>
          <w:b/>
          <w:color w:val="000000"/>
          <w:sz w:val="36"/>
          <w:szCs w:val="36"/>
        </w:rPr>
        <w:t>二O二二年</w:t>
      </w:r>
      <w:r>
        <w:rPr>
          <w:rFonts w:hint="eastAsia" w:ascii="Times New Roman" w:hAnsi="Times New Roman" w:eastAsia="楷体_GB2312"/>
          <w:b/>
          <w:color w:val="000000"/>
          <w:sz w:val="36"/>
          <w:szCs w:val="36"/>
        </w:rPr>
        <w:t>四</w:t>
      </w:r>
      <w:r>
        <w:rPr>
          <w:rFonts w:ascii="Times New Roman" w:hAnsi="Times New Roman" w:eastAsia="楷体_GB2312"/>
          <w:b/>
          <w:color w:val="000000"/>
          <w:sz w:val="36"/>
          <w:szCs w:val="36"/>
        </w:rPr>
        <w:t>月</w:t>
      </w:r>
      <w:r>
        <w:rPr>
          <w:rFonts w:hint="eastAsia" w:ascii="Times New Roman" w:hAnsi="Times New Roman" w:eastAsia="楷体_GB2312"/>
          <w:b/>
          <w:color w:val="000000"/>
          <w:sz w:val="36"/>
          <w:szCs w:val="36"/>
        </w:rPr>
        <w:t>十四</w:t>
      </w:r>
      <w:r>
        <w:rPr>
          <w:rFonts w:ascii="Times New Roman" w:hAnsi="Times New Roman" w:eastAsia="楷体_GB2312"/>
          <w:b/>
          <w:color w:val="000000"/>
          <w:sz w:val="36"/>
          <w:szCs w:val="36"/>
        </w:rPr>
        <w:t>日</w:t>
      </w:r>
    </w:p>
    <w:p>
      <w:pPr>
        <w:spacing w:line="596" w:lineRule="exact"/>
        <w:jc w:val="center"/>
        <w:rPr>
          <w:rFonts w:ascii="Times New Roman" w:hAnsi="Times New Roman" w:eastAsia="方正小标宋简体"/>
          <w:color w:val="000000"/>
          <w:kern w:val="0"/>
          <w:sz w:val="44"/>
          <w:szCs w:val="44"/>
        </w:rPr>
      </w:pPr>
      <w:r>
        <w:rPr>
          <w:rFonts w:ascii="Times New Roman" w:hAnsi="Times New Roman" w:eastAsia="黑体"/>
          <w:color w:val="000000"/>
          <w:sz w:val="32"/>
          <w:szCs w:val="32"/>
        </w:rPr>
        <w:br w:type="page"/>
      </w:r>
      <w:r>
        <w:rPr>
          <w:rFonts w:hint="eastAsia" w:ascii="Times New Roman" w:hAnsi="Times New Roman" w:eastAsia="方正小标宋简体"/>
          <w:color w:val="000000"/>
          <w:kern w:val="0"/>
          <w:sz w:val="44"/>
          <w:szCs w:val="44"/>
        </w:rPr>
        <w:t>浏阳市自然资源局</w:t>
      </w:r>
    </w:p>
    <w:p>
      <w:pPr>
        <w:spacing w:line="596"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部门整体支出绩效自评报告</w:t>
      </w:r>
    </w:p>
    <w:p>
      <w:pPr>
        <w:pStyle w:val="12"/>
        <w:widowControl/>
        <w:spacing w:line="596" w:lineRule="exact"/>
        <w:ind w:firstLine="579" w:firstLineChars="181"/>
        <w:rPr>
          <w:rFonts w:ascii="Times New Roman" w:hAnsi="Times New Roman" w:eastAsia="黑体"/>
          <w:color w:val="000000"/>
          <w:kern w:val="0"/>
          <w:sz w:val="32"/>
          <w:szCs w:val="32"/>
        </w:rPr>
      </w:pPr>
      <w:r>
        <w:rPr>
          <w:rFonts w:ascii="Times New Roman" w:hAnsi="Times New Roman" w:eastAsia="黑体"/>
          <w:color w:val="000000"/>
          <w:kern w:val="0"/>
          <w:sz w:val="32"/>
          <w:szCs w:val="32"/>
        </w:rPr>
        <w:t>一、部门概况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（一）部门职能概述</w:t>
      </w:r>
    </w:p>
    <w:p>
      <w:pPr>
        <w:spacing w:line="64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浏阳市自然资源局依法履行全民所有土地、矿产、森林、草原、湿地、水等自然资源资产所有者职责、国土空间用途管制职责。负责全市自然资源调查监测评价、自然资源统一确权登记工作、自然资源资产有偿使用工作、自然资源合理开发利用、建立空间规划体系并监督实施。集中管理规划区范围内的规划实施。负责统筹国土空间生态修复、耕地数量和生态保护，做好耕地质量保护有关工作。负责地质灾害预防和治理、矿产资源开发管理、集体土地征地拆迁管理。负责自然资源和规划的行政执法管理与监督检查工作，依法查处自然资源开发利用和国土空间规划及测绘有关违法违规行为，指导有关行政执法工作。承担市土地管理委员会、市规划委员会的日常工作。完成市委、市人民政府交办的其他工作。</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（二）部门组织机构及人员情况</w:t>
      </w:r>
    </w:p>
    <w:p>
      <w:pPr>
        <w:spacing w:line="64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1、机构情况：浏阳市自然资源局由1</w:t>
      </w:r>
      <w:r>
        <w:rPr>
          <w:rFonts w:hint="eastAsia" w:ascii="MS Mincho" w:hAnsi="MS Mincho" w:eastAsia="MS Mincho" w:cs="MS Mincho"/>
          <w:color w:val="000000"/>
          <w:kern w:val="0"/>
          <w:sz w:val="32"/>
          <w:szCs w:val="32"/>
        </w:rPr>
        <w:t> </w:t>
      </w:r>
      <w:r>
        <w:rPr>
          <w:rFonts w:hint="eastAsia" w:ascii="Times New Roman" w:hAnsi="Times New Roman" w:eastAsia="仿宋_GB2312"/>
          <w:color w:val="000000"/>
          <w:kern w:val="0"/>
          <w:sz w:val="32"/>
          <w:szCs w:val="32"/>
        </w:rPr>
        <w:t>个行政单位（辖15个内设处室）及48个下属机构组成。 1个行政单位为浏阳市自然资源局，其内设处室有15个，分别是：办公室（信访科）、财务科、政工人事科、矿产管理科、法规科（行政审批服务科）、自然资源权籍和登记管理科、自然资源调查监测科、自然资源权益科（征地拆迁管理科）、耕地保护和资源开发利用科、国土空间规划编制科、国土空间用途管制科、国土空间生态修复科、国土空间规范管理科（国土空间规划管理中心）、建设工程规范管理科（市政工程规划管理科）、自然资源督察科；48个下属机构，分别是：浏阳市自然资源局经开区（高新区）分局、浏阳市不动产交易中心、浏阳市土地储备中心、浏阳市土地执法大队、浏阳市土地整理中心、浏阳市村庄集镇规划事务中心、浏阳市矿产品开发中心、浏阳市资产征稽所、浏阳市征地拆迁事务所、浏阳市不动产登记中心、浏阳市自然资源局信息中心、浏阳市山林地纠纷调处中心、浏阳市地质灾害监测中心、浏阳市勘察测绘院、浏阳市规划设计院、冠湘公司、32个自然资源所。</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人员情况：除浏阳市勘察测绘院、浏阳市规划设计院、冠湘公司实行独立核算外，我局目前共有干部职工595人，其中：行政编制27人、事业全额拨款编制267人、差额拨款编制19人、自收自支编制111人、离退休124人、临聘人员47人。</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（三）年度重点工作计划</w:t>
      </w:r>
    </w:p>
    <w:p>
      <w:pPr>
        <w:spacing w:line="596" w:lineRule="exact"/>
        <w:ind w:firstLine="643" w:firstLineChars="200"/>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一是以规划引领发展，推进国土空间规划编制实施。</w:t>
      </w:r>
      <w:r>
        <w:rPr>
          <w:rFonts w:ascii="Times New Roman" w:hAnsi="Times New Roman" w:eastAsia="仿宋_GB2312"/>
          <w:color w:val="000000"/>
          <w:kern w:val="0"/>
          <w:sz w:val="32"/>
          <w:szCs w:val="32"/>
        </w:rPr>
        <w:t>贯彻习</w:t>
      </w:r>
      <w:r>
        <w:rPr>
          <w:rFonts w:hint="eastAsia" w:ascii="Times New Roman" w:hAnsi="Times New Roman" w:eastAsia="仿宋_GB2312"/>
          <w:color w:val="000000"/>
          <w:kern w:val="0"/>
          <w:sz w:val="32"/>
          <w:szCs w:val="32"/>
          <w:lang w:val="en-US" w:eastAsia="zh-CN"/>
        </w:rPr>
        <w:t>近平</w:t>
      </w:r>
      <w:r>
        <w:rPr>
          <w:rFonts w:ascii="Times New Roman" w:hAnsi="Times New Roman" w:eastAsia="仿宋_GB2312"/>
          <w:color w:val="000000"/>
          <w:kern w:val="0"/>
          <w:sz w:val="32"/>
          <w:szCs w:val="32"/>
        </w:rPr>
        <w:t>总书记考察湖南关于“</w:t>
      </w:r>
      <w:r>
        <w:rPr>
          <w:rFonts w:hint="eastAsia" w:ascii="Times New Roman" w:hAnsi="Times New Roman" w:eastAsia="仿宋_GB2312"/>
          <w:color w:val="000000"/>
          <w:kern w:val="0"/>
          <w:sz w:val="32"/>
          <w:szCs w:val="32"/>
        </w:rPr>
        <w:t>三高地四个新”的战略指引，全面完成市镇两级国土空间规划和“多规合一”实用性村庄规划，建立健全国土空间规划体系；初步形成全市国土空间开发保护“一张图”，加强国土空间信息平台建设，全面实施国土空间监测预警和绩效考核机制，形成以国土空间规划为基础，以统一用途管制为手段的国土空间开发保护制度；牢固树立“规划是法”理念，加强规划实施监督体系建设，加强规划批后监管执法工作，严厉查</w:t>
      </w:r>
      <w:r>
        <w:rPr>
          <w:rFonts w:ascii="Times New Roman" w:hAnsi="Times New Roman" w:eastAsia="仿宋_GB2312"/>
          <w:color w:val="000000"/>
          <w:kern w:val="0"/>
          <w:sz w:val="32"/>
          <w:szCs w:val="32"/>
        </w:rPr>
        <w:t>处擅自变更规划的行为。</w:t>
      </w:r>
    </w:p>
    <w:p>
      <w:pPr>
        <w:spacing w:line="596" w:lineRule="exact"/>
        <w:ind w:firstLine="643" w:firstLineChars="200"/>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二</w:t>
      </w:r>
      <w:r>
        <w:rPr>
          <w:rFonts w:ascii="Times New Roman" w:hAnsi="Times New Roman" w:eastAsia="仿宋_GB2312"/>
          <w:b/>
          <w:bCs/>
          <w:color w:val="000000"/>
          <w:kern w:val="0"/>
          <w:sz w:val="32"/>
          <w:szCs w:val="32"/>
        </w:rPr>
        <w:t>是以生态提质发展，不断强化自然资源管理执法。</w:t>
      </w:r>
      <w:r>
        <w:rPr>
          <w:rFonts w:ascii="Times New Roman" w:hAnsi="Times New Roman" w:eastAsia="仿宋_GB2312"/>
          <w:color w:val="000000"/>
          <w:kern w:val="0"/>
          <w:sz w:val="32"/>
          <w:szCs w:val="32"/>
        </w:rPr>
        <w:t>牢牢守住耕地红线，压实耕地目标管理、属地管理责任，在全市推广实施全域土地综合整治，实施耕地数量、质量、生态</w:t>
      </w:r>
      <w:r>
        <w:rPr>
          <w:rFonts w:hint="eastAsia" w:ascii="Times New Roman" w:hAnsi="Times New Roman" w:eastAsia="仿宋_GB2312"/>
          <w:color w:val="000000"/>
          <w:kern w:val="0"/>
          <w:sz w:val="32"/>
          <w:szCs w:val="32"/>
        </w:rPr>
        <w:t>“三位一体”综合保护；继续加强自然资源执法监察，全面落实“月调度、季讲评、年评价”违</w:t>
      </w:r>
      <w:r>
        <w:rPr>
          <w:rFonts w:ascii="Times New Roman" w:hAnsi="Times New Roman" w:eastAsia="仿宋_GB2312"/>
          <w:color w:val="000000"/>
          <w:kern w:val="0"/>
          <w:sz w:val="32"/>
          <w:szCs w:val="32"/>
        </w:rPr>
        <w:t>法用地整治机制，积极推进农村乱占耕地建房问题整治专项行动，严防农地非农化、农地非粮化现象。牢牢守住生态红线，全面完成矿山整治整顿，优化矿山布局，推进绿色矿山建设，开展矿山地质环境生态修复治理，打造自然资源生命共同体。</w:t>
      </w:r>
    </w:p>
    <w:p>
      <w:pPr>
        <w:spacing w:line="596" w:lineRule="exact"/>
        <w:ind w:firstLine="643" w:firstLineChars="200"/>
        <w:rPr>
          <w:rFonts w:ascii="Times New Roman" w:hAnsi="Times New Roman" w:eastAsia="仿宋_GB2312"/>
          <w:color w:val="000000"/>
          <w:kern w:val="0"/>
          <w:sz w:val="32"/>
          <w:szCs w:val="32"/>
        </w:rPr>
      </w:pPr>
      <w:r>
        <w:rPr>
          <w:rFonts w:hint="eastAsia" w:ascii="Times New Roman" w:hAnsi="Times New Roman" w:eastAsia="仿宋_GB2312"/>
          <w:b/>
          <w:bCs/>
          <w:color w:val="000000"/>
          <w:kern w:val="0"/>
          <w:sz w:val="32"/>
          <w:szCs w:val="32"/>
        </w:rPr>
        <w:t>三</w:t>
      </w:r>
      <w:r>
        <w:rPr>
          <w:rFonts w:ascii="Times New Roman" w:hAnsi="Times New Roman" w:eastAsia="仿宋_GB2312"/>
          <w:b/>
          <w:bCs/>
          <w:color w:val="000000"/>
          <w:kern w:val="0"/>
          <w:sz w:val="32"/>
          <w:szCs w:val="32"/>
        </w:rPr>
        <w:t>是以服务优化发展，持续深化推进</w:t>
      </w:r>
      <w:r>
        <w:rPr>
          <w:rFonts w:hint="eastAsia" w:ascii="Times New Roman" w:hAnsi="Times New Roman" w:eastAsia="仿宋_GB2312"/>
          <w:b/>
          <w:bCs/>
          <w:color w:val="000000"/>
          <w:kern w:val="0"/>
          <w:sz w:val="32"/>
          <w:szCs w:val="32"/>
        </w:rPr>
        <w:t>“</w:t>
      </w:r>
      <w:r>
        <w:rPr>
          <w:rFonts w:ascii="Times New Roman" w:hAnsi="Times New Roman" w:eastAsia="仿宋_GB2312"/>
          <w:b/>
          <w:bCs/>
          <w:color w:val="000000"/>
          <w:kern w:val="0"/>
          <w:sz w:val="32"/>
          <w:szCs w:val="32"/>
        </w:rPr>
        <w:t>放管服</w:t>
      </w:r>
      <w:r>
        <w:rPr>
          <w:rFonts w:hint="eastAsia" w:ascii="Times New Roman" w:hAnsi="Times New Roman" w:eastAsia="仿宋_GB2312"/>
          <w:b/>
          <w:bCs/>
          <w:color w:val="000000"/>
          <w:kern w:val="0"/>
          <w:sz w:val="32"/>
          <w:szCs w:val="32"/>
        </w:rPr>
        <w:t>”</w:t>
      </w:r>
      <w:r>
        <w:rPr>
          <w:rFonts w:ascii="Times New Roman" w:hAnsi="Times New Roman" w:eastAsia="仿宋_GB2312"/>
          <w:b/>
          <w:bCs/>
          <w:color w:val="000000"/>
          <w:kern w:val="0"/>
          <w:sz w:val="32"/>
          <w:szCs w:val="32"/>
        </w:rPr>
        <w:t>改革。</w:t>
      </w:r>
      <w:r>
        <w:rPr>
          <w:rFonts w:ascii="Times New Roman" w:hAnsi="Times New Roman" w:eastAsia="仿宋_GB2312"/>
          <w:color w:val="000000"/>
          <w:kern w:val="0"/>
          <w:sz w:val="32"/>
          <w:szCs w:val="32"/>
        </w:rPr>
        <w:t>继续推</w:t>
      </w:r>
      <w:r>
        <w:rPr>
          <w:rFonts w:hint="eastAsia" w:ascii="Times New Roman" w:hAnsi="Times New Roman" w:eastAsia="仿宋_GB2312"/>
          <w:color w:val="000000"/>
          <w:kern w:val="0"/>
          <w:sz w:val="32"/>
          <w:szCs w:val="32"/>
        </w:rPr>
        <w:t>进“互联网+不动产登记”建设，建立不动产大数据平台，实现基础数据融合共享，打通服务群众</w:t>
      </w:r>
      <w:bookmarkStart w:id="0" w:name="_GoBack"/>
      <w:bookmarkEnd w:id="0"/>
      <w:r>
        <w:rPr>
          <w:rFonts w:hint="eastAsia" w:ascii="Times New Roman" w:hAnsi="Times New Roman" w:eastAsia="仿宋_GB2312"/>
          <w:color w:val="000000"/>
          <w:kern w:val="0"/>
          <w:sz w:val="32"/>
          <w:szCs w:val="32"/>
        </w:rPr>
        <w:t>“最后一公里”；</w:t>
      </w:r>
      <w:r>
        <w:rPr>
          <w:rFonts w:ascii="Times New Roman" w:hAnsi="Times New Roman" w:eastAsia="仿宋_GB2312"/>
          <w:color w:val="000000"/>
          <w:kern w:val="0"/>
          <w:sz w:val="32"/>
          <w:szCs w:val="32"/>
        </w:rPr>
        <w:t>扎实推进农村集体建设用地“房地一体”确权登记，实现农村不动产登记工作常态化；深化</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放管服</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改革，不断提升行政审批效能</w:t>
      </w:r>
      <w:r>
        <w:rPr>
          <w:rFonts w:hint="eastAsia" w:ascii="Times New Roman" w:hAnsi="Times New Roman" w:eastAsia="仿宋_GB2312"/>
          <w:color w:val="000000"/>
          <w:kern w:val="0"/>
          <w:sz w:val="32"/>
          <w:szCs w:val="32"/>
        </w:rPr>
        <w:t>，持续优化营商环境</w:t>
      </w:r>
      <w:r>
        <w:rPr>
          <w:rFonts w:ascii="Times New Roman" w:hAnsi="Times New Roman" w:eastAsia="仿宋_GB2312"/>
          <w:color w:val="000000"/>
          <w:kern w:val="0"/>
          <w:sz w:val="32"/>
          <w:szCs w:val="32"/>
        </w:rPr>
        <w:t>。</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（四）部门整体支出规模、使用方向、主要内容和涉及范围</w:t>
      </w:r>
    </w:p>
    <w:p>
      <w:pPr>
        <w:spacing w:line="596" w:lineRule="exact"/>
        <w:ind w:firstLine="640" w:firstLineChars="200"/>
        <w:rPr>
          <w:rFonts w:ascii="Times New Roman" w:hAnsi="Times New Roman" w:eastAsia="黑体"/>
          <w:color w:val="000000"/>
          <w:kern w:val="0"/>
          <w:sz w:val="32"/>
          <w:szCs w:val="32"/>
        </w:rPr>
      </w:pPr>
      <w:r>
        <w:rPr>
          <w:rFonts w:hint="eastAsia" w:ascii="Times New Roman" w:hAnsi="Times New Roman" w:eastAsia="仿宋_GB2312"/>
          <w:color w:val="000000"/>
          <w:kern w:val="0"/>
          <w:sz w:val="32"/>
          <w:szCs w:val="32"/>
        </w:rPr>
        <w:t>2021年我局部门决算支出共计48361.78万元，其中基本支出7323.54万元，项目支出41038.24万元。按经济分类支出，工资福利支出6460.87万元，商品和服务支出9782.5万元，对个人和家庭的补助1493.27万元，资本性支出30625.14万元。</w:t>
      </w:r>
    </w:p>
    <w:p>
      <w:pPr>
        <w:spacing w:line="596"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二、部门整体支出资金管理及使用情况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本单位2021年度基本支出总额为7323.54万元，其中人员经费6997.38万元，日常公用经费326.16万元，都是由一般公共预算财政拨款。</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本单位2021年度</w:t>
      </w:r>
      <w:r>
        <w:rPr>
          <w:rFonts w:ascii="Times New Roman" w:hAnsi="Times New Roman" w:eastAsia="仿宋_GB2312"/>
          <w:color w:val="000000"/>
          <w:kern w:val="0"/>
          <w:sz w:val="32"/>
          <w:szCs w:val="32"/>
        </w:rPr>
        <w:t>“三公” 经费总支出</w:t>
      </w:r>
      <w:r>
        <w:rPr>
          <w:rFonts w:hint="eastAsia" w:ascii="Times New Roman" w:hAnsi="Times New Roman" w:eastAsia="仿宋_GB2312"/>
          <w:color w:val="000000"/>
          <w:kern w:val="0"/>
          <w:sz w:val="32"/>
          <w:szCs w:val="32"/>
        </w:rPr>
        <w:t>15.83万元，包括公务用车运行维护费7.82万元，公务接待费8.01万元。</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3．因公出国（境）费用支出</w:t>
      </w:r>
      <w:r>
        <w:rPr>
          <w:rFonts w:hint="eastAsia" w:ascii="Times New Roman" w:hAnsi="Times New Roman" w:eastAsia="仿宋_GB2312"/>
          <w:color w:val="000000"/>
          <w:kern w:val="0"/>
          <w:sz w:val="32"/>
          <w:szCs w:val="32"/>
        </w:rPr>
        <w:t>为0元,无</w:t>
      </w:r>
      <w:r>
        <w:rPr>
          <w:rFonts w:ascii="Times New Roman" w:hAnsi="Times New Roman" w:eastAsia="仿宋_GB2312"/>
          <w:color w:val="000000"/>
          <w:kern w:val="0"/>
          <w:sz w:val="32"/>
          <w:szCs w:val="32"/>
        </w:rPr>
        <w:t>公务用车购置</w:t>
      </w:r>
      <w:r>
        <w:rPr>
          <w:rFonts w:hint="eastAsia" w:ascii="Times New Roman" w:hAnsi="Times New Roman" w:eastAsia="仿宋_GB2312"/>
          <w:color w:val="000000"/>
          <w:kern w:val="0"/>
          <w:sz w:val="32"/>
          <w:szCs w:val="32"/>
        </w:rPr>
        <w:t>费</w:t>
      </w:r>
      <w:r>
        <w:rPr>
          <w:rFonts w:ascii="Times New Roman" w:hAnsi="Times New Roman" w:eastAsia="仿宋_GB2312"/>
          <w:color w:val="000000"/>
          <w:kern w:val="0"/>
          <w:sz w:val="32"/>
          <w:szCs w:val="32"/>
        </w:rPr>
        <w:t>。</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（二）项目支出 </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2021年度本单位项目支出总额为41038.24万元</w:t>
      </w:r>
      <w:r>
        <w:rPr>
          <w:rFonts w:hint="eastAsia" w:ascii="Times New Roman" w:hAnsi="Times New Roman" w:eastAsia="仿宋_GB2312"/>
          <w:color w:val="000000"/>
          <w:kern w:val="0"/>
          <w:sz w:val="32"/>
          <w:szCs w:val="32"/>
        </w:rPr>
        <w:t>。其中一般公共预算财政拨款10300.69万元，政府性基金预算财政拨款30688.62万元,非同级财政拨款48.93万元。</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项目支出中一般公共服务支出10.5万元，社会保障和就业支出326.59万元，城乡社区支出32098.56万元，农林水支出121.21万元，自然资源海洋气象等支出7953.63万元，灾害防治及应急管理支出527.75万元</w:t>
      </w:r>
      <w:r>
        <w:rPr>
          <w:rFonts w:ascii="Times New Roman" w:hAnsi="Times New Roman" w:eastAsia="仿宋_GB2312"/>
          <w:color w:val="000000"/>
          <w:sz w:val="32"/>
          <w:szCs w:val="32"/>
        </w:rPr>
        <w:t xml:space="preserve">。 </w:t>
      </w:r>
    </w:p>
    <w:p>
      <w:pPr>
        <w:adjustRightInd w:val="0"/>
        <w:snapToGrid w:val="0"/>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eastAsia="仿宋_GB2312"/>
          <w:sz w:val="32"/>
          <w:szCs w:val="32"/>
        </w:rPr>
        <w:t>我单位制订了财务管理制度，明确了相关专项资金管理办法，资金使用严格按照制度执行。</w:t>
      </w:r>
    </w:p>
    <w:p>
      <w:pPr>
        <w:spacing w:line="596"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三、部门项目组织实施情况</w:t>
      </w:r>
    </w:p>
    <w:p>
      <w:pPr>
        <w:spacing w:line="640" w:lineRule="exact"/>
        <w:ind w:firstLine="640" w:firstLineChars="200"/>
        <w:rPr>
          <w:rFonts w:eastAsia="仿宋_GB2312"/>
          <w:sz w:val="32"/>
          <w:szCs w:val="32"/>
        </w:rPr>
      </w:pPr>
      <w:r>
        <w:rPr>
          <w:rFonts w:ascii="仿宋_GB2312" w:eastAsia="仿宋_GB2312"/>
          <w:sz w:val="32"/>
          <w:szCs w:val="32"/>
        </w:rPr>
        <w:t>由单位主管</w:t>
      </w:r>
      <w:r>
        <w:rPr>
          <w:rFonts w:hint="eastAsia" w:ascii="仿宋_GB2312" w:eastAsia="仿宋_GB2312"/>
          <w:sz w:val="32"/>
          <w:szCs w:val="32"/>
        </w:rPr>
        <w:t>科室或成立</w:t>
      </w:r>
      <w:r>
        <w:rPr>
          <w:rFonts w:ascii="仿宋_GB2312" w:eastAsia="仿宋_GB2312"/>
          <w:sz w:val="32"/>
          <w:szCs w:val="32"/>
        </w:rPr>
        <w:t>组织机构负责项目</w:t>
      </w:r>
      <w:r>
        <w:rPr>
          <w:rFonts w:hint="eastAsia" w:ascii="仿宋_GB2312" w:eastAsia="仿宋_GB2312"/>
          <w:sz w:val="32"/>
          <w:szCs w:val="32"/>
        </w:rPr>
        <w:t>实施</w:t>
      </w:r>
      <w:r>
        <w:rPr>
          <w:rFonts w:ascii="仿宋_GB2312" w:eastAsia="仿宋_GB2312"/>
          <w:sz w:val="32"/>
          <w:szCs w:val="32"/>
        </w:rPr>
        <w:t>，对项目进行严格管理。监督检查工作进度、工作质量及经费使用情况，负责解决项目实施过程中出现的重大问题，负责制定相应的管理制度和办法，定期或不定期召开例会</w:t>
      </w:r>
      <w:r>
        <w:rPr>
          <w:rFonts w:hint="eastAsia" w:ascii="仿宋_GB2312" w:eastAsia="仿宋_GB2312"/>
          <w:sz w:val="32"/>
          <w:szCs w:val="32"/>
        </w:rPr>
        <w:t>，</w:t>
      </w:r>
      <w:r>
        <w:rPr>
          <w:rFonts w:ascii="仿宋_GB2312" w:eastAsia="仿宋_GB2312"/>
          <w:sz w:val="32"/>
          <w:szCs w:val="32"/>
        </w:rPr>
        <w:t>向项目主管部门汇报项目进展及阶段性成果。按组织设计原则，因事设职，因职选人，各司其职，各负其责，充分体现“精简、高效、分工明确、责任清楚、团结协作、发挥整体功能”的管理体系</w:t>
      </w:r>
      <w:r>
        <w:rPr>
          <w:rFonts w:hint="eastAsia" w:ascii="仿宋_GB2312" w:eastAsia="仿宋_GB2312"/>
          <w:sz w:val="32"/>
          <w:szCs w:val="32"/>
        </w:rPr>
        <w:t>。</w:t>
      </w:r>
      <w:r>
        <w:rPr>
          <w:rFonts w:hint="eastAsia" w:eastAsia="仿宋_GB2312"/>
          <w:sz w:val="32"/>
          <w:szCs w:val="32"/>
        </w:rPr>
        <w:t>对专款支出项目按事前审核、事中监控、事后检查的要求进行监管。</w:t>
      </w:r>
    </w:p>
    <w:p>
      <w:pPr>
        <w:spacing w:line="596"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四、资产管理情况 </w:t>
      </w:r>
    </w:p>
    <w:p>
      <w:pPr>
        <w:spacing w:line="6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本单位资产的购置、折旧摊销、处置等均按照固定资产管理制度进行，由办公室负责固定资产的台账管理，财务科负责账务核算，按上级要求对资产组织清查。</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2021年度本局总资产5295.97万元，其中房屋及构筑物3844.97万元，通用设备1294.33万元，专用设备21.72万元，家具、用具、装具及动植物134.95万元。</w:t>
      </w:r>
    </w:p>
    <w:p>
      <w:pPr>
        <w:spacing w:line="596" w:lineRule="exact"/>
        <w:ind w:firstLine="640" w:firstLineChars="200"/>
        <w:rPr>
          <w:rFonts w:ascii="Times New Roman" w:hAnsi="Times New Roman" w:eastAsia="黑体"/>
          <w:bCs/>
          <w:color w:val="000000"/>
          <w:sz w:val="32"/>
          <w:szCs w:val="32"/>
        </w:rPr>
      </w:pPr>
      <w:r>
        <w:rPr>
          <w:rFonts w:ascii="Times New Roman" w:hAnsi="Times New Roman" w:eastAsia="黑体"/>
          <w:bCs/>
          <w:color w:val="000000"/>
          <w:sz w:val="32"/>
          <w:szCs w:val="32"/>
        </w:rPr>
        <w:t xml:space="preserve">五、部门整体支出绩效情况 </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2021年，在市委市政府的坚强领导和各级各相关部门的大力支持下，自然资源各项事业取得积极进展。我单位全力以赴抓重点、带全局，强优势、补短板，耕地保护和自然资源管理工作均排名全省第一，耕地保护工作获省政府真抓实干督查激励，自然资源管理工作拟推荐申报国务院真抓实干督查激励。节约集约用地、集体经营性建设用地入市、农村乱占耕地建房问题摸排、自然资源服务乡村振兴试点、“月清三地”等工作获省自然资源厅通报表扬或各级媒体发文推介。具体来讲，一年来我们主要取得了以下工作成效：</w:t>
      </w:r>
    </w:p>
    <w:p>
      <w:pPr>
        <w:spacing w:line="640" w:lineRule="exact"/>
        <w:ind w:firstLine="643" w:firstLineChars="200"/>
        <w:rPr>
          <w:rFonts w:ascii="仿宋_GB2312" w:hAnsi="Times New Roman" w:eastAsia="仿宋_GB2312"/>
          <w:bCs/>
          <w:color w:val="000000"/>
          <w:sz w:val="32"/>
          <w:szCs w:val="32"/>
        </w:rPr>
      </w:pPr>
      <w:r>
        <w:rPr>
          <w:rFonts w:hint="eastAsia" w:ascii="Times New Roman" w:hAnsi="Times New Roman" w:eastAsia="仿宋_GB2312"/>
          <w:b/>
          <w:bCs/>
          <w:color w:val="000000"/>
          <w:kern w:val="0"/>
          <w:sz w:val="32"/>
          <w:szCs w:val="32"/>
        </w:rPr>
        <w:t>（一）聚焦政治建设，在党建引领中聚合力。</w:t>
      </w:r>
      <w:r>
        <w:rPr>
          <w:rFonts w:hint="eastAsia" w:ascii="仿宋_GB2312" w:hAnsi="Times New Roman" w:eastAsia="仿宋_GB2312"/>
          <w:bCs/>
          <w:color w:val="000000"/>
          <w:sz w:val="32"/>
          <w:szCs w:val="32"/>
        </w:rPr>
        <w:t>把学习贯彻习近平新时代中国特色社会主义思想作为长期政治任务，用好用活用实习近平生态文明思想以及总书记考察湖南重要讲话精神，每月开展党组中心组理论学习，自觉同党中央对标对表、校准偏差，切实将</w:t>
      </w:r>
      <w:r>
        <w:rPr>
          <w:rFonts w:ascii="仿宋_GB2312" w:hAnsi="Times New Roman" w:eastAsia="仿宋_GB2312"/>
          <w:bCs/>
          <w:color w:val="000000"/>
          <w:sz w:val="32"/>
          <w:szCs w:val="32"/>
        </w:rPr>
        <w:t>政治标准和政治要求落</w:t>
      </w:r>
      <w:r>
        <w:rPr>
          <w:rFonts w:hint="eastAsia" w:ascii="仿宋_GB2312" w:hAnsi="Times New Roman" w:eastAsia="仿宋_GB2312"/>
          <w:bCs/>
          <w:color w:val="000000"/>
          <w:sz w:val="32"/>
          <w:szCs w:val="32"/>
        </w:rPr>
        <w:t>实</w:t>
      </w:r>
      <w:r>
        <w:rPr>
          <w:rFonts w:ascii="仿宋_GB2312" w:hAnsi="Times New Roman" w:eastAsia="仿宋_GB2312"/>
          <w:bCs/>
          <w:color w:val="000000"/>
          <w:sz w:val="32"/>
          <w:szCs w:val="32"/>
        </w:rPr>
        <w:t>到</w:t>
      </w:r>
      <w:r>
        <w:rPr>
          <w:rFonts w:hint="eastAsia" w:ascii="仿宋_GB2312" w:hAnsi="Times New Roman" w:eastAsia="仿宋_GB2312"/>
          <w:bCs/>
          <w:color w:val="000000"/>
          <w:sz w:val="32"/>
          <w:szCs w:val="32"/>
        </w:rPr>
        <w:t>自然资源管理工作之中。牢记初心与使命，全面贯彻以人民为中心的发展思想，每天确定一名班子成员带班接访，维护社会稳定大局。扎实推动党史学习教育，深入开展“我为群众办实事”实践活动，</w:t>
      </w:r>
      <w:r>
        <w:rPr>
          <w:rFonts w:ascii="仿宋_GB2312" w:hAnsi="Times New Roman" w:eastAsia="仿宋_GB2312"/>
          <w:bCs/>
          <w:color w:val="000000"/>
          <w:sz w:val="32"/>
          <w:szCs w:val="32"/>
        </w:rPr>
        <w:t>开展集中化解房地产办证信访突出问题专项行动，</w:t>
      </w:r>
      <w:r>
        <w:rPr>
          <w:rFonts w:hint="eastAsia" w:ascii="仿宋_GB2312" w:hAnsi="Times New Roman" w:eastAsia="仿宋_GB2312"/>
          <w:bCs/>
          <w:color w:val="000000"/>
          <w:sz w:val="32"/>
          <w:szCs w:val="32"/>
        </w:rPr>
        <w:t>解决群众急难愁盼问题</w:t>
      </w:r>
      <w:r>
        <w:rPr>
          <w:rFonts w:ascii="仿宋_GB2312" w:hAnsi="Times New Roman" w:eastAsia="仿宋_GB2312"/>
          <w:bCs/>
          <w:color w:val="000000"/>
          <w:sz w:val="32"/>
          <w:szCs w:val="32"/>
        </w:rPr>
        <w:t>。</w:t>
      </w:r>
      <w:r>
        <w:rPr>
          <w:rFonts w:hint="eastAsia" w:ascii="仿宋_GB2312" w:hAnsi="Times New Roman" w:eastAsia="仿宋_GB2312"/>
          <w:bCs/>
          <w:color w:val="000000"/>
          <w:sz w:val="32"/>
          <w:szCs w:val="32"/>
        </w:rPr>
        <w:t>坚持从政治上分析解决问题，从政治的高度推进工作落实，切实将“五位一体”总体布局和“四个全面”战略布局与自然资源工作紧密结合，牢固树立和践行“绿水青山就是金山银山”理念，共同推动自然资源保护理念入脑入心。</w:t>
      </w:r>
    </w:p>
    <w:p>
      <w:pPr>
        <w:spacing w:line="640" w:lineRule="exact"/>
        <w:ind w:firstLine="643" w:firstLineChars="200"/>
        <w:rPr>
          <w:rFonts w:ascii="仿宋_GB2312" w:hAnsi="Times New Roman" w:eastAsia="仿宋_GB2312"/>
          <w:b/>
          <w:bCs/>
          <w:color w:val="000000"/>
          <w:sz w:val="32"/>
          <w:szCs w:val="32"/>
        </w:rPr>
      </w:pPr>
      <w:r>
        <w:rPr>
          <w:rFonts w:hint="eastAsia" w:ascii="仿宋_GB2312" w:hAnsi="Times New Roman" w:eastAsia="仿宋_GB2312"/>
          <w:b/>
          <w:bCs/>
          <w:color w:val="000000"/>
          <w:sz w:val="32"/>
          <w:szCs w:val="32"/>
        </w:rPr>
        <w:t>（二）聚焦服务大局，在发展要务中做贡献。</w:t>
      </w:r>
      <w:r>
        <w:rPr>
          <w:rFonts w:hint="eastAsia" w:ascii="仿宋_GB2312" w:hAnsi="Times New Roman" w:eastAsia="仿宋_GB2312"/>
          <w:bCs/>
          <w:color w:val="000000"/>
          <w:sz w:val="32"/>
          <w:szCs w:val="32"/>
        </w:rPr>
        <w:t>始终坚持以发展为第一要务，自觉增强大局观念和全局意识，努力为高质量发展</w:t>
      </w:r>
      <w:r>
        <w:rPr>
          <w:rFonts w:hint="eastAsia" w:ascii="仿宋_GB2312" w:hAnsi="Times New Roman" w:eastAsia="仿宋_GB2312"/>
          <w:bCs/>
          <w:color w:val="000000"/>
          <w:sz w:val="32"/>
          <w:szCs w:val="32"/>
          <w:lang w:eastAsia="zh-CN"/>
        </w:rPr>
        <w:t>作出贡献</w:t>
      </w:r>
      <w:r>
        <w:rPr>
          <w:rFonts w:hint="eastAsia" w:ascii="仿宋_GB2312" w:hAnsi="Times New Roman" w:eastAsia="仿宋_GB2312"/>
          <w:bCs/>
          <w:color w:val="000000"/>
          <w:sz w:val="32"/>
          <w:szCs w:val="32"/>
        </w:rPr>
        <w:t>。有力推进椒花水库工程、金阳大道三期、中和苍坊旅游区创建国家5A景区、湖南都市学院等重点重大项目落地，为推进实施“三高四新”战略筑牢坚实的用地保障。争取列入全省唯一的自然资源服务乡村振兴试点，积极探索农村集体经营性建设用地入市实施路径，支持花炮、民宿等特色产业发展，为服务乡村振兴创新了用地保障机制。</w:t>
      </w:r>
    </w:p>
    <w:p>
      <w:pPr>
        <w:spacing w:line="640" w:lineRule="exact"/>
        <w:ind w:firstLine="643" w:firstLineChars="200"/>
        <w:rPr>
          <w:rFonts w:ascii="仿宋_GB2312" w:hAnsi="Times New Roman" w:eastAsia="仿宋_GB2312"/>
          <w:bCs/>
          <w:color w:val="000000"/>
          <w:sz w:val="32"/>
          <w:szCs w:val="32"/>
        </w:rPr>
      </w:pPr>
      <w:r>
        <w:rPr>
          <w:rFonts w:hint="eastAsia" w:ascii="仿宋_GB2312" w:hAnsi="Times New Roman" w:eastAsia="仿宋_GB2312"/>
          <w:b/>
          <w:bCs/>
          <w:color w:val="000000"/>
          <w:sz w:val="32"/>
          <w:szCs w:val="32"/>
        </w:rPr>
        <w:t>（三）聚焦主职主责，在生态优先中担使命。</w:t>
      </w:r>
      <w:r>
        <w:rPr>
          <w:rFonts w:hint="eastAsia" w:ascii="仿宋_GB2312" w:hAnsi="Times New Roman" w:eastAsia="仿宋_GB2312"/>
          <w:bCs/>
          <w:color w:val="000000"/>
          <w:sz w:val="32"/>
          <w:szCs w:val="32"/>
        </w:rPr>
        <w:t>始终坚持以保护为第一任务，全面践行习近平生态文明思想，在锚固生态本底、推动绿色发展中担当使命。争取列入全省“三条控制线”划定试点县（市），进一步优化城镇开发边界、耕地和永久基本农田布局、综合交通规划、用地规模分配等核心内容，完成市国土空间总体规划初步成果编制。稳步推进金阳新城发展战略规划、金阳新城国土空间规划、金阳新城控规动态维护更新，助力金阳新城强势崛起。全面推行耕</w:t>
      </w:r>
      <w:r>
        <w:rPr>
          <w:rFonts w:ascii="仿宋_GB2312" w:hAnsi="Times New Roman" w:eastAsia="仿宋_GB2312"/>
          <w:bCs/>
          <w:color w:val="000000"/>
          <w:sz w:val="32"/>
          <w:szCs w:val="32"/>
        </w:rPr>
        <w:t>地保护“田长制”，</w:t>
      </w:r>
      <w:r>
        <w:rPr>
          <w:rFonts w:hint="eastAsia" w:ascii="仿宋_GB2312" w:hAnsi="Times New Roman" w:eastAsia="仿宋_GB2312"/>
          <w:bCs/>
          <w:color w:val="000000"/>
          <w:sz w:val="32"/>
          <w:szCs w:val="32"/>
        </w:rPr>
        <w:t>大力推进农村乱占耕地建房问题整治和损毁耕地整改，坚决遏制耕地“非农化”、防止耕地“非粮化”，严守耕地保护红线，扛稳粮食安全重任。</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就2021年我单位整体支出的数额而言，具体分析如下：</w:t>
      </w:r>
    </w:p>
    <w:p>
      <w:pPr>
        <w:spacing w:line="59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（一）202</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年度本单位共支出资金</w:t>
      </w:r>
      <w:r>
        <w:rPr>
          <w:rFonts w:hint="eastAsia" w:ascii="Times New Roman" w:hAnsi="Times New Roman" w:eastAsia="仿宋_GB2312"/>
          <w:color w:val="000000"/>
          <w:sz w:val="32"/>
          <w:szCs w:val="32"/>
        </w:rPr>
        <w:t>48361.78</w:t>
      </w:r>
      <w:r>
        <w:rPr>
          <w:rFonts w:ascii="Times New Roman" w:hAnsi="Times New Roman" w:eastAsia="仿宋_GB2312"/>
          <w:color w:val="000000"/>
          <w:sz w:val="32"/>
          <w:szCs w:val="32"/>
        </w:rPr>
        <w:t>万元，其中基本支出</w:t>
      </w:r>
      <w:r>
        <w:rPr>
          <w:rFonts w:hint="eastAsia" w:ascii="Times New Roman" w:hAnsi="Times New Roman" w:eastAsia="仿宋_GB2312"/>
          <w:color w:val="000000"/>
          <w:sz w:val="32"/>
          <w:szCs w:val="32"/>
        </w:rPr>
        <w:t>7323.54</w:t>
      </w:r>
      <w:r>
        <w:rPr>
          <w:rFonts w:ascii="Times New Roman" w:hAnsi="Times New Roman" w:eastAsia="仿宋_GB2312"/>
          <w:color w:val="000000"/>
          <w:sz w:val="32"/>
          <w:szCs w:val="32"/>
        </w:rPr>
        <w:t>万元，</w:t>
      </w:r>
      <w:r>
        <w:rPr>
          <w:rFonts w:hint="eastAsia" w:ascii="Times New Roman" w:hAnsi="Times New Roman" w:eastAsia="仿宋_GB2312"/>
          <w:color w:val="000000"/>
          <w:sz w:val="32"/>
          <w:szCs w:val="32"/>
        </w:rPr>
        <w:t>有效地保障了</w:t>
      </w:r>
      <w:r>
        <w:rPr>
          <w:rFonts w:hint="eastAsia" w:ascii="仿宋_GB2312" w:hAnsi="Times New Roman" w:eastAsia="仿宋_GB2312"/>
          <w:bCs/>
          <w:color w:val="000000"/>
          <w:sz w:val="32"/>
          <w:szCs w:val="32"/>
        </w:rPr>
        <w:t>全系统的人员经费及日常公用运行经费</w:t>
      </w:r>
      <w:r>
        <w:rPr>
          <w:rFonts w:ascii="Times New Roman" w:hAnsi="Times New Roman" w:eastAsia="仿宋_GB2312"/>
          <w:color w:val="000000"/>
          <w:sz w:val="32"/>
          <w:szCs w:val="32"/>
        </w:rPr>
        <w:t>。</w:t>
      </w:r>
    </w:p>
    <w:p>
      <w:pPr>
        <w:spacing w:line="596" w:lineRule="exact"/>
        <w:ind w:firstLine="640" w:firstLineChars="200"/>
        <w:rPr>
          <w:rFonts w:ascii="仿宋_GB2312" w:hAnsi="Times New Roman" w:eastAsia="仿宋_GB2312"/>
          <w:bCs/>
          <w:color w:val="000000"/>
          <w:sz w:val="32"/>
          <w:szCs w:val="32"/>
        </w:rPr>
      </w:pPr>
      <w:r>
        <w:rPr>
          <w:rFonts w:ascii="Times New Roman" w:hAnsi="Times New Roman" w:eastAsia="仿宋_GB2312"/>
          <w:color w:val="000000"/>
          <w:sz w:val="32"/>
          <w:szCs w:val="32"/>
        </w:rPr>
        <w:t>（二）202</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年本单位共支出项目资金</w:t>
      </w:r>
      <w:r>
        <w:rPr>
          <w:rFonts w:hint="eastAsia" w:ascii="Times New Roman" w:hAnsi="Times New Roman" w:eastAsia="仿宋_GB2312"/>
          <w:color w:val="000000"/>
          <w:sz w:val="32"/>
          <w:szCs w:val="32"/>
        </w:rPr>
        <w:t>41038.24</w:t>
      </w:r>
      <w:r>
        <w:rPr>
          <w:rFonts w:ascii="Times New Roman" w:hAnsi="Times New Roman" w:eastAsia="仿宋_GB2312"/>
          <w:color w:val="000000"/>
          <w:sz w:val="32"/>
          <w:szCs w:val="32"/>
        </w:rPr>
        <w:t>万元，</w:t>
      </w:r>
      <w:r>
        <w:rPr>
          <w:rFonts w:hint="eastAsia" w:ascii="仿宋_GB2312" w:hAnsi="Times New Roman" w:eastAsia="仿宋_GB2312"/>
          <w:bCs/>
          <w:color w:val="000000"/>
          <w:sz w:val="32"/>
          <w:szCs w:val="32"/>
        </w:rPr>
        <w:t>其中主要包括储备土地开发项目成本、地质灾害治理项目、国土空间规划编制项目、不动产确权登记发证工作、违法用地和矿山及耕地保护、基础测绘与地理信息监管等项目。我单位制订了财务管理制度，明确了相关资金管理办法，严格按照制度执行。在</w:t>
      </w:r>
      <w:r>
        <w:rPr>
          <w:rFonts w:ascii="仿宋_GB2312" w:hAnsi="Times New Roman" w:eastAsia="仿宋_GB2312"/>
          <w:bCs/>
          <w:color w:val="000000"/>
          <w:sz w:val="32"/>
          <w:szCs w:val="32"/>
        </w:rPr>
        <w:t>项目</w:t>
      </w:r>
      <w:r>
        <w:rPr>
          <w:rFonts w:hint="eastAsia" w:ascii="仿宋_GB2312" w:hAnsi="Times New Roman" w:eastAsia="仿宋_GB2312"/>
          <w:bCs/>
          <w:color w:val="000000"/>
          <w:sz w:val="32"/>
          <w:szCs w:val="32"/>
        </w:rPr>
        <w:t>的</w:t>
      </w:r>
      <w:r>
        <w:rPr>
          <w:rFonts w:ascii="仿宋_GB2312" w:hAnsi="Times New Roman" w:eastAsia="仿宋_GB2312"/>
          <w:bCs/>
          <w:color w:val="000000"/>
          <w:sz w:val="32"/>
          <w:szCs w:val="32"/>
        </w:rPr>
        <w:t>组织实施</w:t>
      </w:r>
      <w:r>
        <w:rPr>
          <w:rFonts w:hint="eastAsia" w:ascii="仿宋_GB2312" w:hAnsi="Times New Roman" w:eastAsia="仿宋_GB2312"/>
          <w:bCs/>
          <w:color w:val="000000"/>
          <w:sz w:val="32"/>
          <w:szCs w:val="32"/>
        </w:rPr>
        <w:t>过程中，对专款支出项目按事前审核、事中监控、事后检查的要求进行监管。现就投入金额大的重点项目归类进行具体的绩效评价分析：</w:t>
      </w:r>
    </w:p>
    <w:p>
      <w:pPr>
        <w:spacing w:line="568"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项目概况及项目资金使用、组织实施情况、绩效情况</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（1）国土空间总体规划编制项目方面的支出</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该项支出主要用于编制浏阳市国土空间总体规划，编制浏阳市镇、村国土空间规划，建设浏阳市国土空间规划信息平台等，我单位年初安排该项预算共计3110.7万元，全年该项支出共计   1076.5万元。该项目资金取得的绩效成果主要在于：一是在全省率先按照“镇村一体”编制模式，全面开展乡镇国土空间规划、263个“多规合一”实用性村庄规划具体编制以及乡村规划“一师两员”试点，“镇村一体”规划编制经验在全省村庄规划工作电视电话会议上获典型推介。二是精心规划浏阳主城建设，完善“一河两岸”及道吾、长兴湖、浦梓港等片区规划，高水平编制高铁新城片区城市设计和控制性详细规划，推动城市功能完善、品质提升。三是稳步推进金阳新城发展战略规划、金阳新城国土空间规划、金阳新城控规动态维护更新，助力金阳新城强势崛起。</w:t>
      </w:r>
    </w:p>
    <w:p>
      <w:pPr>
        <w:spacing w:line="596" w:lineRule="exact"/>
        <w:ind w:firstLine="160" w:firstLineChars="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（2）国土空间生态修复及地质环境治理工程项目方面的支出</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2021年我单位该项资金全部为省级专项资金，未在年初部门预算中安排，为追加下达的专项资金。其中主要占比较大的是金刚镇丹桂村</w:t>
      </w:r>
      <w:r>
        <w:rPr>
          <w:rFonts w:ascii="Times New Roman" w:hAnsi="Times New Roman" w:eastAsia="仿宋_GB2312"/>
          <w:color w:val="000000"/>
          <w:sz w:val="32"/>
          <w:szCs w:val="32"/>
        </w:rPr>
        <w:t>地质灾害治理工程项目</w:t>
      </w:r>
      <w:r>
        <w:rPr>
          <w:rFonts w:hint="eastAsia" w:ascii="Times New Roman" w:hAnsi="Times New Roman" w:eastAsia="仿宋_GB2312"/>
          <w:color w:val="000000"/>
          <w:sz w:val="32"/>
          <w:szCs w:val="32"/>
        </w:rPr>
        <w:t>资金，总计下达266万元，总共已支付120.94万元，</w:t>
      </w:r>
      <w:r>
        <w:rPr>
          <w:rFonts w:ascii="Times New Roman" w:hAnsi="Times New Roman" w:eastAsia="仿宋_GB2312"/>
          <w:color w:val="000000"/>
          <w:sz w:val="32"/>
          <w:szCs w:val="32"/>
        </w:rPr>
        <w:t>该项目基本性质为民生工程,立项目标旨在及时消除地质灾害隐患威胁,保护人民群众生命财产安全。</w:t>
      </w:r>
      <w:r>
        <w:rPr>
          <w:rFonts w:hint="eastAsia" w:ascii="Times New Roman" w:hAnsi="Times New Roman" w:eastAsia="仿宋_GB2312"/>
          <w:color w:val="000000"/>
          <w:sz w:val="32"/>
          <w:szCs w:val="32"/>
        </w:rPr>
        <w:t>小河乡皇碑村不稳定斜坡治理项目通过验收，金刚镇丹桂村关下组滑坡治理稳步推进，并在全市启动农村住宅地质灾害防治试点。</w:t>
      </w:r>
      <w:r>
        <w:rPr>
          <w:rFonts w:ascii="Times New Roman" w:hAnsi="Times New Roman" w:eastAsia="仿宋_GB2312"/>
          <w:color w:val="000000"/>
          <w:sz w:val="32"/>
          <w:szCs w:val="32"/>
        </w:rPr>
        <w:t>该专项资金的投入取得了良好的社会效益、经济效益和生态效益，得到了人民群众的高度评价。</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（3）违法用地和矿山及耕地保护方面的支出</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该方面的支出主要用于全市卫片执法检查整改查处、基本农田保护示范区的建设和维护、矿山治理保护与开发、严格保护耕地等工作。我单位年初安排该项预算共计1660万元，包括违法用地和矿山测绘经费100万元、矿山保护经费50万元、基层所工作经费300万元、基本农田保护工作经费300万、卫片执法工作经费590万元、耕地保护工作经费320万元。全年共计支出1404万元，该项目资金的取得的绩效成果主要在于：全面推行耕</w:t>
      </w:r>
      <w:r>
        <w:rPr>
          <w:rFonts w:ascii="Times New Roman" w:hAnsi="Times New Roman" w:eastAsia="仿宋_GB2312"/>
          <w:color w:val="000000"/>
          <w:sz w:val="32"/>
          <w:szCs w:val="32"/>
        </w:rPr>
        <w:t>地保护“田长制”，</w:t>
      </w:r>
      <w:r>
        <w:rPr>
          <w:rFonts w:hint="eastAsia" w:ascii="Times New Roman" w:hAnsi="Times New Roman" w:eastAsia="仿宋_GB2312"/>
          <w:color w:val="000000"/>
          <w:sz w:val="32"/>
          <w:szCs w:val="32"/>
        </w:rPr>
        <w:t>大力推进农村乱占耕地建房问题整治和损毁耕地整改，坚决遏制耕地“非农化”、防止耕地“非粮化”，严守耕地保护红线，扛稳粮食安全重任。加强自然资源管理，全面落实月清“三地两矿”要求，</w:t>
      </w:r>
      <w:r>
        <w:rPr>
          <w:rFonts w:ascii="Times New Roman" w:hAnsi="Times New Roman" w:eastAsia="仿宋_GB2312"/>
          <w:color w:val="000000"/>
          <w:sz w:val="32"/>
          <w:szCs w:val="32"/>
        </w:rPr>
        <w:t>连续18个月实现违法</w:t>
      </w:r>
      <w:r>
        <w:rPr>
          <w:rFonts w:hint="eastAsia" w:ascii="Times New Roman" w:hAnsi="Times New Roman" w:eastAsia="仿宋_GB2312"/>
          <w:color w:val="000000"/>
          <w:sz w:val="32"/>
          <w:szCs w:val="32"/>
        </w:rPr>
        <w:t>用地“零新增”，政府平</w:t>
      </w:r>
      <w:r>
        <w:rPr>
          <w:rFonts w:ascii="Times New Roman" w:hAnsi="Times New Roman" w:eastAsia="仿宋_GB2312"/>
          <w:color w:val="000000"/>
          <w:sz w:val="32"/>
          <w:szCs w:val="32"/>
        </w:rPr>
        <w:t>台公司闲置土地同比下降78%，批而未供土</w:t>
      </w:r>
      <w:r>
        <w:rPr>
          <w:rFonts w:hint="eastAsia" w:ascii="Times New Roman" w:hAnsi="Times New Roman" w:eastAsia="仿宋_GB2312"/>
          <w:color w:val="000000"/>
          <w:sz w:val="32"/>
          <w:szCs w:val="32"/>
        </w:rPr>
        <w:t>地处置量全省最多，执法工作经验在全省执法培训会上获典型推介，月清“三地两矿”工作经验在长沙地区予以推广。积极盘活利用</w:t>
      </w:r>
      <w:r>
        <w:rPr>
          <w:rFonts w:ascii="Times New Roman" w:hAnsi="Times New Roman" w:eastAsia="仿宋_GB2312"/>
          <w:color w:val="000000"/>
          <w:sz w:val="32"/>
          <w:szCs w:val="32"/>
        </w:rPr>
        <w:t>低效闲置宅基地和废弃工矿用地</w:t>
      </w:r>
      <w:r>
        <w:rPr>
          <w:rFonts w:hint="eastAsia" w:ascii="Times New Roman" w:hAnsi="Times New Roman" w:eastAsia="仿宋_GB2312"/>
          <w:color w:val="000000"/>
          <w:sz w:val="32"/>
          <w:szCs w:val="32"/>
        </w:rPr>
        <w:t>，盘活各类土地资源要素，促进耕地保护和生态保护修复。</w:t>
      </w:r>
      <w:r>
        <w:rPr>
          <w:rFonts w:ascii="Times New Roman" w:hAnsi="Times New Roman" w:eastAsia="仿宋_GB2312"/>
          <w:color w:val="000000"/>
          <w:sz w:val="32"/>
          <w:szCs w:val="32"/>
        </w:rPr>
        <w:t>全面完成</w:t>
      </w:r>
      <w:r>
        <w:rPr>
          <w:rFonts w:hint="eastAsia" w:ascii="Times New Roman" w:hAnsi="Times New Roman" w:eastAsia="仿宋_GB2312"/>
          <w:color w:val="000000"/>
          <w:sz w:val="32"/>
          <w:szCs w:val="32"/>
        </w:rPr>
        <w:t>砂石土矿专项整治和非煤矿山依法整顿，全市矿山控制在32家以内，</w:t>
      </w:r>
      <w:r>
        <w:rPr>
          <w:rFonts w:ascii="Times New Roman" w:hAnsi="Times New Roman" w:eastAsia="仿宋_GB2312"/>
          <w:color w:val="000000"/>
          <w:sz w:val="32"/>
          <w:szCs w:val="32"/>
        </w:rPr>
        <w:t>成功创建绿色矿山6家，切</w:t>
      </w:r>
      <w:r>
        <w:rPr>
          <w:rFonts w:hint="eastAsia" w:ascii="Times New Roman" w:hAnsi="Times New Roman" w:eastAsia="仿宋_GB2312"/>
          <w:color w:val="000000"/>
          <w:sz w:val="32"/>
          <w:szCs w:val="32"/>
        </w:rPr>
        <w:t>实将“两山”理念落</w:t>
      </w:r>
      <w:r>
        <w:rPr>
          <w:rFonts w:ascii="Times New Roman" w:hAnsi="Times New Roman" w:eastAsia="仿宋_GB2312"/>
          <w:color w:val="000000"/>
          <w:sz w:val="32"/>
          <w:szCs w:val="32"/>
        </w:rPr>
        <w:t>在实处。</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（4）与不动产确权登记、发证工作相关方面的支出</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该项支出主要包括发证前需要落实的地形勘测、测绘、权籍调查等工作费用的开支及不动产权证书的发证费用等。我单位年初安排该项预算共计835.52万元，包括不动产权籍调查工作经费240万元、地形勘测费340万元、不动产测绘工作经费100万元、不动产发证工作经费155.52万元，服务于常规的不动产登记确权发证工作。全年该项支出共计627万元，为有效</w:t>
      </w:r>
      <w:r>
        <w:rPr>
          <w:rFonts w:ascii="Times New Roman" w:hAnsi="Times New Roman" w:eastAsia="仿宋_GB2312"/>
          <w:color w:val="000000"/>
          <w:sz w:val="32"/>
          <w:szCs w:val="32"/>
        </w:rPr>
        <w:t>推</w:t>
      </w:r>
      <w:r>
        <w:rPr>
          <w:rFonts w:hint="eastAsia" w:ascii="Times New Roman" w:hAnsi="Times New Roman" w:eastAsia="仿宋_GB2312"/>
          <w:color w:val="000000"/>
          <w:sz w:val="32"/>
          <w:szCs w:val="32"/>
        </w:rPr>
        <w:t>进 “互联网+不动产登记”建设，</w:t>
      </w:r>
      <w:r>
        <w:rPr>
          <w:rFonts w:ascii="Times New Roman" w:hAnsi="Times New Roman" w:eastAsia="仿宋_GB2312"/>
          <w:color w:val="000000"/>
          <w:sz w:val="32"/>
          <w:szCs w:val="32"/>
        </w:rPr>
        <w:t>同步上线不动产预审、电子证照、在线缴费，</w:t>
      </w:r>
      <w:r>
        <w:rPr>
          <w:rFonts w:hint="eastAsia" w:ascii="Times New Roman" w:hAnsi="Times New Roman" w:eastAsia="仿宋_GB2312"/>
          <w:color w:val="000000"/>
          <w:sz w:val="32"/>
          <w:szCs w:val="32"/>
        </w:rPr>
        <w:t>提供了有力的资金保障，我市所有不动产登记业务平均办结时限</w:t>
      </w:r>
      <w:r>
        <w:rPr>
          <w:rFonts w:ascii="Times New Roman" w:hAnsi="Times New Roman" w:eastAsia="仿宋_GB2312"/>
          <w:color w:val="000000"/>
          <w:sz w:val="32"/>
          <w:szCs w:val="32"/>
        </w:rPr>
        <w:t>降至2个工作日，抵押首次登记实现3小时内办结，抵押注销、查解封登记实现即时办结。</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（5）土地开发及出让项目方面的支出</w:t>
      </w:r>
    </w:p>
    <w:p>
      <w:pPr>
        <w:spacing w:line="59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该项支出主要用于新增国有建设用地的土地报批成本支出及相关土地出让业务支出。我单位年初安排该项预算共计30194.65万元，纳入政府性基金预算，全年该项支出30688.62万元，为保障国有用地需求，及时出让供应土地提供了有力的支撑。</w:t>
      </w:r>
    </w:p>
    <w:p>
      <w:pPr>
        <w:spacing w:line="568"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w:t>
      </w:r>
      <w:r>
        <w:rPr>
          <w:rFonts w:ascii="Times New Roman" w:hAnsi="Times New Roman" w:eastAsia="仿宋_GB2312"/>
          <w:color w:val="000000"/>
          <w:kern w:val="0"/>
          <w:sz w:val="32"/>
          <w:szCs w:val="32"/>
        </w:rPr>
        <w:t>．综合评价情况及评价结论（附相关评分表）</w:t>
      </w:r>
    </w:p>
    <w:p>
      <w:pPr>
        <w:spacing w:line="640" w:lineRule="exact"/>
        <w:ind w:firstLine="640" w:firstLineChars="200"/>
        <w:rPr>
          <w:rFonts w:ascii="仿宋_GB2312" w:hAnsi="Times New Roman" w:eastAsia="仿宋_GB2312"/>
          <w:bCs/>
          <w:color w:val="000000"/>
          <w:sz w:val="32"/>
          <w:szCs w:val="32"/>
        </w:rPr>
      </w:pPr>
      <w:r>
        <w:rPr>
          <w:rFonts w:ascii="仿宋_GB2312" w:hAnsi="Times New Roman" w:eastAsia="仿宋_GB2312"/>
          <w:bCs/>
          <w:color w:val="000000"/>
          <w:sz w:val="32"/>
          <w:szCs w:val="32"/>
        </w:rPr>
        <w:t>20</w:t>
      </w:r>
      <w:r>
        <w:rPr>
          <w:rFonts w:hint="eastAsia" w:ascii="仿宋_GB2312" w:hAnsi="Times New Roman" w:eastAsia="仿宋_GB2312"/>
          <w:bCs/>
          <w:color w:val="000000"/>
          <w:sz w:val="32"/>
          <w:szCs w:val="32"/>
        </w:rPr>
        <w:t>21</w:t>
      </w:r>
      <w:r>
        <w:rPr>
          <w:rFonts w:ascii="仿宋_GB2312" w:hAnsi="Times New Roman" w:eastAsia="仿宋_GB2312"/>
          <w:bCs/>
          <w:color w:val="000000"/>
          <w:sz w:val="32"/>
          <w:szCs w:val="32"/>
        </w:rPr>
        <w:t>年</w:t>
      </w:r>
      <w:r>
        <w:rPr>
          <w:rFonts w:hint="eastAsia" w:ascii="仿宋_GB2312" w:hAnsi="Times New Roman" w:eastAsia="仿宋_GB2312"/>
          <w:bCs/>
          <w:color w:val="000000"/>
          <w:sz w:val="32"/>
          <w:szCs w:val="32"/>
        </w:rPr>
        <w:t>我单位各项</w:t>
      </w:r>
      <w:r>
        <w:rPr>
          <w:rFonts w:ascii="仿宋_GB2312" w:hAnsi="Times New Roman" w:eastAsia="仿宋_GB2312"/>
          <w:bCs/>
          <w:color w:val="000000"/>
          <w:sz w:val="32"/>
          <w:szCs w:val="32"/>
        </w:rPr>
        <w:t>项目资金使用符合中央、省、市文件要求，符合我市经济发展的需要。</w:t>
      </w:r>
      <w:r>
        <w:rPr>
          <w:rFonts w:hint="eastAsia" w:ascii="仿宋_GB2312" w:hAnsi="Times New Roman" w:eastAsia="仿宋_GB2312"/>
          <w:bCs/>
          <w:color w:val="000000"/>
          <w:sz w:val="32"/>
          <w:szCs w:val="32"/>
        </w:rPr>
        <w:t>经对</w:t>
      </w:r>
      <w:r>
        <w:rPr>
          <w:rFonts w:ascii="仿宋_GB2312" w:hAnsi="Times New Roman" w:eastAsia="仿宋_GB2312"/>
          <w:bCs/>
          <w:color w:val="000000"/>
          <w:sz w:val="32"/>
          <w:szCs w:val="32"/>
        </w:rPr>
        <w:t>项目立项、绩效目标、资金投入、资金管理、组织实施、项目产出及效益等各项指标进行综合评价，</w:t>
      </w:r>
      <w:r>
        <w:rPr>
          <w:rFonts w:hint="eastAsia" w:ascii="仿宋_GB2312" w:hAnsi="Times New Roman" w:eastAsia="仿宋_GB2312"/>
          <w:bCs/>
          <w:color w:val="000000"/>
          <w:sz w:val="32"/>
          <w:szCs w:val="32"/>
        </w:rPr>
        <w:t>我们</w:t>
      </w:r>
      <w:r>
        <w:rPr>
          <w:rFonts w:ascii="仿宋_GB2312" w:hAnsi="Times New Roman" w:eastAsia="仿宋_GB2312"/>
          <w:bCs/>
          <w:color w:val="000000"/>
          <w:sz w:val="32"/>
          <w:szCs w:val="32"/>
        </w:rPr>
        <w:t>在项目立项、</w:t>
      </w:r>
      <w:r>
        <w:rPr>
          <w:rFonts w:hint="eastAsia" w:ascii="仿宋_GB2312" w:hAnsi="Times New Roman" w:eastAsia="仿宋_GB2312"/>
          <w:bCs/>
          <w:color w:val="000000"/>
          <w:sz w:val="32"/>
          <w:szCs w:val="32"/>
        </w:rPr>
        <w:t>绩效目标</w:t>
      </w:r>
      <w:r>
        <w:rPr>
          <w:rFonts w:ascii="仿宋_GB2312" w:hAnsi="Times New Roman" w:eastAsia="仿宋_GB2312"/>
          <w:bCs/>
          <w:color w:val="000000"/>
          <w:sz w:val="32"/>
          <w:szCs w:val="32"/>
        </w:rPr>
        <w:t>方面执行较好，但同时在资金投入与管理、组织实施、项目产出及效益等方面还存在不足之处。</w:t>
      </w:r>
      <w:r>
        <w:rPr>
          <w:rFonts w:hint="eastAsia" w:ascii="仿宋_GB2312" w:hAnsi="Times New Roman" w:eastAsia="仿宋_GB2312"/>
          <w:bCs/>
          <w:color w:val="000000"/>
          <w:sz w:val="32"/>
          <w:szCs w:val="32"/>
        </w:rPr>
        <w:t>我单位对2021年年初部门预算中安排的重点项目进行了自评，自评结果详见附件4。</w:t>
      </w:r>
    </w:p>
    <w:p>
      <w:pPr>
        <w:spacing w:line="568"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．绩效评价结果应用建议</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一是我单位将严格遵守项目预期绩效目标申报制度，强化评价结果在部门预算编制和执行中的应用，项目绩效情况作为今后安排项目经费的重要依据，并在修订完善资金管理办法等制度时，加以吸收利用。</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二是我们将坚持问题导向，坚持节约原则，进一步加强制度建设，完善工作运行机制，进一步加强专项经费资金管理，保障资金支出合理合规。</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三是我单位将按照财政局要求，对自评结果在网站进行公开。</w:t>
      </w:r>
    </w:p>
    <w:p>
      <w:pPr>
        <w:spacing w:line="568"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4</w:t>
      </w:r>
      <w:r>
        <w:rPr>
          <w:rFonts w:ascii="Times New Roman" w:hAnsi="Times New Roman" w:eastAsia="仿宋_GB2312"/>
          <w:color w:val="000000"/>
          <w:kern w:val="0"/>
          <w:sz w:val="32"/>
          <w:szCs w:val="32"/>
        </w:rPr>
        <w:t>．主要经验及做法</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对项目过程的管理，我们的做法是：全程由预算和绩效目标管理为导向把控，合理铺排项目，把控项目进度，严把质量关、验收关，以保证财政资金的高效使用。</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对</w:t>
      </w:r>
      <w:r>
        <w:rPr>
          <w:rFonts w:ascii="仿宋_GB2312" w:hAnsi="Times New Roman" w:eastAsia="仿宋_GB2312"/>
          <w:bCs/>
          <w:color w:val="000000"/>
          <w:sz w:val="32"/>
          <w:szCs w:val="32"/>
        </w:rPr>
        <w:t>项目资金</w:t>
      </w:r>
      <w:r>
        <w:rPr>
          <w:rFonts w:hint="eastAsia" w:ascii="仿宋_GB2312" w:hAnsi="Times New Roman" w:eastAsia="仿宋_GB2312"/>
          <w:bCs/>
          <w:color w:val="000000"/>
          <w:sz w:val="32"/>
          <w:szCs w:val="32"/>
        </w:rPr>
        <w:t>的</w:t>
      </w:r>
      <w:r>
        <w:rPr>
          <w:rFonts w:ascii="仿宋_GB2312" w:hAnsi="Times New Roman" w:eastAsia="仿宋_GB2312"/>
          <w:bCs/>
          <w:color w:val="000000"/>
          <w:sz w:val="32"/>
          <w:szCs w:val="32"/>
        </w:rPr>
        <w:t>管理</w:t>
      </w:r>
      <w:r>
        <w:rPr>
          <w:rFonts w:hint="eastAsia" w:ascii="仿宋_GB2312" w:hAnsi="Times New Roman" w:eastAsia="仿宋_GB2312"/>
          <w:bCs/>
          <w:color w:val="000000"/>
          <w:sz w:val="32"/>
          <w:szCs w:val="32"/>
        </w:rPr>
        <w:t>，我们的做法是</w:t>
      </w:r>
      <w:r>
        <w:rPr>
          <w:rFonts w:ascii="仿宋_GB2312" w:hAnsi="Times New Roman" w:eastAsia="仿宋_GB2312"/>
          <w:bCs/>
          <w:color w:val="000000"/>
          <w:sz w:val="32"/>
          <w:szCs w:val="32"/>
        </w:rPr>
        <w:t>：一是制定</w:t>
      </w:r>
      <w:r>
        <w:rPr>
          <w:rFonts w:hint="eastAsia" w:ascii="仿宋_GB2312" w:hAnsi="Times New Roman" w:eastAsia="仿宋_GB2312"/>
          <w:bCs/>
          <w:color w:val="000000"/>
          <w:sz w:val="32"/>
          <w:szCs w:val="32"/>
        </w:rPr>
        <w:t>项目资金管理办法</w:t>
      </w:r>
      <w:r>
        <w:rPr>
          <w:rFonts w:ascii="仿宋_GB2312" w:hAnsi="Times New Roman" w:eastAsia="仿宋_GB2312"/>
          <w:bCs/>
          <w:color w:val="000000"/>
          <w:sz w:val="32"/>
          <w:szCs w:val="32"/>
        </w:rPr>
        <w:t>，严格按照和执行资金使用管理的相关规定；二是根据实际</w:t>
      </w:r>
      <w:r>
        <w:rPr>
          <w:rFonts w:hint="eastAsia" w:ascii="仿宋_GB2312" w:hAnsi="Times New Roman" w:eastAsia="仿宋_GB2312"/>
          <w:bCs/>
          <w:color w:val="000000"/>
          <w:sz w:val="32"/>
          <w:szCs w:val="32"/>
        </w:rPr>
        <w:t>工作量</w:t>
      </w:r>
      <w:r>
        <w:rPr>
          <w:rFonts w:ascii="仿宋_GB2312" w:hAnsi="Times New Roman" w:eastAsia="仿宋_GB2312"/>
          <w:bCs/>
          <w:color w:val="000000"/>
          <w:sz w:val="32"/>
          <w:szCs w:val="32"/>
        </w:rPr>
        <w:t>进行费用结算，保证财政资金使用效率；三是提高工作质量、效益，避免返工，节约财政资金使用。</w:t>
      </w:r>
    </w:p>
    <w:p>
      <w:pPr>
        <w:spacing w:line="64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六、存在的主要问题 </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一是在部门总体预算管理及执行方面，今年我单位在将政府性基金预算纳入部门年初预算后，虽然总数上部门总体预算与决算数相差不是很大，但明细差异仍然存在，比如政府采购预算数与决算数差异较大，“三公经费”预决算数差异较大等。</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二是有部分项目因一些客观原因，实施时间长，绩效评价结果的出具较预期时间会稍晚。如我单位正在实施中的房地一体确权登记项目、1:500地形图更新测绘项目等。</w:t>
      </w:r>
    </w:p>
    <w:p>
      <w:pPr>
        <w:spacing w:line="64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七、改进措施和有关建议 </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1、在预算编制方面，严格遵守项目预期绩效目标申报制度。针对预决算差异的问题，我单位在以后年初部门预算中将会进一步科学精准把握，合理铺排好各项资金。</w:t>
      </w:r>
    </w:p>
    <w:p>
      <w:pPr>
        <w:spacing w:line="640" w:lineRule="exact"/>
        <w:ind w:firstLine="640" w:firstLineChars="200"/>
        <w:rPr>
          <w:rFonts w:ascii="仿宋_GB2312" w:hAnsi="Times New Roman" w:eastAsia="仿宋_GB2312"/>
          <w:bCs/>
          <w:color w:val="000000"/>
          <w:sz w:val="32"/>
          <w:szCs w:val="32"/>
        </w:rPr>
      </w:pPr>
      <w:r>
        <w:rPr>
          <w:rFonts w:hint="eastAsia" w:ascii="仿宋_GB2312" w:hAnsi="Times New Roman" w:eastAsia="仿宋_GB2312"/>
          <w:bCs/>
          <w:color w:val="000000"/>
          <w:sz w:val="32"/>
          <w:szCs w:val="32"/>
        </w:rPr>
        <w:t>2、在项目绩效评价结果出具方面，将按照要求，在项目实施的各个时点，做好各阶段项目实施情况的数据收集、汇总，以便在事中能精准把控项目效益，事后在最短时间内能出具绩效评价结果，保证结果的时效性和可用性。</w:t>
      </w:r>
    </w:p>
    <w:p>
      <w:pPr>
        <w:spacing w:line="64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八、单位在资金管理、项目管理等方面的先进经验及做法</w:t>
      </w:r>
    </w:p>
    <w:p>
      <w:pPr>
        <w:spacing w:line="640" w:lineRule="exact"/>
        <w:ind w:firstLine="640" w:firstLineChars="200"/>
        <w:rPr>
          <w:rFonts w:ascii="仿宋_GB2312" w:hAnsi="Times New Roman" w:eastAsia="仿宋_GB2312"/>
          <w:bCs/>
          <w:color w:val="000000"/>
          <w:sz w:val="32"/>
          <w:szCs w:val="32"/>
        </w:rPr>
      </w:pPr>
      <w:r>
        <w:rPr>
          <w:rFonts w:ascii="仿宋_GB2312" w:hAnsi="Times New Roman" w:eastAsia="仿宋_GB2312"/>
          <w:bCs/>
          <w:color w:val="000000"/>
          <w:sz w:val="32"/>
          <w:szCs w:val="32"/>
        </w:rPr>
        <w:t>一是严格按照《中华人民共和国政府采购法》、《浏阳市政府集中采购目录和限额标准》及</w:t>
      </w:r>
      <w:r>
        <w:rPr>
          <w:rFonts w:hint="eastAsia" w:ascii="仿宋_GB2312" w:hAnsi="Times New Roman" w:eastAsia="仿宋_GB2312"/>
          <w:bCs/>
          <w:color w:val="000000"/>
          <w:sz w:val="32"/>
          <w:szCs w:val="32"/>
        </w:rPr>
        <w:t>我</w:t>
      </w:r>
      <w:r>
        <w:rPr>
          <w:rFonts w:ascii="仿宋_GB2312" w:hAnsi="Times New Roman" w:eastAsia="仿宋_GB2312"/>
          <w:bCs/>
          <w:color w:val="000000"/>
          <w:sz w:val="32"/>
          <w:szCs w:val="32"/>
        </w:rPr>
        <w:t>单位</w:t>
      </w:r>
      <w:r>
        <w:rPr>
          <w:rFonts w:hint="eastAsia" w:ascii="仿宋_GB2312" w:hAnsi="Times New Roman" w:eastAsia="仿宋_GB2312"/>
          <w:bCs/>
          <w:color w:val="000000"/>
          <w:sz w:val="32"/>
          <w:szCs w:val="32"/>
        </w:rPr>
        <w:t>政府采购</w:t>
      </w:r>
      <w:r>
        <w:rPr>
          <w:rFonts w:ascii="仿宋_GB2312" w:hAnsi="Times New Roman" w:eastAsia="仿宋_GB2312"/>
          <w:bCs/>
          <w:color w:val="000000"/>
          <w:sz w:val="32"/>
          <w:szCs w:val="32"/>
        </w:rPr>
        <w:t>内部控制</w:t>
      </w:r>
      <w:r>
        <w:rPr>
          <w:rFonts w:hint="eastAsia" w:ascii="仿宋_GB2312" w:hAnsi="Times New Roman" w:eastAsia="仿宋_GB2312"/>
          <w:bCs/>
          <w:color w:val="000000"/>
          <w:sz w:val="32"/>
          <w:szCs w:val="32"/>
        </w:rPr>
        <w:t>制度</w:t>
      </w:r>
      <w:r>
        <w:rPr>
          <w:rFonts w:ascii="仿宋_GB2312" w:hAnsi="Times New Roman" w:eastAsia="仿宋_GB2312"/>
          <w:bCs/>
          <w:color w:val="000000"/>
          <w:sz w:val="32"/>
          <w:szCs w:val="32"/>
        </w:rPr>
        <w:t>等相关文件规定组织项目采购工作。</w:t>
      </w:r>
    </w:p>
    <w:p>
      <w:pPr>
        <w:spacing w:line="640" w:lineRule="exact"/>
        <w:ind w:firstLine="640" w:firstLineChars="200"/>
        <w:rPr>
          <w:rFonts w:ascii="仿宋_GB2312" w:hAnsi="Times New Roman" w:eastAsia="仿宋_GB2312"/>
          <w:bCs/>
          <w:color w:val="000000"/>
          <w:sz w:val="32"/>
          <w:szCs w:val="32"/>
        </w:rPr>
      </w:pPr>
      <w:r>
        <w:rPr>
          <w:rFonts w:ascii="仿宋_GB2312" w:hAnsi="Times New Roman" w:eastAsia="仿宋_GB2312"/>
          <w:bCs/>
          <w:color w:val="000000"/>
          <w:sz w:val="32"/>
          <w:szCs w:val="32"/>
        </w:rPr>
        <w:t>二是</w:t>
      </w:r>
      <w:r>
        <w:rPr>
          <w:rFonts w:hint="eastAsia" w:ascii="仿宋_GB2312" w:hAnsi="Times New Roman" w:eastAsia="仿宋_GB2312"/>
          <w:bCs/>
          <w:color w:val="000000"/>
          <w:sz w:val="32"/>
          <w:szCs w:val="32"/>
        </w:rPr>
        <w:t>针对专业项目，正在稳步推行实施招标前的专业造价咨询、招标代理制度，已保证将有限的财力发挥其最大的价值</w:t>
      </w:r>
      <w:r>
        <w:rPr>
          <w:rFonts w:ascii="仿宋_GB2312" w:hAnsi="Times New Roman" w:eastAsia="仿宋_GB2312"/>
          <w:bCs/>
          <w:color w:val="000000"/>
          <w:sz w:val="32"/>
          <w:szCs w:val="32"/>
        </w:rPr>
        <w:t>。</w:t>
      </w:r>
    </w:p>
    <w:p>
      <w:pPr>
        <w:spacing w:line="640" w:lineRule="exact"/>
        <w:ind w:firstLine="640" w:firstLineChars="200"/>
        <w:rPr>
          <w:rFonts w:ascii="仿宋_GB2312" w:hAnsi="Times New Roman" w:eastAsia="仿宋_GB2312"/>
          <w:bCs/>
          <w:color w:val="000000"/>
          <w:sz w:val="32"/>
          <w:szCs w:val="32"/>
        </w:rPr>
      </w:pPr>
      <w:r>
        <w:rPr>
          <w:rFonts w:ascii="仿宋_GB2312" w:hAnsi="Times New Roman" w:eastAsia="仿宋_GB2312"/>
          <w:bCs/>
          <w:color w:val="000000"/>
          <w:sz w:val="32"/>
          <w:szCs w:val="32"/>
        </w:rPr>
        <w:t>三是对以前评价过程中发现的问题，积极整改，并总结经验，避免在以后的项目中出现类似问题。</w:t>
      </w:r>
    </w:p>
    <w:p>
      <w:pPr>
        <w:spacing w:line="64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九、部门整体支出绩效评价等级</w:t>
      </w:r>
    </w:p>
    <w:p>
      <w:pPr>
        <w:adjustRightInd w:val="0"/>
        <w:snapToGrid w:val="0"/>
        <w:spacing w:line="640" w:lineRule="exact"/>
        <w:ind w:firstLine="640" w:firstLineChars="200"/>
        <w:rPr>
          <w:rFonts w:ascii="仿宋_GB2312" w:eastAsia="仿宋_GB2312"/>
          <w:sz w:val="32"/>
          <w:szCs w:val="32"/>
        </w:rPr>
        <w:sectPr>
          <w:headerReference r:id="rId3" w:type="default"/>
          <w:footerReference r:id="rId4" w:type="default"/>
          <w:footerReference r:id="rId5" w:type="even"/>
          <w:pgSz w:w="11906" w:h="16838"/>
          <w:pgMar w:top="1701" w:right="1531" w:bottom="1418" w:left="1531" w:header="851" w:footer="992" w:gutter="0"/>
          <w:cols w:space="720" w:num="1"/>
          <w:titlePg/>
          <w:docGrid w:linePitch="312" w:charSpace="0"/>
        </w:sectPr>
      </w:pPr>
      <w:r>
        <w:rPr>
          <w:rFonts w:ascii="仿宋_GB2312" w:eastAsia="仿宋_GB2312"/>
          <w:sz w:val="32"/>
          <w:szCs w:val="32"/>
        </w:rPr>
        <w:t>绩效评价自评小组根据《</w:t>
      </w:r>
      <w:r>
        <w:rPr>
          <w:rFonts w:hint="eastAsia" w:ascii="仿宋_GB2312" w:eastAsia="仿宋_GB2312"/>
          <w:sz w:val="32"/>
          <w:szCs w:val="32"/>
        </w:rPr>
        <w:t>部门整体</w:t>
      </w:r>
      <w:r>
        <w:rPr>
          <w:rFonts w:ascii="仿宋_GB2312" w:eastAsia="仿宋_GB2312"/>
          <w:sz w:val="32"/>
          <w:szCs w:val="32"/>
        </w:rPr>
        <w:t>支出绩效评价</w:t>
      </w:r>
      <w:r>
        <w:rPr>
          <w:rFonts w:hint="eastAsia" w:ascii="仿宋_GB2312" w:eastAsia="仿宋_GB2312"/>
          <w:sz w:val="32"/>
          <w:szCs w:val="32"/>
        </w:rPr>
        <w:t>参考</w:t>
      </w:r>
      <w:r>
        <w:rPr>
          <w:rFonts w:ascii="仿宋_GB2312" w:eastAsia="仿宋_GB2312"/>
          <w:sz w:val="32"/>
          <w:szCs w:val="32"/>
        </w:rPr>
        <w:t>指标》方案，自评得分</w:t>
      </w:r>
      <w:r>
        <w:rPr>
          <w:rFonts w:hint="eastAsia" w:ascii="仿宋_GB2312" w:eastAsia="仿宋_GB2312"/>
          <w:sz w:val="32"/>
          <w:szCs w:val="32"/>
        </w:rPr>
        <w:t>97</w:t>
      </w:r>
      <w:r>
        <w:rPr>
          <w:rFonts w:ascii="仿宋_GB2312" w:eastAsia="仿宋_GB2312"/>
          <w:sz w:val="32"/>
          <w:szCs w:val="32"/>
        </w:rPr>
        <w:t>分</w:t>
      </w:r>
      <w:r>
        <w:rPr>
          <w:rFonts w:hint="eastAsia" w:ascii="仿宋_GB2312" w:eastAsia="仿宋_GB2312"/>
          <w:sz w:val="32"/>
          <w:szCs w:val="32"/>
        </w:rPr>
        <w:t>，</w:t>
      </w:r>
      <w:r>
        <w:rPr>
          <w:rFonts w:ascii="仿宋_GB2312" w:eastAsia="仿宋_GB2312"/>
          <w:sz w:val="32"/>
          <w:szCs w:val="32"/>
        </w:rPr>
        <w:t>考评结果为</w:t>
      </w:r>
      <w:r>
        <w:rPr>
          <w:rFonts w:hint="eastAsia" w:ascii="仿宋_GB2312" w:eastAsia="仿宋_GB2312"/>
          <w:sz w:val="32"/>
          <w:szCs w:val="32"/>
        </w:rPr>
        <w:t>优秀。</w:t>
      </w:r>
    </w:p>
    <w:p>
      <w:pPr>
        <w:spacing w:line="576" w:lineRule="exact"/>
        <w:rPr>
          <w:rFonts w:ascii="Times New Roman" w:hAnsi="Times New Roman" w:eastAsia="黑体"/>
          <w:color w:val="000000"/>
          <w:sz w:val="32"/>
          <w:szCs w:val="32"/>
        </w:rPr>
      </w:pPr>
      <w:r>
        <w:rPr>
          <w:rFonts w:ascii="Times New Roman" w:hAnsi="Times New Roman" w:eastAsia="黑体"/>
          <w:color w:val="000000"/>
          <w:sz w:val="32"/>
          <w:szCs w:val="32"/>
        </w:rPr>
        <w:t>附件2</w:t>
      </w:r>
      <w:r>
        <w:rPr>
          <w:rFonts w:ascii="Times New Roman" w:hAnsi="Times New Roman" w:eastAsia="黑体"/>
          <w:color w:val="000000"/>
          <w:sz w:val="32"/>
          <w:szCs w:val="32"/>
        </w:rPr>
        <w:tab/>
      </w:r>
    </w:p>
    <w:p>
      <w:pPr>
        <w:spacing w:line="576"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部门整体支出绩效自评基础数据表</w:t>
      </w:r>
    </w:p>
    <w:p>
      <w:pPr>
        <w:tabs>
          <w:tab w:val="left" w:pos="3611"/>
          <w:tab w:val="left" w:pos="4791"/>
          <w:tab w:val="left" w:pos="5951"/>
          <w:tab w:val="left" w:pos="7071"/>
          <w:tab w:val="left" w:pos="8191"/>
          <w:tab w:val="left" w:pos="9311"/>
        </w:tabs>
        <w:spacing w:line="576" w:lineRule="exact"/>
        <w:rPr>
          <w:rFonts w:ascii="Times New Roman" w:hAnsi="Times New Roman" w:eastAsia="仿宋_GB2312"/>
          <w:color w:val="000000"/>
          <w:kern w:val="0"/>
          <w:sz w:val="24"/>
        </w:rPr>
      </w:pPr>
      <w:r>
        <w:rPr>
          <w:rFonts w:ascii="Times New Roman" w:hAnsi="Times New Roman" w:eastAsia="仿宋_GB2312"/>
          <w:color w:val="000000"/>
          <w:kern w:val="0"/>
          <w:sz w:val="24"/>
        </w:rPr>
        <w:t>填报单位：</w:t>
      </w:r>
      <w:r>
        <w:rPr>
          <w:rFonts w:hint="eastAsia" w:ascii="Times New Roman" w:hAnsi="Times New Roman" w:eastAsia="仿宋_GB2312"/>
          <w:color w:val="000000"/>
          <w:kern w:val="0"/>
          <w:sz w:val="24"/>
        </w:rPr>
        <w:t>浏阳市自然资源局</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hint="eastAsia" w:ascii="Times New Roman" w:hAnsi="Times New Roman" w:eastAsia="仿宋_GB2312"/>
          <w:color w:val="000000"/>
          <w:kern w:val="0"/>
          <w:sz w:val="24"/>
        </w:rPr>
        <w:t>单位：万元</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5"/>
        <w:tblW w:w="0" w:type="auto"/>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27" w:type="dxa"/>
            <w:tcBorders>
              <w:top w:val="single" w:color="auto" w:sz="4" w:space="0"/>
              <w:left w:val="nil"/>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编制数</w:t>
            </w:r>
          </w:p>
        </w:tc>
        <w:tc>
          <w:tcPr>
            <w:tcW w:w="2061"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年实际</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在职人数</w:t>
            </w:r>
          </w:p>
        </w:tc>
        <w:tc>
          <w:tcPr>
            <w:tcW w:w="1748" w:type="dxa"/>
            <w:tcBorders>
              <w:top w:val="single" w:color="auto" w:sz="4" w:space="0"/>
              <w:left w:val="nil"/>
              <w:bottom w:val="single" w:color="auto" w:sz="4" w:space="0"/>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388"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p>
        </w:tc>
        <w:tc>
          <w:tcPr>
            <w:tcW w:w="1727" w:type="dxa"/>
            <w:tcBorders>
              <w:top w:val="single" w:color="auto" w:sz="4" w:space="0"/>
              <w:left w:val="nil"/>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p>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rPr>
              <w:t>429</w:t>
            </w:r>
          </w:p>
        </w:tc>
        <w:tc>
          <w:tcPr>
            <w:tcW w:w="2061" w:type="dxa"/>
            <w:vMerge w:val="restart"/>
            <w:tcBorders>
              <w:top w:val="single" w:color="auto" w:sz="4" w:space="0"/>
              <w:left w:val="nil"/>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rPr>
              <w:t>420</w:t>
            </w:r>
          </w:p>
        </w:tc>
        <w:tc>
          <w:tcPr>
            <w:tcW w:w="1748" w:type="dxa"/>
            <w:vMerge w:val="restart"/>
            <w:tcBorders>
              <w:top w:val="single" w:color="auto" w:sz="4" w:space="0"/>
              <w:left w:val="nil"/>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color w:val="000000"/>
                <w:kern w:val="0"/>
                <w:sz w:val="24"/>
              </w:rPr>
              <w:t>≥100%</w:t>
            </w:r>
          </w:p>
        </w:tc>
      </w:tr>
      <w:tr>
        <w:tblPrEx>
          <w:tblCellMar>
            <w:top w:w="0" w:type="dxa"/>
            <w:left w:w="108" w:type="dxa"/>
            <w:bottom w:w="0" w:type="dxa"/>
            <w:right w:w="108" w:type="dxa"/>
          </w:tblCellMar>
        </w:tblPrEx>
        <w:trPr>
          <w:trHeight w:val="70"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p>
        </w:tc>
        <w:tc>
          <w:tcPr>
            <w:tcW w:w="1727" w:type="dxa"/>
            <w:tcBorders>
              <w:left w:val="nil"/>
              <w:bottom w:val="single" w:color="auto" w:sz="4" w:space="0"/>
              <w:right w:val="single" w:color="auto" w:sz="4" w:space="0"/>
            </w:tcBorders>
            <w:noWrap/>
            <w:vAlign w:val="center"/>
          </w:tcPr>
          <w:p>
            <w:pPr>
              <w:spacing w:line="320" w:lineRule="exact"/>
              <w:jc w:val="center"/>
              <w:rPr>
                <w:rFonts w:ascii="Times New Roman" w:hAnsi="Times New Roman" w:eastAsia="仿宋_GB2312"/>
                <w:bCs/>
                <w:color w:val="000000"/>
                <w:kern w:val="0"/>
                <w:sz w:val="24"/>
              </w:rPr>
            </w:pPr>
          </w:p>
        </w:tc>
        <w:tc>
          <w:tcPr>
            <w:tcW w:w="2061" w:type="dxa"/>
            <w:vMerge w:val="continue"/>
            <w:tcBorders>
              <w:left w:val="nil"/>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vMerge w:val="continue"/>
            <w:tcBorders>
              <w:left w:val="nil"/>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w:t>
            </w:r>
            <w:r>
              <w:rPr>
                <w:rFonts w:hint="eastAsia" w:ascii="Times New Roman" w:hAnsi="Times New Roman" w:eastAsia="仿宋_GB2312"/>
                <w:bCs/>
                <w:color w:val="000000"/>
                <w:kern w:val="0"/>
                <w:sz w:val="24"/>
              </w:rPr>
              <w:t>20</w:t>
            </w:r>
            <w:r>
              <w:rPr>
                <w:rFonts w:ascii="Times New Roman" w:hAnsi="Times New Roman" w:eastAsia="仿宋_GB2312"/>
                <w:bCs/>
                <w:color w:val="000000"/>
                <w:kern w:val="0"/>
                <w:sz w:val="24"/>
              </w:rPr>
              <w:t>年决算数</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年预算数</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25.83</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158</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15.83</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21.36</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50</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7.82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21.36</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50</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7.82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4.47</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108</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8.01</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2944.01</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3199.63</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2617.79</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2944.01</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3199.63</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2617.79</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297.31</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432</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326.16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其中：办公经费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20</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水费、电费、差旅费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会议费、培训费</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12.45</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7200.75</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9735.3</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3280.49</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27"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57334.31</w:t>
            </w:r>
          </w:p>
        </w:tc>
        <w:tc>
          <w:tcPr>
            <w:tcW w:w="2061"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49972.9</w:t>
            </w:r>
          </w:p>
        </w:tc>
        <w:tc>
          <w:tcPr>
            <w:tcW w:w="1748"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48361.78</w:t>
            </w:r>
          </w:p>
        </w:tc>
      </w:tr>
      <w:tr>
        <w:tblPrEx>
          <w:tblCellMar>
            <w:top w:w="0" w:type="dxa"/>
            <w:left w:w="108" w:type="dxa"/>
            <w:bottom w:w="0" w:type="dxa"/>
            <w:right w:w="108" w:type="dxa"/>
          </w:tblCellMar>
        </w:tblPrEx>
        <w:trPr>
          <w:trHeight w:val="1615" w:hRule="atLeast"/>
          <w:jc w:val="center"/>
        </w:trPr>
        <w:tc>
          <w:tcPr>
            <w:tcW w:w="3497" w:type="dxa"/>
            <w:tcBorders>
              <w:top w:val="nil"/>
              <w:left w:val="single" w:color="auto" w:sz="4" w:space="0"/>
              <w:bottom w:val="single" w:color="auto" w:sz="4" w:space="0"/>
              <w:right w:val="single" w:color="auto"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536" w:type="dxa"/>
            <w:gridSpan w:val="3"/>
            <w:tcBorders>
              <w:top w:val="single" w:color="auto" w:sz="4" w:space="0"/>
              <w:left w:val="nil"/>
              <w:bottom w:val="single" w:color="auto" w:sz="4" w:space="0"/>
              <w:right w:val="single" w:color="000000" w:sz="4" w:space="0"/>
            </w:tcBorders>
            <w:noWrap/>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严格落实中央八项规定的要求，厉行勤俭节约、反对铺张浪费。一是精简会议改进会风；二是严格执行公务接待规定，尽量在单位食堂就餐；三是加强公车管理，严禁公车私用，严控维修维护费用；四是规范考察和培训活动，严控差旅费用。</w:t>
            </w:r>
          </w:p>
        </w:tc>
      </w:tr>
    </w:tbl>
    <w:p>
      <w:pPr>
        <w:spacing w:line="360" w:lineRule="exact"/>
        <w:ind w:left="630" w:hanging="630" w:hangingChars="300"/>
        <w:rPr>
          <w:rFonts w:ascii="Times New Roman" w:hAnsi="Times New Roman" w:eastAsia="仿宋_GB2312"/>
          <w:color w:val="000000"/>
          <w:kern w:val="0"/>
        </w:rPr>
      </w:pPr>
      <w:r>
        <w:rPr>
          <w:rFonts w:ascii="Times New Roman" w:hAnsi="Times New Roman" w:eastAsia="仿宋_GB2312"/>
          <w:color w:val="000000"/>
          <w:kern w:val="0"/>
        </w:rPr>
        <w:t>说明：“项目支出”需要填报除公共专项资金和基本支出以外的所有项目情况，包括业务工作项目、运行维护项目等；“公用经费”填报基本支出中的一般商品和服务支出。</w:t>
      </w:r>
    </w:p>
    <w:p>
      <w:pPr>
        <w:adjustRightInd w:val="0"/>
        <w:snapToGrid w:val="0"/>
        <w:spacing w:line="600" w:lineRule="exact"/>
        <w:rPr>
          <w:rFonts w:ascii="Times New Roman" w:hAnsi="Times New Roman" w:eastAsia="黑体"/>
          <w:sz w:val="32"/>
          <w:szCs w:val="32"/>
        </w:rPr>
      </w:pPr>
      <w:r>
        <w:rPr>
          <w:rFonts w:ascii="Times New Roman" w:hAnsi="Times New Roman" w:eastAsia="黑体"/>
          <w:sz w:val="32"/>
          <w:szCs w:val="32"/>
        </w:rPr>
        <w:t>附件3</w:t>
      </w:r>
    </w:p>
    <w:p>
      <w:pPr>
        <w:adjustRightInd w:val="0"/>
        <w:snapToGrid w:val="0"/>
        <w:spacing w:line="60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202</w:t>
      </w:r>
      <w:r>
        <w:rPr>
          <w:rFonts w:hint="eastAsia" w:ascii="Times New Roman" w:hAnsi="Times New Roman" w:eastAsia="方正小标宋简体"/>
          <w:color w:val="000000"/>
          <w:kern w:val="0"/>
          <w:sz w:val="44"/>
          <w:szCs w:val="44"/>
        </w:rPr>
        <w:t>1</w:t>
      </w:r>
      <w:r>
        <w:rPr>
          <w:rFonts w:ascii="Times New Roman" w:hAnsi="Times New Roman" w:eastAsia="方正小标宋简体"/>
          <w:color w:val="000000"/>
          <w:kern w:val="0"/>
          <w:sz w:val="44"/>
          <w:szCs w:val="44"/>
        </w:rPr>
        <w:t>年部门整体支出绩效自评表</w:t>
      </w:r>
    </w:p>
    <w:tbl>
      <w:tblPr>
        <w:tblStyle w:val="5"/>
        <w:tblpPr w:leftFromText="180" w:rightFromText="180" w:vertAnchor="text" w:horzAnchor="page" w:tblpX="1052" w:tblpY="62"/>
        <w:tblOverlap w:val="never"/>
        <w:tblW w:w="976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97"/>
        <w:gridCol w:w="592"/>
        <w:gridCol w:w="2160"/>
        <w:gridCol w:w="1800"/>
        <w:gridCol w:w="320"/>
        <w:gridCol w:w="1194"/>
        <w:gridCol w:w="102"/>
        <w:gridCol w:w="830"/>
        <w:gridCol w:w="688"/>
        <w:gridCol w:w="98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689"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部门（单位）名称</w:t>
            </w:r>
          </w:p>
        </w:tc>
        <w:tc>
          <w:tcPr>
            <w:tcW w:w="8078" w:type="dxa"/>
            <w:gridSpan w:val="8"/>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浏阳市自然资源局</w:t>
            </w: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689" w:type="dxa"/>
            <w:gridSpan w:val="2"/>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整体支出规模</w:t>
            </w: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3416" w:type="dxa"/>
            <w:gridSpan w:val="4"/>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全年预算数</w:t>
            </w:r>
          </w:p>
        </w:tc>
        <w:tc>
          <w:tcPr>
            <w:tcW w:w="1518"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全年执行数</w:t>
            </w:r>
          </w:p>
        </w:tc>
        <w:tc>
          <w:tcPr>
            <w:tcW w:w="984" w:type="dxa"/>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ascii="Times New Roman" w:hAnsi="Times New Roman" w:eastAsia="仿宋_GB2312"/>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689" w:type="dxa"/>
            <w:gridSpan w:val="2"/>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资金来源：（1）财政拨款</w:t>
            </w:r>
          </w:p>
        </w:tc>
        <w:tc>
          <w:tcPr>
            <w:tcW w:w="3416" w:type="dxa"/>
            <w:gridSpan w:val="4"/>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49972.9</w:t>
            </w:r>
          </w:p>
        </w:tc>
        <w:tc>
          <w:tcPr>
            <w:tcW w:w="1518"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48312.85</w:t>
            </w:r>
            <w:r>
              <w:rPr>
                <w:rFonts w:ascii="Times New Roman" w:hAnsi="Times New Roman" w:eastAsia="仿宋_GB2312"/>
                <w:color w:val="000000"/>
                <w:sz w:val="18"/>
                <w:szCs w:val="18"/>
              </w:rPr>
              <w:t>　</w:t>
            </w:r>
          </w:p>
        </w:tc>
        <w:tc>
          <w:tcPr>
            <w:tcW w:w="984" w:type="dxa"/>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96.68%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689" w:type="dxa"/>
            <w:gridSpan w:val="2"/>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（2）其他资金</w:t>
            </w:r>
          </w:p>
        </w:tc>
        <w:tc>
          <w:tcPr>
            <w:tcW w:w="3416" w:type="dxa"/>
            <w:gridSpan w:val="4"/>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0</w:t>
            </w:r>
          </w:p>
        </w:tc>
        <w:tc>
          <w:tcPr>
            <w:tcW w:w="1518"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48.93</w:t>
            </w:r>
          </w:p>
        </w:tc>
        <w:tc>
          <w:tcPr>
            <w:tcW w:w="984" w:type="dxa"/>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仿宋_GB2312" w:hAnsi="Times New Roman" w:eastAsia="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689" w:type="dxa"/>
            <w:gridSpan w:val="2"/>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资金结构：（1）基本支出</w:t>
            </w:r>
          </w:p>
        </w:tc>
        <w:tc>
          <w:tcPr>
            <w:tcW w:w="3416" w:type="dxa"/>
            <w:gridSpan w:val="4"/>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7088.32</w:t>
            </w:r>
          </w:p>
        </w:tc>
        <w:tc>
          <w:tcPr>
            <w:tcW w:w="1518"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7323.54</w:t>
            </w:r>
          </w:p>
        </w:tc>
        <w:tc>
          <w:tcPr>
            <w:tcW w:w="984" w:type="dxa"/>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103.32%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689" w:type="dxa"/>
            <w:gridSpan w:val="2"/>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（2）项目支出</w:t>
            </w:r>
          </w:p>
        </w:tc>
        <w:tc>
          <w:tcPr>
            <w:tcW w:w="3416" w:type="dxa"/>
            <w:gridSpan w:val="4"/>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42884.58</w:t>
            </w:r>
            <w:r>
              <w:rPr>
                <w:rFonts w:ascii="Times New Roman" w:hAnsi="Times New Roman" w:eastAsia="仿宋_GB2312"/>
                <w:color w:val="000000"/>
                <w:sz w:val="18"/>
                <w:szCs w:val="18"/>
              </w:rPr>
              <w:t>　</w:t>
            </w:r>
          </w:p>
        </w:tc>
        <w:tc>
          <w:tcPr>
            <w:tcW w:w="1518"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41038.24</w:t>
            </w:r>
          </w:p>
        </w:tc>
        <w:tc>
          <w:tcPr>
            <w:tcW w:w="984" w:type="dxa"/>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95.69%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年度总</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体目标</w:t>
            </w:r>
          </w:p>
        </w:tc>
        <w:tc>
          <w:tcPr>
            <w:tcW w:w="4552" w:type="dxa"/>
            <w:gridSpan w:val="3"/>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年初设定目标</w:t>
            </w:r>
          </w:p>
        </w:tc>
        <w:tc>
          <w:tcPr>
            <w:tcW w:w="4118" w:type="dxa"/>
            <w:gridSpan w:val="6"/>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4552" w:type="dxa"/>
            <w:gridSpan w:val="3"/>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认真负责行使全民所有自然资源资产所有者职责、所有国土空间用途管制和生态保护修复职责，助力浏阳经济发展。</w:t>
            </w:r>
          </w:p>
        </w:tc>
        <w:tc>
          <w:tcPr>
            <w:tcW w:w="4118" w:type="dxa"/>
            <w:gridSpan w:val="6"/>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全年目标任务全面完成</w:t>
            </w: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9767" w:type="dxa"/>
            <w:gridSpan w:val="10"/>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trPr>
        <w:tc>
          <w:tcPr>
            <w:tcW w:w="1097"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一级指标</w:t>
            </w:r>
          </w:p>
        </w:tc>
        <w:tc>
          <w:tcPr>
            <w:tcW w:w="592"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权重</w:t>
            </w:r>
          </w:p>
        </w:tc>
        <w:tc>
          <w:tcPr>
            <w:tcW w:w="2160"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二级指标</w:t>
            </w:r>
          </w:p>
        </w:tc>
        <w:tc>
          <w:tcPr>
            <w:tcW w:w="1800"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三级指标</w:t>
            </w:r>
          </w:p>
        </w:tc>
        <w:tc>
          <w:tcPr>
            <w:tcW w:w="1514" w:type="dxa"/>
            <w:gridSpan w:val="2"/>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年度指标值</w:t>
            </w:r>
          </w:p>
        </w:tc>
        <w:tc>
          <w:tcPr>
            <w:tcW w:w="932" w:type="dxa"/>
            <w:gridSpan w:val="2"/>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全  年</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完成值</w:t>
            </w:r>
          </w:p>
        </w:tc>
        <w:tc>
          <w:tcPr>
            <w:tcW w:w="688" w:type="dxa"/>
            <w:vMerge w:val="restart"/>
            <w:noWrap/>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自评</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得分</w:t>
            </w:r>
          </w:p>
        </w:tc>
        <w:tc>
          <w:tcPr>
            <w:tcW w:w="984"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偏差及</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50"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vMerge w:val="continue"/>
            <w:noWrap/>
            <w:vAlign w:val="center"/>
          </w:tcPr>
          <w:p>
            <w:pPr>
              <w:spacing w:line="250" w:lineRule="exact"/>
              <w:rPr>
                <w:rFonts w:ascii="Times New Roman" w:hAnsi="Times New Roman" w:eastAsia="仿宋_GB2312"/>
                <w:color w:val="000000"/>
                <w:sz w:val="18"/>
                <w:szCs w:val="18"/>
              </w:rPr>
            </w:pPr>
          </w:p>
        </w:tc>
        <w:tc>
          <w:tcPr>
            <w:tcW w:w="1800" w:type="dxa"/>
            <w:vMerge w:val="continue"/>
            <w:noWrap/>
            <w:vAlign w:val="center"/>
          </w:tcPr>
          <w:p>
            <w:pPr>
              <w:spacing w:line="250" w:lineRule="exact"/>
              <w:rPr>
                <w:rFonts w:ascii="Times New Roman" w:hAnsi="Times New Roman" w:eastAsia="仿宋_GB2312"/>
                <w:color w:val="000000"/>
                <w:sz w:val="18"/>
                <w:szCs w:val="18"/>
              </w:rPr>
            </w:pPr>
          </w:p>
        </w:tc>
        <w:tc>
          <w:tcPr>
            <w:tcW w:w="1514" w:type="dxa"/>
            <w:gridSpan w:val="2"/>
            <w:vMerge w:val="continue"/>
            <w:noWrap/>
            <w:vAlign w:val="center"/>
          </w:tcPr>
          <w:p>
            <w:pPr>
              <w:spacing w:line="250" w:lineRule="exact"/>
              <w:rPr>
                <w:rFonts w:ascii="Times New Roman" w:hAnsi="Times New Roman" w:eastAsia="仿宋_GB2312"/>
                <w:color w:val="000000"/>
                <w:sz w:val="18"/>
                <w:szCs w:val="18"/>
              </w:rPr>
            </w:pPr>
          </w:p>
        </w:tc>
        <w:tc>
          <w:tcPr>
            <w:tcW w:w="932" w:type="dxa"/>
            <w:gridSpan w:val="2"/>
            <w:vMerge w:val="continue"/>
            <w:noWrap/>
            <w:vAlign w:val="center"/>
          </w:tcPr>
          <w:p>
            <w:pPr>
              <w:spacing w:line="250" w:lineRule="exact"/>
              <w:rPr>
                <w:rFonts w:ascii="Times New Roman" w:hAnsi="Times New Roman" w:eastAsia="仿宋_GB2312"/>
                <w:color w:val="000000"/>
                <w:sz w:val="18"/>
                <w:szCs w:val="18"/>
              </w:rPr>
            </w:pPr>
          </w:p>
        </w:tc>
        <w:tc>
          <w:tcPr>
            <w:tcW w:w="688" w:type="dxa"/>
            <w:vMerge w:val="continue"/>
            <w:noWrap/>
            <w:vAlign w:val="center"/>
          </w:tcPr>
          <w:p>
            <w:pPr>
              <w:spacing w:line="250" w:lineRule="exact"/>
              <w:rPr>
                <w:rFonts w:ascii="Times New Roman" w:hAnsi="Times New Roman" w:eastAsia="仿宋_GB2312"/>
                <w:color w:val="000000"/>
                <w:sz w:val="18"/>
                <w:szCs w:val="18"/>
              </w:rPr>
            </w:pPr>
          </w:p>
        </w:tc>
        <w:tc>
          <w:tcPr>
            <w:tcW w:w="984" w:type="dxa"/>
            <w:vMerge w:val="continue"/>
            <w:noWrap/>
            <w:vAlign w:val="center"/>
          </w:tcPr>
          <w:p>
            <w:pPr>
              <w:spacing w:line="250" w:lineRule="exact"/>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投入管理</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指  标</w:t>
            </w:r>
          </w:p>
        </w:tc>
        <w:tc>
          <w:tcPr>
            <w:tcW w:w="592"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30</w:t>
            </w: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预算编审管理（3）</w:t>
            </w:r>
          </w:p>
        </w:tc>
        <w:tc>
          <w:tcPr>
            <w:tcW w:w="3314" w:type="dxa"/>
            <w:gridSpan w:val="3"/>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kern w:val="0"/>
                <w:sz w:val="18"/>
                <w:szCs w:val="18"/>
              </w:rPr>
            </w:pPr>
            <w:r>
              <w:rPr>
                <w:rFonts w:ascii="Times New Roman" w:hAnsi="Times New Roman" w:eastAsia="仿宋_GB2312"/>
                <w:color w:val="000000"/>
                <w:kern w:val="0"/>
                <w:sz w:val="18"/>
                <w:szCs w:val="18"/>
              </w:rPr>
              <w:t>根据财政管理工作绩效考核</w:t>
            </w:r>
          </w:p>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kern w:val="0"/>
                <w:sz w:val="18"/>
                <w:szCs w:val="18"/>
              </w:rPr>
              <w:t>相关办法规定填报</w:t>
            </w: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100%</w:t>
            </w:r>
          </w:p>
        </w:tc>
        <w:tc>
          <w:tcPr>
            <w:tcW w:w="688" w:type="dxa"/>
            <w:noWrap/>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3</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预算执行管理（4）</w:t>
            </w:r>
          </w:p>
        </w:tc>
        <w:tc>
          <w:tcPr>
            <w:tcW w:w="3314" w:type="dxa"/>
            <w:gridSpan w:val="3"/>
            <w:vMerge w:val="continue"/>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sz w:val="18"/>
                <w:szCs w:val="18"/>
              </w:rPr>
            </w:pPr>
            <w:r>
              <w:rPr>
                <w:rFonts w:ascii="Times New Roman" w:hAnsi="Times New Roman" w:eastAsia="仿宋_GB2312"/>
                <w:sz w:val="18"/>
                <w:szCs w:val="18"/>
              </w:rPr>
              <w:t>　</w:t>
            </w:r>
            <w:r>
              <w:rPr>
                <w:rFonts w:hint="eastAsia" w:ascii="Times New Roman" w:hAnsi="Times New Roman" w:eastAsia="仿宋_GB2312"/>
                <w:sz w:val="18"/>
                <w:szCs w:val="18"/>
              </w:rPr>
              <w:t>≥90%</w:t>
            </w:r>
          </w:p>
        </w:tc>
        <w:tc>
          <w:tcPr>
            <w:tcW w:w="688" w:type="dxa"/>
            <w:noWrap/>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3</w:t>
            </w:r>
          </w:p>
        </w:tc>
        <w:tc>
          <w:tcPr>
            <w:tcW w:w="984" w:type="dxa"/>
            <w:noWrap/>
            <w:tcMar>
              <w:top w:w="15" w:type="dxa"/>
              <w:left w:w="15" w:type="dxa"/>
              <w:bottom w:w="0" w:type="dxa"/>
              <w:right w:w="15" w:type="dxa"/>
            </w:tcMar>
            <w:vAlign w:val="center"/>
          </w:tcPr>
          <w:p>
            <w:pPr>
              <w:spacing w:line="250" w:lineRule="exact"/>
              <w:rPr>
                <w:rFonts w:ascii="Times New Roman" w:hAnsi="Times New Roman" w:eastAsia="仿宋_GB2312"/>
                <w:sz w:val="18"/>
                <w:szCs w:val="18"/>
              </w:rPr>
            </w:pPr>
            <w:r>
              <w:rPr>
                <w:rFonts w:hint="eastAsia" w:ascii="Times New Roman" w:hAnsi="Times New Roman" w:eastAsia="仿宋_GB2312"/>
                <w:sz w:val="18"/>
                <w:szCs w:val="18"/>
              </w:rPr>
              <w:t>因工作进度，部分预算指标未全额支付</w:t>
            </w:r>
            <w:r>
              <w:rPr>
                <w:rFonts w:ascii="Times New Roman" w:hAnsi="Times New Roman" w:eastAsia="仿宋_GB2312"/>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部门结转结余资金管理（4）</w:t>
            </w:r>
          </w:p>
        </w:tc>
        <w:tc>
          <w:tcPr>
            <w:tcW w:w="3314" w:type="dxa"/>
            <w:gridSpan w:val="3"/>
            <w:vMerge w:val="continue"/>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sz w:val="18"/>
                <w:szCs w:val="18"/>
              </w:rPr>
            </w:pPr>
            <w:r>
              <w:rPr>
                <w:rFonts w:ascii="Times New Roman" w:hAnsi="Times New Roman" w:eastAsia="仿宋_GB2312"/>
                <w:sz w:val="18"/>
                <w:szCs w:val="18"/>
              </w:rPr>
              <w:t>　</w:t>
            </w:r>
            <w:r>
              <w:rPr>
                <w:rFonts w:hint="eastAsia" w:ascii="Times New Roman" w:hAnsi="Times New Roman" w:eastAsia="仿宋_GB2312"/>
                <w:sz w:val="18"/>
                <w:szCs w:val="18"/>
              </w:rPr>
              <w:t>100%</w:t>
            </w:r>
          </w:p>
        </w:tc>
        <w:tc>
          <w:tcPr>
            <w:tcW w:w="688" w:type="dxa"/>
            <w:noWrap/>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4</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sz w:val="18"/>
                <w:szCs w:val="18"/>
              </w:rPr>
            </w:pPr>
            <w:r>
              <w:rPr>
                <w:rFonts w:ascii="Times New Roman" w:hAnsi="Times New Roman" w:eastAsia="仿宋_GB2312"/>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预算绩效管理（5）</w:t>
            </w:r>
          </w:p>
        </w:tc>
        <w:tc>
          <w:tcPr>
            <w:tcW w:w="3314" w:type="dxa"/>
            <w:gridSpan w:val="3"/>
            <w:vMerge w:val="continue"/>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sz w:val="18"/>
                <w:szCs w:val="18"/>
              </w:rPr>
            </w:pPr>
            <w:r>
              <w:rPr>
                <w:rFonts w:ascii="Times New Roman" w:hAnsi="Times New Roman" w:eastAsia="仿宋_GB2312"/>
                <w:sz w:val="18"/>
                <w:szCs w:val="18"/>
              </w:rPr>
              <w:t>　</w:t>
            </w:r>
            <w:r>
              <w:rPr>
                <w:rFonts w:hint="eastAsia" w:ascii="Times New Roman" w:hAnsi="Times New Roman" w:eastAsia="仿宋_GB2312"/>
                <w:sz w:val="18"/>
                <w:szCs w:val="18"/>
              </w:rPr>
              <w:t>100%</w:t>
            </w:r>
          </w:p>
        </w:tc>
        <w:tc>
          <w:tcPr>
            <w:tcW w:w="688" w:type="dxa"/>
            <w:noWrap/>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5</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sz w:val="18"/>
                <w:szCs w:val="18"/>
              </w:rPr>
            </w:pPr>
            <w:r>
              <w:rPr>
                <w:rFonts w:ascii="Times New Roman" w:hAnsi="Times New Roman" w:eastAsia="仿宋_GB2312"/>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预决算信息公开管理（4）</w:t>
            </w:r>
          </w:p>
        </w:tc>
        <w:tc>
          <w:tcPr>
            <w:tcW w:w="3314" w:type="dxa"/>
            <w:gridSpan w:val="3"/>
            <w:vMerge w:val="continue"/>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sz w:val="18"/>
                <w:szCs w:val="18"/>
              </w:rPr>
            </w:pPr>
            <w:r>
              <w:rPr>
                <w:rFonts w:ascii="Times New Roman" w:hAnsi="Times New Roman" w:eastAsia="仿宋_GB2312"/>
                <w:sz w:val="18"/>
                <w:szCs w:val="18"/>
              </w:rPr>
              <w:t>　</w:t>
            </w:r>
            <w:r>
              <w:rPr>
                <w:rFonts w:hint="eastAsia" w:ascii="Times New Roman" w:hAnsi="Times New Roman" w:eastAsia="仿宋_GB2312"/>
                <w:sz w:val="18"/>
                <w:szCs w:val="18"/>
              </w:rPr>
              <w:t>100%</w:t>
            </w:r>
          </w:p>
        </w:tc>
        <w:tc>
          <w:tcPr>
            <w:tcW w:w="688" w:type="dxa"/>
            <w:noWrap/>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4</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sz w:val="18"/>
                <w:szCs w:val="18"/>
              </w:rPr>
            </w:pPr>
            <w:r>
              <w:rPr>
                <w:rFonts w:ascii="Times New Roman" w:hAnsi="Times New Roman" w:eastAsia="仿宋_GB2312"/>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财政监督管理（3）</w:t>
            </w:r>
          </w:p>
        </w:tc>
        <w:tc>
          <w:tcPr>
            <w:tcW w:w="3314" w:type="dxa"/>
            <w:gridSpan w:val="3"/>
            <w:vMerge w:val="continue"/>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sz w:val="18"/>
                <w:szCs w:val="18"/>
              </w:rPr>
            </w:pPr>
            <w:r>
              <w:rPr>
                <w:rFonts w:ascii="Times New Roman" w:hAnsi="Times New Roman" w:eastAsia="仿宋_GB2312"/>
                <w:sz w:val="18"/>
                <w:szCs w:val="18"/>
              </w:rPr>
              <w:t>　</w:t>
            </w:r>
            <w:r>
              <w:rPr>
                <w:rFonts w:hint="eastAsia" w:ascii="Times New Roman" w:hAnsi="Times New Roman" w:eastAsia="仿宋_GB2312"/>
                <w:sz w:val="18"/>
                <w:szCs w:val="18"/>
              </w:rPr>
              <w:t>100%</w:t>
            </w:r>
          </w:p>
        </w:tc>
        <w:tc>
          <w:tcPr>
            <w:tcW w:w="688" w:type="dxa"/>
            <w:noWrap/>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3</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sz w:val="18"/>
                <w:szCs w:val="18"/>
              </w:rPr>
            </w:pPr>
            <w:r>
              <w:rPr>
                <w:rFonts w:ascii="Times New Roman" w:hAnsi="Times New Roman" w:eastAsia="仿宋_GB2312"/>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政府采购管理（3）</w:t>
            </w:r>
          </w:p>
        </w:tc>
        <w:tc>
          <w:tcPr>
            <w:tcW w:w="3314" w:type="dxa"/>
            <w:gridSpan w:val="3"/>
            <w:vMerge w:val="continue"/>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sz w:val="18"/>
                <w:szCs w:val="18"/>
              </w:rPr>
            </w:pPr>
            <w:r>
              <w:rPr>
                <w:rFonts w:ascii="Times New Roman" w:hAnsi="Times New Roman" w:eastAsia="仿宋_GB2312"/>
                <w:sz w:val="18"/>
                <w:szCs w:val="18"/>
              </w:rPr>
              <w:t>　</w:t>
            </w:r>
            <w:r>
              <w:rPr>
                <w:rFonts w:hint="eastAsia" w:ascii="Times New Roman" w:hAnsi="Times New Roman" w:eastAsia="仿宋_GB2312"/>
                <w:sz w:val="18"/>
                <w:szCs w:val="18"/>
              </w:rPr>
              <w:t>100%</w:t>
            </w:r>
          </w:p>
        </w:tc>
        <w:tc>
          <w:tcPr>
            <w:tcW w:w="688" w:type="dxa"/>
            <w:noWrap/>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3</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sz w:val="18"/>
                <w:szCs w:val="18"/>
              </w:rPr>
            </w:pPr>
            <w:r>
              <w:rPr>
                <w:rFonts w:ascii="Times New Roman" w:hAnsi="Times New Roman" w:eastAsia="仿宋_GB2312"/>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5"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资产管理（4）</w:t>
            </w:r>
          </w:p>
        </w:tc>
        <w:tc>
          <w:tcPr>
            <w:tcW w:w="3314" w:type="dxa"/>
            <w:gridSpan w:val="3"/>
            <w:vMerge w:val="continue"/>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sz w:val="18"/>
                <w:szCs w:val="18"/>
              </w:rPr>
            </w:pPr>
            <w:r>
              <w:rPr>
                <w:rFonts w:ascii="Times New Roman" w:hAnsi="Times New Roman" w:eastAsia="仿宋_GB2312"/>
                <w:sz w:val="18"/>
                <w:szCs w:val="18"/>
              </w:rPr>
              <w:t>　</w:t>
            </w:r>
            <w:r>
              <w:rPr>
                <w:rFonts w:hint="eastAsia" w:ascii="Times New Roman" w:hAnsi="Times New Roman" w:eastAsia="仿宋_GB2312"/>
                <w:sz w:val="18"/>
                <w:szCs w:val="18"/>
              </w:rPr>
              <w:t>100%</w:t>
            </w:r>
          </w:p>
        </w:tc>
        <w:tc>
          <w:tcPr>
            <w:tcW w:w="688" w:type="dxa"/>
            <w:noWrap/>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4</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sz w:val="18"/>
                <w:szCs w:val="18"/>
              </w:rPr>
            </w:pPr>
            <w:r>
              <w:rPr>
                <w:rFonts w:ascii="Times New Roman" w:hAnsi="Times New Roman" w:eastAsia="仿宋_GB2312"/>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产出指标</w:t>
            </w:r>
          </w:p>
        </w:tc>
        <w:tc>
          <w:tcPr>
            <w:tcW w:w="592"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25</w:t>
            </w: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数量指标（6）</w:t>
            </w:r>
          </w:p>
        </w:tc>
        <w:tc>
          <w:tcPr>
            <w:tcW w:w="2120"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年度工作任务完成率</w:t>
            </w:r>
          </w:p>
        </w:tc>
        <w:tc>
          <w:tcPr>
            <w:tcW w:w="119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100%</w:t>
            </w: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sz w:val="18"/>
                <w:szCs w:val="18"/>
              </w:rPr>
            </w:pPr>
            <w:r>
              <w:rPr>
                <w:rFonts w:ascii="Times New Roman" w:hAnsi="Times New Roman" w:eastAsia="仿宋_GB2312"/>
                <w:sz w:val="18"/>
                <w:szCs w:val="18"/>
              </w:rPr>
              <w:t>　</w:t>
            </w:r>
            <w:r>
              <w:rPr>
                <w:rFonts w:hint="eastAsia" w:ascii="Times New Roman" w:hAnsi="Times New Roman" w:eastAsia="仿宋_GB2312"/>
                <w:sz w:val="18"/>
                <w:szCs w:val="18"/>
              </w:rPr>
              <w:t>100%</w:t>
            </w:r>
          </w:p>
        </w:tc>
        <w:tc>
          <w:tcPr>
            <w:tcW w:w="688" w:type="dxa"/>
            <w:noWrap/>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6</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质量指标（8）</w:t>
            </w:r>
          </w:p>
        </w:tc>
        <w:tc>
          <w:tcPr>
            <w:tcW w:w="2120"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高质量完成各项工作任务</w:t>
            </w:r>
          </w:p>
        </w:tc>
        <w:tc>
          <w:tcPr>
            <w:tcW w:w="119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100%</w:t>
            </w:r>
          </w:p>
        </w:tc>
        <w:tc>
          <w:tcPr>
            <w:tcW w:w="932"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≥95%</w:t>
            </w:r>
          </w:p>
        </w:tc>
        <w:tc>
          <w:tcPr>
            <w:tcW w:w="688" w:type="dxa"/>
            <w:noWrap/>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7</w:t>
            </w:r>
          </w:p>
        </w:tc>
        <w:tc>
          <w:tcPr>
            <w:tcW w:w="984" w:type="dxa"/>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可进一步提升服务质量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801"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时效指标（5）</w:t>
            </w:r>
          </w:p>
        </w:tc>
        <w:tc>
          <w:tcPr>
            <w:tcW w:w="2120"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严控各项工作的开展进度，按时完成各项工作</w:t>
            </w:r>
          </w:p>
        </w:tc>
        <w:tc>
          <w:tcPr>
            <w:tcW w:w="119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100%</w:t>
            </w: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sz w:val="18"/>
                <w:szCs w:val="18"/>
              </w:rPr>
            </w:pPr>
            <w:r>
              <w:rPr>
                <w:rFonts w:ascii="Times New Roman" w:hAnsi="Times New Roman" w:eastAsia="仿宋_GB2312"/>
                <w:sz w:val="18"/>
                <w:szCs w:val="18"/>
              </w:rPr>
              <w:t>　</w:t>
            </w:r>
            <w:r>
              <w:rPr>
                <w:rFonts w:hint="eastAsia" w:ascii="Times New Roman" w:hAnsi="Times New Roman" w:eastAsia="仿宋_GB2312"/>
                <w:sz w:val="18"/>
                <w:szCs w:val="18"/>
              </w:rPr>
              <w:t>98%</w:t>
            </w:r>
          </w:p>
        </w:tc>
        <w:tc>
          <w:tcPr>
            <w:tcW w:w="688" w:type="dxa"/>
            <w:noWrap/>
            <w:vAlign w:val="center"/>
          </w:tcPr>
          <w:p>
            <w:pPr>
              <w:spacing w:line="250" w:lineRule="exact"/>
              <w:jc w:val="center"/>
              <w:rPr>
                <w:rFonts w:ascii="Times New Roman" w:hAnsi="Times New Roman" w:eastAsia="仿宋_GB2312"/>
                <w:sz w:val="18"/>
                <w:szCs w:val="18"/>
              </w:rPr>
            </w:pPr>
            <w:r>
              <w:rPr>
                <w:rFonts w:hint="eastAsia" w:ascii="Times New Roman" w:hAnsi="Times New Roman" w:eastAsia="仿宋_GB2312"/>
                <w:sz w:val="18"/>
                <w:szCs w:val="18"/>
              </w:rPr>
              <w:t>4</w:t>
            </w:r>
          </w:p>
        </w:tc>
        <w:tc>
          <w:tcPr>
            <w:tcW w:w="984" w:type="dxa"/>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部分项目未在年度内完成，暂未付款</w:t>
            </w:r>
          </w:p>
          <w:p>
            <w:pPr>
              <w:spacing w:line="250" w:lineRule="exact"/>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成本指标（6）</w:t>
            </w:r>
          </w:p>
        </w:tc>
        <w:tc>
          <w:tcPr>
            <w:tcW w:w="2120" w:type="dxa"/>
            <w:gridSpan w:val="2"/>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公用及三公经费控制率</w:t>
            </w:r>
          </w:p>
        </w:tc>
        <w:tc>
          <w:tcPr>
            <w:tcW w:w="119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100%</w:t>
            </w:r>
          </w:p>
        </w:tc>
        <w:tc>
          <w:tcPr>
            <w:tcW w:w="932"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r>
              <w:rPr>
                <w:rFonts w:hint="eastAsia" w:ascii="Times New Roman" w:hAnsi="Times New Roman" w:eastAsia="仿宋_GB2312"/>
                <w:color w:val="000000"/>
                <w:sz w:val="18"/>
                <w:szCs w:val="18"/>
              </w:rPr>
              <w:t>100%</w:t>
            </w:r>
          </w:p>
        </w:tc>
        <w:tc>
          <w:tcPr>
            <w:tcW w:w="688" w:type="dxa"/>
            <w:vMerge w:val="restart"/>
            <w:noWrap/>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6</w:t>
            </w:r>
          </w:p>
        </w:tc>
        <w:tc>
          <w:tcPr>
            <w:tcW w:w="984"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rPr>
                <w:rFonts w:ascii="Times New Roman" w:hAnsi="Times New Roman" w:eastAsia="仿宋_GB2312"/>
                <w:color w:val="000000"/>
                <w:sz w:val="18"/>
                <w:szCs w:val="18"/>
              </w:rPr>
            </w:pPr>
          </w:p>
        </w:tc>
        <w:tc>
          <w:tcPr>
            <w:tcW w:w="592" w:type="dxa"/>
            <w:vMerge w:val="continue"/>
            <w:noWrap/>
            <w:vAlign w:val="center"/>
          </w:tcPr>
          <w:p>
            <w:pPr>
              <w:spacing w:line="250" w:lineRule="exact"/>
              <w:rPr>
                <w:rFonts w:ascii="Times New Roman" w:hAnsi="Times New Roman" w:eastAsia="仿宋_GB2312"/>
                <w:color w:val="000000"/>
                <w:sz w:val="18"/>
                <w:szCs w:val="18"/>
              </w:rPr>
            </w:pPr>
          </w:p>
        </w:tc>
        <w:tc>
          <w:tcPr>
            <w:tcW w:w="2160" w:type="dxa"/>
            <w:vMerge w:val="continue"/>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2120"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sz w:val="18"/>
                <w:szCs w:val="18"/>
              </w:rPr>
              <w:t>厉行节约，严控费用</w:t>
            </w:r>
          </w:p>
        </w:tc>
        <w:tc>
          <w:tcPr>
            <w:tcW w:w="119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节约开支</w:t>
            </w: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把控较好</w:t>
            </w:r>
          </w:p>
        </w:tc>
        <w:tc>
          <w:tcPr>
            <w:tcW w:w="688" w:type="dxa"/>
            <w:vMerge w:val="continue"/>
            <w:noWrap/>
            <w:vAlign w:val="center"/>
          </w:tcPr>
          <w:p>
            <w:pPr>
              <w:spacing w:line="250" w:lineRule="exact"/>
              <w:rPr>
                <w:rFonts w:ascii="Times New Roman" w:hAnsi="Times New Roman" w:eastAsia="仿宋_GB2312"/>
                <w:color w:val="000000"/>
                <w:sz w:val="18"/>
                <w:szCs w:val="18"/>
              </w:rPr>
            </w:pPr>
          </w:p>
        </w:tc>
        <w:tc>
          <w:tcPr>
            <w:tcW w:w="984" w:type="dxa"/>
            <w:vMerge w:val="continue"/>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效益指标</w:t>
            </w:r>
          </w:p>
          <w:p>
            <w:pPr>
              <w:spacing w:line="250" w:lineRule="exact"/>
              <w:jc w:val="center"/>
              <w:rPr>
                <w:rFonts w:ascii="Times New Roman" w:hAnsi="Times New Roman" w:eastAsia="仿宋_GB2312"/>
                <w:color w:val="000000"/>
                <w:sz w:val="18"/>
                <w:szCs w:val="18"/>
              </w:rPr>
            </w:pPr>
          </w:p>
        </w:tc>
        <w:tc>
          <w:tcPr>
            <w:tcW w:w="592" w:type="dxa"/>
            <w:vMerge w:val="restart"/>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45</w:t>
            </w: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经济效益指标（10）</w:t>
            </w:r>
          </w:p>
        </w:tc>
        <w:tc>
          <w:tcPr>
            <w:tcW w:w="2120"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节约集约用地</w:t>
            </w:r>
          </w:p>
        </w:tc>
        <w:tc>
          <w:tcPr>
            <w:tcW w:w="119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成效显著</w:t>
            </w:r>
          </w:p>
        </w:tc>
        <w:tc>
          <w:tcPr>
            <w:tcW w:w="932"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受省自然资源厅表扬</w:t>
            </w:r>
          </w:p>
        </w:tc>
        <w:tc>
          <w:tcPr>
            <w:tcW w:w="688" w:type="dxa"/>
            <w:noWrap/>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jc w:val="center"/>
              <w:rPr>
                <w:rFonts w:ascii="Times New Roman" w:hAnsi="Times New Roman" w:eastAsia="仿宋_GB2312"/>
                <w:color w:val="000000"/>
                <w:sz w:val="18"/>
                <w:szCs w:val="18"/>
              </w:rPr>
            </w:pPr>
          </w:p>
        </w:tc>
        <w:tc>
          <w:tcPr>
            <w:tcW w:w="592" w:type="dxa"/>
            <w:vMerge w:val="continue"/>
            <w:noWrap/>
            <w:vAlign w:val="center"/>
          </w:tcPr>
          <w:p>
            <w:pPr>
              <w:spacing w:line="250" w:lineRule="exact"/>
              <w:jc w:val="center"/>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社会效益指标（10）</w:t>
            </w:r>
          </w:p>
        </w:tc>
        <w:tc>
          <w:tcPr>
            <w:tcW w:w="2120" w:type="dxa"/>
            <w:gridSpan w:val="2"/>
            <w:noWrap/>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color w:val="000000"/>
                <w:sz w:val="18"/>
                <w:szCs w:val="18"/>
              </w:rPr>
              <w:t>助力浏阳经济发展</w:t>
            </w:r>
          </w:p>
        </w:tc>
        <w:tc>
          <w:tcPr>
            <w:tcW w:w="119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服务于浏阳高质量发展大局</w:t>
            </w:r>
          </w:p>
        </w:tc>
        <w:tc>
          <w:tcPr>
            <w:tcW w:w="932"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测评结果好</w:t>
            </w:r>
          </w:p>
        </w:tc>
        <w:tc>
          <w:tcPr>
            <w:tcW w:w="688" w:type="dxa"/>
            <w:noWrap/>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jc w:val="center"/>
              <w:rPr>
                <w:rFonts w:ascii="Times New Roman" w:hAnsi="Times New Roman" w:eastAsia="仿宋_GB2312"/>
                <w:color w:val="000000"/>
                <w:sz w:val="18"/>
                <w:szCs w:val="18"/>
              </w:rPr>
            </w:pPr>
          </w:p>
        </w:tc>
        <w:tc>
          <w:tcPr>
            <w:tcW w:w="592" w:type="dxa"/>
            <w:vMerge w:val="continue"/>
            <w:noWrap/>
            <w:vAlign w:val="center"/>
          </w:tcPr>
          <w:p>
            <w:pPr>
              <w:spacing w:line="250" w:lineRule="exact"/>
              <w:jc w:val="center"/>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生态效益指标（7）</w:t>
            </w:r>
          </w:p>
        </w:tc>
        <w:tc>
          <w:tcPr>
            <w:tcW w:w="2120" w:type="dxa"/>
            <w:gridSpan w:val="2"/>
            <w:noWrap/>
            <w:tcMar>
              <w:top w:w="15" w:type="dxa"/>
              <w:left w:w="15" w:type="dxa"/>
              <w:bottom w:w="0" w:type="dxa"/>
              <w:right w:w="15" w:type="dxa"/>
            </w:tcMar>
            <w:vAlign w:val="center"/>
          </w:tcPr>
          <w:p>
            <w:pPr>
              <w:jc w:val="center"/>
              <w:rPr>
                <w:rFonts w:ascii="Times New Roman" w:hAnsi="Times New Roman" w:eastAsia="仿宋_GB2312"/>
                <w:sz w:val="18"/>
                <w:szCs w:val="18"/>
              </w:rPr>
            </w:pPr>
            <w:r>
              <w:rPr>
                <w:rFonts w:hint="eastAsia" w:ascii="Times New Roman" w:hAnsi="Times New Roman" w:eastAsia="仿宋_GB2312"/>
                <w:color w:val="000000"/>
                <w:sz w:val="18"/>
                <w:szCs w:val="18"/>
              </w:rPr>
              <w:t>耕地、矿山、生态保护修护</w:t>
            </w:r>
          </w:p>
        </w:tc>
        <w:tc>
          <w:tcPr>
            <w:tcW w:w="119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保护修护及时到位</w:t>
            </w:r>
          </w:p>
        </w:tc>
        <w:tc>
          <w:tcPr>
            <w:tcW w:w="932" w:type="dxa"/>
            <w:gridSpan w:val="2"/>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保护到位</w:t>
            </w:r>
          </w:p>
        </w:tc>
        <w:tc>
          <w:tcPr>
            <w:tcW w:w="688" w:type="dxa"/>
            <w:noWrap/>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7</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vAlign w:val="center"/>
          </w:tcPr>
          <w:p>
            <w:pPr>
              <w:spacing w:line="250" w:lineRule="exact"/>
              <w:jc w:val="center"/>
              <w:rPr>
                <w:rFonts w:ascii="Times New Roman" w:hAnsi="Times New Roman" w:eastAsia="仿宋_GB2312"/>
                <w:color w:val="000000"/>
                <w:sz w:val="18"/>
                <w:szCs w:val="18"/>
              </w:rPr>
            </w:pPr>
          </w:p>
        </w:tc>
        <w:tc>
          <w:tcPr>
            <w:tcW w:w="592" w:type="dxa"/>
            <w:vMerge w:val="continue"/>
            <w:noWrap/>
            <w:vAlign w:val="center"/>
          </w:tcPr>
          <w:p>
            <w:pPr>
              <w:spacing w:line="250" w:lineRule="exact"/>
              <w:jc w:val="center"/>
              <w:rPr>
                <w:rFonts w:ascii="Times New Roman" w:hAnsi="Times New Roman" w:eastAsia="仿宋_GB2312"/>
                <w:color w:val="000000"/>
                <w:sz w:val="18"/>
                <w:szCs w:val="18"/>
              </w:rPr>
            </w:pPr>
          </w:p>
        </w:tc>
        <w:tc>
          <w:tcPr>
            <w:tcW w:w="2160" w:type="dxa"/>
            <w:noWrap/>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可持续影响指标（8）</w:t>
            </w:r>
          </w:p>
        </w:tc>
        <w:tc>
          <w:tcPr>
            <w:tcW w:w="2120" w:type="dxa"/>
            <w:gridSpan w:val="2"/>
            <w:noWrap/>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color w:val="000000"/>
                <w:sz w:val="18"/>
                <w:szCs w:val="18"/>
              </w:rPr>
              <w:t>有效保护自然资源，促进可持续发展</w:t>
            </w:r>
          </w:p>
        </w:tc>
        <w:tc>
          <w:tcPr>
            <w:tcW w:w="119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发挥自然资源长久效用</w:t>
            </w:r>
          </w:p>
        </w:tc>
        <w:tc>
          <w:tcPr>
            <w:tcW w:w="932" w:type="dxa"/>
            <w:gridSpan w:val="2"/>
            <w:noWrap/>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效用发挥到位</w:t>
            </w:r>
          </w:p>
        </w:tc>
        <w:tc>
          <w:tcPr>
            <w:tcW w:w="688" w:type="dxa"/>
            <w:noWrap/>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8</w:t>
            </w:r>
          </w:p>
        </w:tc>
        <w:tc>
          <w:tcPr>
            <w:tcW w:w="984" w:type="dxa"/>
            <w:noWrap/>
            <w:vAlign w:val="center"/>
          </w:tcPr>
          <w:p>
            <w:pPr>
              <w:spacing w:line="250" w:lineRule="exact"/>
              <w:jc w:val="center"/>
              <w:rPr>
                <w:rFonts w:ascii="Times New Roman" w:hAnsi="Times New Roman"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1097" w:type="dxa"/>
            <w:vMerge w:val="continue"/>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592" w:type="dxa"/>
            <w:vMerge w:val="continue"/>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c>
          <w:tcPr>
            <w:tcW w:w="2160"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满意度指标（10）</w:t>
            </w:r>
          </w:p>
        </w:tc>
        <w:tc>
          <w:tcPr>
            <w:tcW w:w="2120" w:type="dxa"/>
            <w:gridSpan w:val="2"/>
            <w:noWrap/>
            <w:tcMar>
              <w:top w:w="15" w:type="dxa"/>
              <w:left w:w="15" w:type="dxa"/>
              <w:bottom w:w="0" w:type="dxa"/>
              <w:right w:w="15" w:type="dxa"/>
            </w:tcMar>
            <w:vAlign w:val="center"/>
          </w:tcPr>
          <w:p>
            <w:pPr>
              <w:jc w:val="center"/>
              <w:rPr>
                <w:rFonts w:ascii="Times New Roman" w:hAnsi="Times New Roman" w:eastAsia="仿宋_GB2312"/>
              </w:rPr>
            </w:pPr>
            <w:r>
              <w:rPr>
                <w:rFonts w:hint="eastAsia" w:ascii="Times New Roman" w:hAnsi="Times New Roman" w:eastAsia="仿宋_GB2312"/>
                <w:color w:val="000000"/>
                <w:sz w:val="18"/>
                <w:szCs w:val="18"/>
              </w:rPr>
              <w:t>提升服务对象满意度</w:t>
            </w:r>
          </w:p>
        </w:tc>
        <w:tc>
          <w:tcPr>
            <w:tcW w:w="119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r>
              <w:rPr>
                <w:rFonts w:hint="eastAsia" w:ascii="Times New Roman" w:hAnsi="Times New Roman" w:eastAsia="仿宋_GB2312"/>
                <w:color w:val="000000"/>
                <w:sz w:val="18"/>
                <w:szCs w:val="18"/>
              </w:rPr>
              <w:t>满意度≥95%</w:t>
            </w:r>
          </w:p>
        </w:tc>
        <w:tc>
          <w:tcPr>
            <w:tcW w:w="932" w:type="dxa"/>
            <w:gridSpan w:val="2"/>
            <w:noWrap/>
            <w:tcMar>
              <w:top w:w="15" w:type="dxa"/>
              <w:left w:w="15" w:type="dxa"/>
              <w:bottom w:w="0" w:type="dxa"/>
              <w:right w:w="15" w:type="dxa"/>
            </w:tcMar>
            <w:vAlign w:val="center"/>
          </w:tcPr>
          <w:p>
            <w:pPr>
              <w:spacing w:line="250" w:lineRule="exac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满意度≥95%</w:t>
            </w:r>
          </w:p>
        </w:tc>
        <w:tc>
          <w:tcPr>
            <w:tcW w:w="688" w:type="dxa"/>
            <w:noWrap/>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10</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trPr>
        <w:tc>
          <w:tcPr>
            <w:tcW w:w="3849" w:type="dxa"/>
            <w:gridSpan w:val="3"/>
            <w:noWrap/>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总  分</w:t>
            </w:r>
          </w:p>
        </w:tc>
        <w:tc>
          <w:tcPr>
            <w:tcW w:w="4246" w:type="dxa"/>
            <w:gridSpan w:val="5"/>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100</w:t>
            </w:r>
          </w:p>
        </w:tc>
        <w:tc>
          <w:tcPr>
            <w:tcW w:w="688" w:type="dxa"/>
            <w:noWrap/>
            <w:vAlign w:val="center"/>
          </w:tcPr>
          <w:p>
            <w:pPr>
              <w:spacing w:line="250" w:lineRule="exact"/>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97</w:t>
            </w:r>
          </w:p>
        </w:tc>
        <w:tc>
          <w:tcPr>
            <w:tcW w:w="984" w:type="dxa"/>
            <w:noWrap/>
            <w:tcMar>
              <w:top w:w="15" w:type="dxa"/>
              <w:left w:w="15" w:type="dxa"/>
              <w:bottom w:w="0" w:type="dxa"/>
              <w:right w:w="15" w:type="dxa"/>
            </w:tcMar>
            <w:vAlign w:val="center"/>
          </w:tcPr>
          <w:p>
            <w:pPr>
              <w:spacing w:line="250" w:lineRule="exact"/>
              <w:jc w:val="center"/>
              <w:rPr>
                <w:rFonts w:ascii="Times New Roman" w:hAnsi="Times New Roman" w:eastAsia="仿宋_GB2312"/>
                <w:color w:val="000000"/>
                <w:sz w:val="18"/>
                <w:szCs w:val="18"/>
              </w:rPr>
            </w:pPr>
          </w:p>
        </w:tc>
      </w:tr>
    </w:tbl>
    <w:p>
      <w:pPr>
        <w:spacing w:line="400" w:lineRule="exact"/>
        <w:rPr>
          <w:rFonts w:ascii="Times New Roman" w:hAnsi="Times New Roman" w:eastAsia="楷体_GB2312"/>
          <w:kern w:val="0"/>
          <w:sz w:val="18"/>
          <w:szCs w:val="18"/>
        </w:rPr>
      </w:pPr>
    </w:p>
    <w:p>
      <w:pPr>
        <w:spacing w:line="576" w:lineRule="exact"/>
        <w:rPr>
          <w:rFonts w:ascii="Times New Roman" w:hAnsi="Times New Roman" w:eastAsia="仿宋_GB2312"/>
          <w:color w:val="000000"/>
          <w:kern w:val="0"/>
        </w:rPr>
      </w:pPr>
      <w:r>
        <w:rPr>
          <w:rFonts w:ascii="Times New Roman" w:hAnsi="Times New Roman" w:eastAsia="黑体"/>
          <w:kern w:val="0"/>
          <w:sz w:val="32"/>
          <w:szCs w:val="32"/>
        </w:rPr>
        <w:br w:type="page"/>
      </w:r>
      <w:r>
        <w:rPr>
          <w:rFonts w:ascii="Times New Roman" w:hAnsi="Times New Roman" w:eastAsia="黑体"/>
          <w:sz w:val="32"/>
          <w:szCs w:val="32"/>
        </w:rPr>
        <w:t>附件4</w:t>
      </w:r>
      <w:r>
        <w:rPr>
          <w:rFonts w:hint="eastAsia" w:ascii="Times New Roman" w:hAnsi="Times New Roman" w:eastAsia="黑体"/>
          <w:sz w:val="32"/>
          <w:szCs w:val="32"/>
        </w:rPr>
        <w:t>-1</w:t>
      </w:r>
    </w:p>
    <w:p>
      <w:pPr>
        <w:adjustRightInd w:val="0"/>
        <w:snapToGrid w:val="0"/>
        <w:spacing w:line="48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202</w:t>
      </w:r>
      <w:r>
        <w:rPr>
          <w:rFonts w:hint="eastAsia" w:ascii="Times New Roman" w:hAnsi="Times New Roman" w:eastAsia="方正小标宋简体"/>
          <w:color w:val="000000"/>
          <w:kern w:val="0"/>
          <w:sz w:val="44"/>
          <w:szCs w:val="44"/>
        </w:rPr>
        <w:t>1</w:t>
      </w:r>
      <w:r>
        <w:rPr>
          <w:rFonts w:ascii="Times New Roman" w:hAnsi="Times New Roman" w:eastAsia="方正小标宋简体"/>
          <w:color w:val="000000"/>
          <w:kern w:val="0"/>
          <w:sz w:val="44"/>
          <w:szCs w:val="44"/>
        </w:rPr>
        <w:t>年项目支出绩效自评表</w:t>
      </w:r>
    </w:p>
    <w:tbl>
      <w:tblPr>
        <w:tblStyle w:val="5"/>
        <w:tblW w:w="10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966"/>
        <w:gridCol w:w="1021"/>
        <w:gridCol w:w="2071"/>
        <w:gridCol w:w="1559"/>
        <w:gridCol w:w="837"/>
        <w:gridCol w:w="542"/>
        <w:gridCol w:w="82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68"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项目支</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出名称</w:t>
            </w:r>
          </w:p>
        </w:tc>
        <w:tc>
          <w:tcPr>
            <w:tcW w:w="9536" w:type="dxa"/>
            <w:gridSpan w:val="8"/>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国土空间总体规划编制项目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68"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主管</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部门</w:t>
            </w:r>
          </w:p>
        </w:tc>
        <w:tc>
          <w:tcPr>
            <w:tcW w:w="5617" w:type="dxa"/>
            <w:gridSpan w:val="4"/>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r>
              <w:rPr>
                <w:rFonts w:hint="eastAsia" w:ascii="Times New Roman" w:hAnsi="Times New Roman" w:eastAsia="仿宋_GB2312"/>
                <w:color w:val="000000"/>
                <w:kern w:val="0"/>
              </w:rPr>
              <w:t xml:space="preserve">         浏阳市自然资源局</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实施单位</w:t>
            </w:r>
          </w:p>
        </w:tc>
        <w:tc>
          <w:tcPr>
            <w:tcW w:w="3082" w:type="dxa"/>
            <w:gridSpan w:val="3"/>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浏阳市自然资源局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项目</w:t>
            </w:r>
          </w:p>
          <w:p>
            <w:pPr>
              <w:widowControl/>
              <w:spacing w:line="240" w:lineRule="exact"/>
              <w:jc w:val="center"/>
              <w:rPr>
                <w:rFonts w:hint="eastAsia" w:ascii="Times New Roman" w:hAnsi="Times New Roman" w:eastAsia="仿宋_GB2312"/>
                <w:color w:val="000000"/>
                <w:kern w:val="0"/>
                <w:lang w:eastAsia="zh-CN"/>
              </w:rPr>
            </w:pPr>
            <w:r>
              <w:rPr>
                <w:rFonts w:ascii="Times New Roman" w:hAnsi="Times New Roman" w:eastAsia="仿宋_GB2312"/>
                <w:color w:val="000000"/>
                <w:kern w:val="0"/>
              </w:rPr>
              <w:t>资金</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（万元）</w:t>
            </w:r>
          </w:p>
        </w:tc>
        <w:tc>
          <w:tcPr>
            <w:tcW w:w="1987" w:type="dxa"/>
            <w:gridSpan w:val="2"/>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207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年初</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预算数</w:t>
            </w:r>
          </w:p>
        </w:tc>
        <w:tc>
          <w:tcPr>
            <w:tcW w:w="15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全年</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预算数</w:t>
            </w:r>
          </w:p>
        </w:tc>
        <w:tc>
          <w:tcPr>
            <w:tcW w:w="837"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全年</w:t>
            </w:r>
          </w:p>
          <w:p>
            <w:pPr>
              <w:spacing w:line="240" w:lineRule="exact"/>
              <w:jc w:val="center"/>
              <w:rPr>
                <w:rFonts w:ascii="Times New Roman" w:hAnsi="Times New Roman" w:eastAsia="仿宋_GB2312"/>
              </w:rPr>
            </w:pPr>
            <w:r>
              <w:rPr>
                <w:rFonts w:ascii="Times New Roman" w:hAnsi="Times New Roman" w:eastAsia="仿宋_GB2312"/>
              </w:rPr>
              <w:t>执行数</w:t>
            </w:r>
          </w:p>
        </w:tc>
        <w:tc>
          <w:tcPr>
            <w:tcW w:w="542"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分值</w:t>
            </w:r>
          </w:p>
        </w:tc>
        <w:tc>
          <w:tcPr>
            <w:tcW w:w="825"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执行率</w:t>
            </w:r>
          </w:p>
        </w:tc>
        <w:tc>
          <w:tcPr>
            <w:tcW w:w="1715"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1987" w:type="dxa"/>
            <w:gridSpan w:val="2"/>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年度资金总额　</w:t>
            </w:r>
          </w:p>
        </w:tc>
        <w:tc>
          <w:tcPr>
            <w:tcW w:w="2071"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3110.7</w:t>
            </w:r>
          </w:p>
        </w:tc>
        <w:tc>
          <w:tcPr>
            <w:tcW w:w="15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3110.7</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1076.5</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10</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97%</w:t>
            </w:r>
          </w:p>
        </w:tc>
        <w:tc>
          <w:tcPr>
            <w:tcW w:w="17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1987" w:type="dxa"/>
            <w:gridSpan w:val="2"/>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其中：当年财政拨款　</w:t>
            </w:r>
          </w:p>
        </w:tc>
        <w:tc>
          <w:tcPr>
            <w:tcW w:w="2071"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3110.7</w:t>
            </w:r>
          </w:p>
        </w:tc>
        <w:tc>
          <w:tcPr>
            <w:tcW w:w="15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3110.7</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1076.5</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p>
        </w:tc>
        <w:tc>
          <w:tcPr>
            <w:tcW w:w="1715"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1987" w:type="dxa"/>
            <w:gridSpan w:val="2"/>
            <w:shd w:val="clear" w:color="auto" w:fill="auto"/>
            <w:vAlign w:val="center"/>
          </w:tcPr>
          <w:p>
            <w:pPr>
              <w:widowControl/>
              <w:spacing w:line="240" w:lineRule="exact"/>
              <w:ind w:firstLine="630" w:firstLineChars="300"/>
              <w:jc w:val="left"/>
              <w:rPr>
                <w:rFonts w:ascii="Times New Roman" w:hAnsi="Times New Roman" w:eastAsia="仿宋_GB2312"/>
                <w:color w:val="000000"/>
                <w:kern w:val="0"/>
              </w:rPr>
            </w:pPr>
            <w:r>
              <w:rPr>
                <w:rFonts w:ascii="Times New Roman" w:hAnsi="Times New Roman" w:eastAsia="仿宋_GB2312"/>
                <w:color w:val="000000"/>
                <w:kern w:val="0"/>
              </w:rPr>
              <w:t>上年结转资金　</w:t>
            </w:r>
          </w:p>
        </w:tc>
        <w:tc>
          <w:tcPr>
            <w:tcW w:w="2071"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559" w:type="dxa"/>
            <w:shd w:val="clear" w:color="auto" w:fill="auto"/>
            <w:vAlign w:val="center"/>
          </w:tcPr>
          <w:p>
            <w:pPr>
              <w:widowControl/>
              <w:spacing w:line="240" w:lineRule="exact"/>
              <w:jc w:val="center"/>
              <w:rPr>
                <w:rFonts w:ascii="Times New Roman" w:hAnsi="Times New Roman" w:eastAsia="仿宋_GB2312"/>
                <w:color w:val="000000"/>
                <w:kern w:val="0"/>
              </w:rPr>
            </w:pPr>
          </w:p>
        </w:tc>
        <w:tc>
          <w:tcPr>
            <w:tcW w:w="837"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542"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825"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715"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年度总体目标</w:t>
            </w:r>
          </w:p>
        </w:tc>
        <w:tc>
          <w:tcPr>
            <w:tcW w:w="5617"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预期目标</w:t>
            </w:r>
          </w:p>
        </w:tc>
        <w:tc>
          <w:tcPr>
            <w:tcW w:w="3919"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68"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5617"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r>
              <w:rPr>
                <w:rFonts w:hint="eastAsia" w:ascii="Times New Roman" w:hAnsi="Times New Roman" w:eastAsia="仿宋_GB2312"/>
                <w:color w:val="000000"/>
                <w:kern w:val="0"/>
              </w:rPr>
              <w:t>编制浏阳市国土空间总体规划；编制浏阳市镇、村国土空间规划；建设浏阳市国土空间规划信息平台，按照省、市工作要求，提交相关阶段成果。</w:t>
            </w:r>
          </w:p>
        </w:tc>
        <w:tc>
          <w:tcPr>
            <w:tcW w:w="3919"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完成100%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68"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绩</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指</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标</w:t>
            </w:r>
          </w:p>
        </w:tc>
        <w:tc>
          <w:tcPr>
            <w:tcW w:w="96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一级指标</w:t>
            </w:r>
          </w:p>
        </w:tc>
        <w:tc>
          <w:tcPr>
            <w:tcW w:w="102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二级指标</w:t>
            </w:r>
          </w:p>
        </w:tc>
        <w:tc>
          <w:tcPr>
            <w:tcW w:w="207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三级指标</w:t>
            </w:r>
          </w:p>
        </w:tc>
        <w:tc>
          <w:tcPr>
            <w:tcW w:w="15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年度</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指标值</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实际</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完成值</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分值</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得分</w:t>
            </w:r>
          </w:p>
        </w:tc>
        <w:tc>
          <w:tcPr>
            <w:tcW w:w="17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偏差原因</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分析及</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66"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产出指标</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(50分)</w:t>
            </w:r>
          </w:p>
        </w:tc>
        <w:tc>
          <w:tcPr>
            <w:tcW w:w="102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数量指标（15）</w:t>
            </w:r>
          </w:p>
        </w:tc>
        <w:tc>
          <w:tcPr>
            <w:tcW w:w="2071"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市级规划成果1个，乡镇规划成果24个、村规划成果263个</w:t>
            </w:r>
          </w:p>
        </w:tc>
        <w:tc>
          <w:tcPr>
            <w:tcW w:w="15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15</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15</w:t>
            </w:r>
          </w:p>
        </w:tc>
        <w:tc>
          <w:tcPr>
            <w:tcW w:w="1715"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6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102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质量指标（20）</w:t>
            </w:r>
          </w:p>
        </w:tc>
        <w:tc>
          <w:tcPr>
            <w:tcW w:w="2071"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建立国土空间规划体系并监督实施</w:t>
            </w:r>
          </w:p>
        </w:tc>
        <w:tc>
          <w:tcPr>
            <w:tcW w:w="15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20</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20</w:t>
            </w:r>
          </w:p>
        </w:tc>
        <w:tc>
          <w:tcPr>
            <w:tcW w:w="1715"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6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102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时效指标（5）</w:t>
            </w:r>
          </w:p>
        </w:tc>
        <w:tc>
          <w:tcPr>
            <w:tcW w:w="2071"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2021年1月1日至12月31日</w:t>
            </w:r>
          </w:p>
        </w:tc>
        <w:tc>
          <w:tcPr>
            <w:tcW w:w="15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1年</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1715"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6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102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成本指标（10）</w:t>
            </w:r>
          </w:p>
        </w:tc>
        <w:tc>
          <w:tcPr>
            <w:tcW w:w="2071"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空间规划编制项目需要的工作经费</w:t>
            </w:r>
          </w:p>
        </w:tc>
        <w:tc>
          <w:tcPr>
            <w:tcW w:w="1559"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3110.7</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w:t>
            </w:r>
          </w:p>
        </w:tc>
        <w:tc>
          <w:tcPr>
            <w:tcW w:w="17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未达到合同付款期限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66" w:type="dxa"/>
            <w:vMerge w:val="restart"/>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效益指标</w:t>
            </w:r>
          </w:p>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（40分）</w:t>
            </w:r>
          </w:p>
        </w:tc>
        <w:tc>
          <w:tcPr>
            <w:tcW w:w="102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经济效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2071"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全面提升国土空间治理体系和治理能力现代化水平</w:t>
            </w:r>
          </w:p>
        </w:tc>
        <w:tc>
          <w:tcPr>
            <w:tcW w:w="1559"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效果显著</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715"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68"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6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102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社会效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2071"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优化国土空间功能和布局，提升人居环境品质</w:t>
            </w:r>
          </w:p>
        </w:tc>
        <w:tc>
          <w:tcPr>
            <w:tcW w:w="1559"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效果显著</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715" w:type="dxa"/>
            <w:shd w:val="clear" w:color="auto" w:fill="auto"/>
            <w:vAlign w:val="center"/>
          </w:tcPr>
          <w:p>
            <w:pPr>
              <w:widowControl/>
              <w:spacing w:line="240" w:lineRule="exact"/>
              <w:jc w:val="center"/>
              <w:rPr>
                <w:rFonts w:ascii="Times New Roman" w:hAnsi="Times New Roman"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6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102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生态效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2071"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在资源环境承载能力和国土空间开发适宜性评价基础上，落实三条控制线管控要求</w:t>
            </w:r>
          </w:p>
        </w:tc>
        <w:tc>
          <w:tcPr>
            <w:tcW w:w="1559"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效果显著</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715" w:type="dxa"/>
            <w:shd w:val="clear" w:color="auto" w:fill="auto"/>
            <w:vAlign w:val="center"/>
          </w:tcPr>
          <w:p>
            <w:pPr>
              <w:widowControl/>
              <w:spacing w:line="240" w:lineRule="exact"/>
              <w:jc w:val="center"/>
              <w:rPr>
                <w:rFonts w:ascii="Times New Roman" w:hAnsi="Times New Roman"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66"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102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可持续影响指标（10）</w:t>
            </w:r>
          </w:p>
        </w:tc>
        <w:tc>
          <w:tcPr>
            <w:tcW w:w="2071"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建立全市统一、责权清晰、科学高效的国土空间规划体系</w:t>
            </w:r>
          </w:p>
          <w:p>
            <w:pPr>
              <w:widowControl/>
              <w:spacing w:line="240" w:lineRule="exact"/>
              <w:jc w:val="left"/>
              <w:rPr>
                <w:rFonts w:ascii="Times New Roman" w:hAnsi="Times New Roman" w:eastAsia="仿宋_GB2312"/>
                <w:color w:val="000000"/>
                <w:kern w:val="0"/>
              </w:rPr>
            </w:pPr>
          </w:p>
        </w:tc>
        <w:tc>
          <w:tcPr>
            <w:tcW w:w="1559"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100%</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715" w:type="dxa"/>
            <w:shd w:val="clear" w:color="auto" w:fill="auto"/>
            <w:vAlign w:val="center"/>
          </w:tcPr>
          <w:p>
            <w:pPr>
              <w:widowControl/>
              <w:spacing w:line="240" w:lineRule="exact"/>
              <w:jc w:val="left"/>
              <w:rPr>
                <w:rFonts w:ascii="Times New Roman" w:hAnsi="Times New Roman" w:eastAsia="仿宋_GB2312"/>
                <w:kern w:val="0"/>
              </w:rPr>
            </w:pPr>
            <w:r>
              <w:rPr>
                <w:rFonts w:ascii="Times New Roman" w:hAnsi="Times New Roman" w:eastAsia="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8"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66"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102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服务对象满意度指标（10）</w:t>
            </w:r>
          </w:p>
        </w:tc>
        <w:tc>
          <w:tcPr>
            <w:tcW w:w="2071"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提升群众满意度</w:t>
            </w:r>
          </w:p>
        </w:tc>
        <w:tc>
          <w:tcPr>
            <w:tcW w:w="1559"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满意度达99%</w:t>
            </w:r>
            <w:r>
              <w:rPr>
                <w:rFonts w:ascii="Times New Roman" w:hAnsi="Times New Roman" w:eastAsia="仿宋_GB2312"/>
                <w:color w:val="000000"/>
                <w:kern w:val="0"/>
              </w:rPr>
              <w:t>　</w:t>
            </w:r>
          </w:p>
        </w:tc>
        <w:tc>
          <w:tcPr>
            <w:tcW w:w="837"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95%以上</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w:t>
            </w:r>
          </w:p>
        </w:tc>
        <w:tc>
          <w:tcPr>
            <w:tcW w:w="1715" w:type="dxa"/>
            <w:shd w:val="clear" w:color="auto" w:fill="auto"/>
            <w:vAlign w:val="center"/>
          </w:tcPr>
          <w:p>
            <w:pPr>
              <w:widowControl/>
              <w:spacing w:line="240" w:lineRule="exact"/>
              <w:jc w:val="left"/>
              <w:rPr>
                <w:rFonts w:ascii="Times New Roman" w:hAnsi="Times New Roman" w:eastAsia="仿宋_GB2312"/>
                <w:kern w:val="0"/>
              </w:rPr>
            </w:pPr>
            <w:r>
              <w:rPr>
                <w:rFonts w:hint="eastAsia" w:ascii="Times New Roman" w:hAnsi="Times New Roman" w:eastAsia="仿宋_GB2312"/>
                <w:kern w:val="0"/>
              </w:rPr>
              <w:t>原因：群众对空间规划知识理解不够措施：加强知识宣讲及业务培训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22" w:type="dxa"/>
            <w:gridSpan w:val="6"/>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总分</w:t>
            </w:r>
          </w:p>
        </w:tc>
        <w:tc>
          <w:tcPr>
            <w:tcW w:w="542"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825"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98</w:t>
            </w:r>
          </w:p>
        </w:tc>
        <w:tc>
          <w:tcPr>
            <w:tcW w:w="1715"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bl>
    <w:p>
      <w:pPr>
        <w:widowControl/>
        <w:spacing w:line="480" w:lineRule="exact"/>
        <w:jc w:val="left"/>
        <w:rPr>
          <w:rFonts w:ascii="Times New Roman" w:hAnsi="Times New Roman" w:eastAsia="黑体"/>
          <w:sz w:val="32"/>
          <w:szCs w:val="32"/>
        </w:rPr>
      </w:pPr>
      <w:r>
        <w:rPr>
          <w:rFonts w:ascii="Times New Roman" w:hAnsi="Times New Roman" w:eastAsia="黑体"/>
          <w:sz w:val="32"/>
          <w:szCs w:val="32"/>
        </w:rPr>
        <w:t>附件4</w:t>
      </w:r>
      <w:r>
        <w:rPr>
          <w:rFonts w:hint="eastAsia" w:ascii="Times New Roman" w:hAnsi="Times New Roman" w:eastAsia="黑体"/>
          <w:sz w:val="32"/>
          <w:szCs w:val="32"/>
        </w:rPr>
        <w:t>-2</w:t>
      </w:r>
    </w:p>
    <w:p>
      <w:pPr>
        <w:adjustRightInd w:val="0"/>
        <w:snapToGrid w:val="0"/>
        <w:spacing w:line="48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202</w:t>
      </w:r>
      <w:r>
        <w:rPr>
          <w:rFonts w:hint="eastAsia" w:ascii="Times New Roman" w:hAnsi="Times New Roman" w:eastAsia="方正小标宋简体"/>
          <w:color w:val="000000"/>
          <w:kern w:val="0"/>
          <w:sz w:val="44"/>
          <w:szCs w:val="44"/>
        </w:rPr>
        <w:t>1</w:t>
      </w:r>
      <w:r>
        <w:rPr>
          <w:rFonts w:ascii="Times New Roman" w:hAnsi="Times New Roman" w:eastAsia="方正小标宋简体"/>
          <w:color w:val="000000"/>
          <w:kern w:val="0"/>
          <w:sz w:val="44"/>
          <w:szCs w:val="44"/>
        </w:rPr>
        <w:t>年项目支出绩效自评表</w:t>
      </w:r>
    </w:p>
    <w:tbl>
      <w:tblPr>
        <w:tblStyle w:val="5"/>
        <w:tblW w:w="10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954"/>
        <w:gridCol w:w="1015"/>
        <w:gridCol w:w="2243"/>
        <w:gridCol w:w="1576"/>
        <w:gridCol w:w="706"/>
        <w:gridCol w:w="656"/>
        <w:gridCol w:w="70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项目支</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出名称</w:t>
            </w:r>
          </w:p>
        </w:tc>
        <w:tc>
          <w:tcPr>
            <w:tcW w:w="9187" w:type="dxa"/>
            <w:gridSpan w:val="8"/>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bCs/>
                <w:color w:val="000000"/>
                <w:kern w:val="0"/>
              </w:rPr>
              <w:t>违法用地和矿山及耕地保护项目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主管</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部门</w:t>
            </w:r>
          </w:p>
        </w:tc>
        <w:tc>
          <w:tcPr>
            <w:tcW w:w="5788" w:type="dxa"/>
            <w:gridSpan w:val="4"/>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r>
              <w:rPr>
                <w:rFonts w:hint="eastAsia" w:ascii="Times New Roman" w:hAnsi="Times New Roman" w:eastAsia="仿宋_GB2312"/>
                <w:color w:val="000000"/>
                <w:kern w:val="0"/>
              </w:rPr>
              <w:t xml:space="preserve">         浏阳市自然资源局</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实施单位</w:t>
            </w:r>
          </w:p>
        </w:tc>
        <w:tc>
          <w:tcPr>
            <w:tcW w:w="2693" w:type="dxa"/>
            <w:gridSpan w:val="3"/>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浏阳市自然资源局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6"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项目</w:t>
            </w:r>
          </w:p>
          <w:p>
            <w:pPr>
              <w:widowControl/>
              <w:spacing w:line="240" w:lineRule="exact"/>
              <w:jc w:val="center"/>
              <w:rPr>
                <w:rFonts w:hint="eastAsia" w:ascii="Times New Roman" w:hAnsi="Times New Roman" w:eastAsia="仿宋_GB2312"/>
                <w:color w:val="000000"/>
                <w:kern w:val="0"/>
                <w:lang w:eastAsia="zh-CN"/>
              </w:rPr>
            </w:pPr>
            <w:r>
              <w:rPr>
                <w:rFonts w:ascii="Times New Roman" w:hAnsi="Times New Roman" w:eastAsia="仿宋_GB2312"/>
                <w:color w:val="000000"/>
                <w:kern w:val="0"/>
              </w:rPr>
              <w:t>资金</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（万元）</w:t>
            </w:r>
          </w:p>
        </w:tc>
        <w:tc>
          <w:tcPr>
            <w:tcW w:w="1969" w:type="dxa"/>
            <w:gridSpan w:val="2"/>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2243"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年初</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预算数</w:t>
            </w:r>
          </w:p>
        </w:tc>
        <w:tc>
          <w:tcPr>
            <w:tcW w:w="157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全年</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预算数</w:t>
            </w:r>
          </w:p>
        </w:tc>
        <w:tc>
          <w:tcPr>
            <w:tcW w:w="706"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全年</w:t>
            </w:r>
          </w:p>
          <w:p>
            <w:pPr>
              <w:spacing w:line="240" w:lineRule="exact"/>
              <w:jc w:val="center"/>
              <w:rPr>
                <w:rFonts w:ascii="Times New Roman" w:hAnsi="Times New Roman" w:eastAsia="仿宋_GB2312"/>
              </w:rPr>
            </w:pPr>
            <w:r>
              <w:rPr>
                <w:rFonts w:ascii="Times New Roman" w:hAnsi="Times New Roman" w:eastAsia="仿宋_GB2312"/>
              </w:rPr>
              <w:t>执行数</w:t>
            </w:r>
          </w:p>
        </w:tc>
        <w:tc>
          <w:tcPr>
            <w:tcW w:w="656"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分值</w:t>
            </w:r>
          </w:p>
        </w:tc>
        <w:tc>
          <w:tcPr>
            <w:tcW w:w="706"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执行率</w:t>
            </w:r>
          </w:p>
        </w:tc>
        <w:tc>
          <w:tcPr>
            <w:tcW w:w="1331" w:type="dxa"/>
            <w:shd w:val="clear" w:color="auto" w:fill="auto"/>
            <w:vAlign w:val="center"/>
          </w:tcPr>
          <w:p>
            <w:pPr>
              <w:spacing w:line="240" w:lineRule="exact"/>
              <w:jc w:val="center"/>
              <w:rPr>
                <w:rFonts w:ascii="Times New Roman" w:hAnsi="Times New Roman" w:eastAsia="仿宋_GB2312"/>
              </w:rPr>
            </w:pPr>
            <w:r>
              <w:rPr>
                <w:rFonts w:ascii="Times New Roman" w:hAnsi="Times New Roman"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6"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1969" w:type="dxa"/>
            <w:gridSpan w:val="2"/>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年度资金总额　</w:t>
            </w:r>
          </w:p>
        </w:tc>
        <w:tc>
          <w:tcPr>
            <w:tcW w:w="2243"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1660</w:t>
            </w:r>
          </w:p>
        </w:tc>
        <w:tc>
          <w:tcPr>
            <w:tcW w:w="157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1660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1404</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10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98</w:t>
            </w: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6"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1969" w:type="dxa"/>
            <w:gridSpan w:val="2"/>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其中：当年财政拨款　</w:t>
            </w:r>
          </w:p>
        </w:tc>
        <w:tc>
          <w:tcPr>
            <w:tcW w:w="2243"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1660</w:t>
            </w:r>
          </w:p>
        </w:tc>
        <w:tc>
          <w:tcPr>
            <w:tcW w:w="157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1660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1404</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6"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1969" w:type="dxa"/>
            <w:gridSpan w:val="2"/>
            <w:shd w:val="clear" w:color="auto" w:fill="auto"/>
            <w:vAlign w:val="center"/>
          </w:tcPr>
          <w:p>
            <w:pPr>
              <w:widowControl/>
              <w:spacing w:line="240" w:lineRule="exact"/>
              <w:ind w:firstLine="630" w:firstLineChars="300"/>
              <w:jc w:val="left"/>
              <w:rPr>
                <w:rFonts w:ascii="Times New Roman" w:hAnsi="Times New Roman" w:eastAsia="仿宋_GB2312"/>
                <w:color w:val="000000"/>
                <w:kern w:val="0"/>
              </w:rPr>
            </w:pPr>
            <w:r>
              <w:rPr>
                <w:rFonts w:ascii="Times New Roman" w:hAnsi="Times New Roman" w:eastAsia="仿宋_GB2312"/>
                <w:color w:val="000000"/>
                <w:kern w:val="0"/>
              </w:rPr>
              <w:t>上年结转资金　</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06"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656"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06"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331"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6"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1969" w:type="dxa"/>
            <w:gridSpan w:val="2"/>
            <w:shd w:val="clear" w:color="auto" w:fill="auto"/>
            <w:vAlign w:val="center"/>
          </w:tcPr>
          <w:p>
            <w:pPr>
              <w:widowControl/>
              <w:spacing w:line="240" w:lineRule="exact"/>
              <w:ind w:firstLine="630" w:firstLineChars="300"/>
              <w:jc w:val="left"/>
              <w:rPr>
                <w:rFonts w:ascii="Times New Roman" w:hAnsi="Times New Roman" w:eastAsia="仿宋_GB2312"/>
                <w:color w:val="000000"/>
                <w:kern w:val="0"/>
              </w:rPr>
            </w:pPr>
            <w:r>
              <w:rPr>
                <w:rFonts w:ascii="Times New Roman" w:hAnsi="Times New Roman" w:eastAsia="仿宋_GB2312"/>
                <w:color w:val="000000"/>
                <w:kern w:val="0"/>
              </w:rPr>
              <w:t>其他资金</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06"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656"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06"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331"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6"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年度总体目标</w:t>
            </w:r>
          </w:p>
        </w:tc>
        <w:tc>
          <w:tcPr>
            <w:tcW w:w="5788"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预期目标</w:t>
            </w:r>
          </w:p>
        </w:tc>
        <w:tc>
          <w:tcPr>
            <w:tcW w:w="3399"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56"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5788"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r>
              <w:rPr>
                <w:rFonts w:hint="eastAsia" w:ascii="Times New Roman" w:hAnsi="Times New Roman" w:eastAsia="仿宋_GB2312"/>
                <w:color w:val="000000"/>
                <w:kern w:val="0"/>
              </w:rPr>
              <w:t>矿山的可持续开采利用，合理开发矿山，经济与生态效益并重</w:t>
            </w:r>
          </w:p>
        </w:tc>
        <w:tc>
          <w:tcPr>
            <w:tcW w:w="3399" w:type="dxa"/>
            <w:gridSpan w:val="4"/>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完成100%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56"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绩</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指</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标</w:t>
            </w:r>
          </w:p>
        </w:tc>
        <w:tc>
          <w:tcPr>
            <w:tcW w:w="954"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一级指标</w:t>
            </w:r>
          </w:p>
        </w:tc>
        <w:tc>
          <w:tcPr>
            <w:tcW w:w="10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二级指标</w:t>
            </w:r>
          </w:p>
        </w:tc>
        <w:tc>
          <w:tcPr>
            <w:tcW w:w="2243"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三级指标</w:t>
            </w:r>
          </w:p>
        </w:tc>
        <w:tc>
          <w:tcPr>
            <w:tcW w:w="157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年度</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指标值</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实际</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完成值</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分值</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得分</w:t>
            </w: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偏差原因</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分析及</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5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54" w:type="dxa"/>
            <w:vMerge w:val="restart"/>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产出指标</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(50分)</w:t>
            </w:r>
          </w:p>
        </w:tc>
        <w:tc>
          <w:tcPr>
            <w:tcW w:w="10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数量指标（15）</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做好节约集约用地宣传及有效控制过5000次，绿色矿山保护</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保护浏阳的耕地、矿山资源，打击违法用地行为</w:t>
            </w:r>
            <w:r>
              <w:rPr>
                <w:rFonts w:ascii="Times New Roman" w:hAnsi="Times New Roman" w:eastAsia="仿宋_GB2312"/>
                <w:color w:val="000000"/>
                <w:kern w:val="0"/>
              </w:rPr>
              <w:t>　</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15</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15</w:t>
            </w: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54"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10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质量指标（20）</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做到合法整治及保护</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打击矿山企业的违法开采行为、违法用地行为</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20</w:t>
            </w: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54"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10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时效指标（5）</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2021年1月1日至12月31日</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1年</w:t>
            </w:r>
            <w:r>
              <w:rPr>
                <w:rFonts w:ascii="Times New Roman" w:hAnsi="Times New Roman" w:eastAsia="仿宋_GB2312"/>
                <w:color w:val="000000"/>
                <w:kern w:val="0"/>
              </w:rPr>
              <w:t>　</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54"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10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成本指标（10）</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矿山及违法用地打击工作经费等</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1660万元</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5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54" w:type="dxa"/>
            <w:vMerge w:val="restart"/>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效益指标</w:t>
            </w:r>
          </w:p>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（40分）</w:t>
            </w:r>
          </w:p>
        </w:tc>
        <w:tc>
          <w:tcPr>
            <w:tcW w:w="10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经济效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解决矿山、土地管理中存在的问题，为浏阳经济发展作贡献</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提高矿山、土地管理水平</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5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54"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10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社会效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规范矿山开采和耕地保护护</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矿山打非率100%，违法用地处置率100%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5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54"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10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生态效</w:t>
            </w:r>
          </w:p>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保护合法开采矿山资源、合法用地</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提高合法开采的公平性</w:t>
            </w:r>
            <w:r>
              <w:rPr>
                <w:rFonts w:ascii="Times New Roman" w:hAnsi="Times New Roman" w:eastAsia="仿宋_GB2312"/>
                <w:color w:val="000000"/>
                <w:kern w:val="0"/>
              </w:rPr>
              <w:t>　</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56"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954" w:type="dxa"/>
            <w:vMerge w:val="continue"/>
            <w:shd w:val="clear" w:color="auto" w:fill="auto"/>
            <w:vAlign w:val="center"/>
          </w:tcPr>
          <w:p>
            <w:pPr>
              <w:widowControl/>
              <w:spacing w:line="240" w:lineRule="exact"/>
              <w:jc w:val="left"/>
              <w:rPr>
                <w:rFonts w:ascii="Times New Roman" w:hAnsi="Times New Roman" w:eastAsia="仿宋_GB2312"/>
                <w:color w:val="000000"/>
                <w:kern w:val="0"/>
              </w:rPr>
            </w:pPr>
          </w:p>
        </w:tc>
        <w:tc>
          <w:tcPr>
            <w:tcW w:w="10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可持续影响指标（10）</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促进社会和谐</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民调综合满意率99%</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99%以上</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331" w:type="dxa"/>
            <w:shd w:val="clear" w:color="auto" w:fill="auto"/>
            <w:vAlign w:val="center"/>
          </w:tcPr>
          <w:p>
            <w:pPr>
              <w:widowControl/>
              <w:spacing w:line="24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6" w:type="dxa"/>
            <w:vMerge w:val="continue"/>
            <w:shd w:val="clear" w:color="auto" w:fill="auto"/>
            <w:vAlign w:val="center"/>
          </w:tcPr>
          <w:p>
            <w:pPr>
              <w:spacing w:line="240" w:lineRule="exact"/>
              <w:jc w:val="left"/>
              <w:rPr>
                <w:rFonts w:ascii="Times New Roman" w:hAnsi="Times New Roman" w:eastAsia="仿宋_GB2312"/>
                <w:color w:val="000000"/>
                <w:kern w:val="0"/>
              </w:rPr>
            </w:pPr>
          </w:p>
        </w:tc>
        <w:tc>
          <w:tcPr>
            <w:tcW w:w="954" w:type="dxa"/>
            <w:vMerge w:val="continue"/>
            <w:shd w:val="clear" w:color="auto" w:fill="auto"/>
            <w:vAlign w:val="center"/>
          </w:tcPr>
          <w:p>
            <w:pPr>
              <w:widowControl/>
              <w:spacing w:line="240" w:lineRule="exact"/>
              <w:jc w:val="center"/>
              <w:rPr>
                <w:rFonts w:ascii="Times New Roman" w:hAnsi="Times New Roman" w:eastAsia="仿宋_GB2312"/>
                <w:color w:val="000000"/>
                <w:kern w:val="0"/>
              </w:rPr>
            </w:pPr>
          </w:p>
        </w:tc>
        <w:tc>
          <w:tcPr>
            <w:tcW w:w="1015"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服务对象满意度指标（10）</w:t>
            </w:r>
          </w:p>
        </w:tc>
        <w:tc>
          <w:tcPr>
            <w:tcW w:w="2243"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保证服务对象满意度</w:t>
            </w:r>
          </w:p>
        </w:tc>
        <w:tc>
          <w:tcPr>
            <w:tcW w:w="1576" w:type="dxa"/>
            <w:shd w:val="clear" w:color="auto" w:fill="auto"/>
            <w:vAlign w:val="center"/>
          </w:tcPr>
          <w:p>
            <w:pPr>
              <w:widowControl/>
              <w:spacing w:line="24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服务对象满意率99%</w:t>
            </w:r>
            <w:r>
              <w:rPr>
                <w:rFonts w:ascii="Times New Roman" w:hAnsi="Times New Roman" w:eastAsia="仿宋_GB2312"/>
                <w:color w:val="000000"/>
                <w:kern w:val="0"/>
              </w:rPr>
              <w:t>　</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98以上%</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w:t>
            </w:r>
          </w:p>
        </w:tc>
        <w:tc>
          <w:tcPr>
            <w:tcW w:w="1331" w:type="dxa"/>
            <w:shd w:val="clear" w:color="auto" w:fill="auto"/>
            <w:vAlign w:val="center"/>
          </w:tcPr>
          <w:p>
            <w:pPr>
              <w:widowControl/>
              <w:spacing w:line="240" w:lineRule="exact"/>
              <w:jc w:val="center"/>
              <w:rPr>
                <w:rFonts w:ascii="Times New Roman" w:hAnsi="Times New Roman" w:eastAsia="仿宋_GB2312"/>
                <w:kern w:val="0"/>
              </w:rPr>
            </w:pPr>
            <w:r>
              <w:rPr>
                <w:rFonts w:hint="eastAsia" w:ascii="Times New Roman" w:hAnsi="Times New Roman" w:eastAsia="仿宋_GB2312"/>
                <w:kern w:val="0"/>
              </w:rPr>
              <w:t>原因：业务能力仍可加强；措施：加强培训、提高效率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50" w:type="dxa"/>
            <w:gridSpan w:val="6"/>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总分</w:t>
            </w:r>
          </w:p>
        </w:tc>
        <w:tc>
          <w:tcPr>
            <w:tcW w:w="656" w:type="dxa"/>
            <w:shd w:val="clear" w:color="auto" w:fill="auto"/>
            <w:vAlign w:val="center"/>
          </w:tcPr>
          <w:p>
            <w:pPr>
              <w:widowControl/>
              <w:spacing w:line="240" w:lineRule="exact"/>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706" w:type="dxa"/>
            <w:shd w:val="clear" w:color="auto" w:fill="auto"/>
            <w:vAlign w:val="center"/>
          </w:tcPr>
          <w:p>
            <w:pPr>
              <w:widowControl/>
              <w:spacing w:line="24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99</w:t>
            </w:r>
          </w:p>
        </w:tc>
        <w:tc>
          <w:tcPr>
            <w:tcW w:w="1331" w:type="dxa"/>
            <w:shd w:val="clear" w:color="auto" w:fill="auto"/>
            <w:vAlign w:val="center"/>
          </w:tcPr>
          <w:p>
            <w:pPr>
              <w:widowControl/>
              <w:spacing w:line="24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bl>
    <w:p>
      <w:pPr>
        <w:widowControl/>
        <w:spacing w:line="480" w:lineRule="exact"/>
        <w:jc w:val="left"/>
        <w:rPr>
          <w:rFonts w:ascii="Times New Roman" w:hAnsi="Times New Roman" w:eastAsia="黑体"/>
          <w:sz w:val="32"/>
          <w:szCs w:val="32"/>
        </w:rPr>
      </w:pPr>
      <w:r>
        <w:rPr>
          <w:rFonts w:ascii="Times New Roman" w:hAnsi="Times New Roman" w:eastAsia="黑体"/>
          <w:sz w:val="32"/>
          <w:szCs w:val="32"/>
        </w:rPr>
        <w:t>附件4</w:t>
      </w:r>
      <w:r>
        <w:rPr>
          <w:rFonts w:hint="eastAsia" w:ascii="Times New Roman" w:hAnsi="Times New Roman" w:eastAsia="黑体"/>
          <w:sz w:val="32"/>
          <w:szCs w:val="32"/>
        </w:rPr>
        <w:t>-3</w:t>
      </w:r>
    </w:p>
    <w:p>
      <w:pPr>
        <w:adjustRightInd w:val="0"/>
        <w:snapToGrid w:val="0"/>
        <w:spacing w:line="48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202</w:t>
      </w:r>
      <w:r>
        <w:rPr>
          <w:rFonts w:hint="eastAsia" w:ascii="Times New Roman" w:hAnsi="Times New Roman" w:eastAsia="方正小标宋简体"/>
          <w:color w:val="000000"/>
          <w:kern w:val="0"/>
          <w:sz w:val="44"/>
          <w:szCs w:val="44"/>
        </w:rPr>
        <w:t>1</w:t>
      </w:r>
      <w:r>
        <w:rPr>
          <w:rFonts w:ascii="Times New Roman" w:hAnsi="Times New Roman" w:eastAsia="方正小标宋简体"/>
          <w:color w:val="000000"/>
          <w:kern w:val="0"/>
          <w:sz w:val="44"/>
          <w:szCs w:val="44"/>
        </w:rPr>
        <w:t>年项目支出绩效自评表</w:t>
      </w:r>
    </w:p>
    <w:tbl>
      <w:tblPr>
        <w:tblStyle w:val="5"/>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867"/>
        <w:gridCol w:w="1425"/>
        <w:gridCol w:w="1525"/>
        <w:gridCol w:w="1405"/>
        <w:gridCol w:w="706"/>
        <w:gridCol w:w="841"/>
        <w:gridCol w:w="957"/>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01"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项目支</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出名称</w:t>
            </w:r>
          </w:p>
        </w:tc>
        <w:tc>
          <w:tcPr>
            <w:tcW w:w="9091" w:type="dxa"/>
            <w:gridSpan w:val="8"/>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bCs/>
                <w:color w:val="000000"/>
                <w:kern w:val="0"/>
              </w:rPr>
              <w:t>不动产确权登记、发证工作项目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01"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主管</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部门</w:t>
            </w:r>
          </w:p>
        </w:tc>
        <w:tc>
          <w:tcPr>
            <w:tcW w:w="5222" w:type="dxa"/>
            <w:gridSpan w:val="4"/>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浏阳市自然资源局</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实施单位</w:t>
            </w:r>
          </w:p>
        </w:tc>
        <w:tc>
          <w:tcPr>
            <w:tcW w:w="3163" w:type="dxa"/>
            <w:gridSpan w:val="3"/>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浏阳市自然资源局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01" w:type="dxa"/>
            <w:vMerge w:val="restart"/>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项目</w:t>
            </w:r>
          </w:p>
          <w:p>
            <w:pPr>
              <w:widowControl/>
              <w:spacing w:line="300" w:lineRule="exact"/>
              <w:jc w:val="center"/>
              <w:rPr>
                <w:rFonts w:hint="eastAsia" w:ascii="Times New Roman" w:hAnsi="Times New Roman" w:eastAsia="仿宋_GB2312"/>
                <w:color w:val="000000"/>
                <w:kern w:val="0"/>
                <w:lang w:eastAsia="zh-CN"/>
              </w:rPr>
            </w:pPr>
            <w:r>
              <w:rPr>
                <w:rFonts w:ascii="Times New Roman" w:hAnsi="Times New Roman" w:eastAsia="仿宋_GB2312"/>
                <w:color w:val="000000"/>
                <w:kern w:val="0"/>
              </w:rPr>
              <w:t>资金</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（万元）</w:t>
            </w:r>
          </w:p>
        </w:tc>
        <w:tc>
          <w:tcPr>
            <w:tcW w:w="2292" w:type="dxa"/>
            <w:gridSpan w:val="2"/>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5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年初</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预算数</w:t>
            </w:r>
          </w:p>
        </w:tc>
        <w:tc>
          <w:tcPr>
            <w:tcW w:w="140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全年</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预算数</w:t>
            </w:r>
          </w:p>
        </w:tc>
        <w:tc>
          <w:tcPr>
            <w:tcW w:w="706" w:type="dxa"/>
            <w:shd w:val="clear" w:color="auto" w:fill="auto"/>
            <w:vAlign w:val="center"/>
          </w:tcPr>
          <w:p>
            <w:pPr>
              <w:spacing w:line="300" w:lineRule="exact"/>
              <w:jc w:val="center"/>
              <w:rPr>
                <w:rFonts w:ascii="Times New Roman" w:hAnsi="Times New Roman" w:eastAsia="仿宋_GB2312"/>
              </w:rPr>
            </w:pPr>
            <w:r>
              <w:rPr>
                <w:rFonts w:ascii="Times New Roman" w:hAnsi="Times New Roman" w:eastAsia="仿宋_GB2312"/>
              </w:rPr>
              <w:t>全年</w:t>
            </w:r>
          </w:p>
          <w:p>
            <w:pPr>
              <w:spacing w:line="300" w:lineRule="exact"/>
              <w:jc w:val="center"/>
              <w:rPr>
                <w:rFonts w:ascii="Times New Roman" w:hAnsi="Times New Roman" w:eastAsia="仿宋_GB2312"/>
              </w:rPr>
            </w:pPr>
            <w:r>
              <w:rPr>
                <w:rFonts w:ascii="Times New Roman" w:hAnsi="Times New Roman" w:eastAsia="仿宋_GB2312"/>
              </w:rPr>
              <w:t>执行数</w:t>
            </w:r>
          </w:p>
        </w:tc>
        <w:tc>
          <w:tcPr>
            <w:tcW w:w="841" w:type="dxa"/>
            <w:shd w:val="clear" w:color="auto" w:fill="auto"/>
            <w:vAlign w:val="center"/>
          </w:tcPr>
          <w:p>
            <w:pPr>
              <w:spacing w:line="300" w:lineRule="exact"/>
              <w:jc w:val="center"/>
              <w:rPr>
                <w:rFonts w:ascii="Times New Roman" w:hAnsi="Times New Roman" w:eastAsia="仿宋_GB2312"/>
              </w:rPr>
            </w:pPr>
            <w:r>
              <w:rPr>
                <w:rFonts w:ascii="Times New Roman" w:hAnsi="Times New Roman" w:eastAsia="仿宋_GB2312"/>
              </w:rPr>
              <w:t>分值</w:t>
            </w:r>
          </w:p>
        </w:tc>
        <w:tc>
          <w:tcPr>
            <w:tcW w:w="957" w:type="dxa"/>
            <w:shd w:val="clear" w:color="auto" w:fill="auto"/>
            <w:vAlign w:val="center"/>
          </w:tcPr>
          <w:p>
            <w:pPr>
              <w:spacing w:line="300" w:lineRule="exact"/>
              <w:jc w:val="center"/>
              <w:rPr>
                <w:rFonts w:ascii="Times New Roman" w:hAnsi="Times New Roman" w:eastAsia="仿宋_GB2312"/>
              </w:rPr>
            </w:pPr>
            <w:r>
              <w:rPr>
                <w:rFonts w:ascii="Times New Roman" w:hAnsi="Times New Roman" w:eastAsia="仿宋_GB2312"/>
              </w:rPr>
              <w:t>执行率</w:t>
            </w:r>
          </w:p>
        </w:tc>
        <w:tc>
          <w:tcPr>
            <w:tcW w:w="1365" w:type="dxa"/>
            <w:shd w:val="clear" w:color="auto" w:fill="auto"/>
            <w:vAlign w:val="center"/>
          </w:tcPr>
          <w:p>
            <w:pPr>
              <w:spacing w:line="300" w:lineRule="exact"/>
              <w:jc w:val="center"/>
              <w:rPr>
                <w:rFonts w:ascii="Times New Roman" w:hAnsi="Times New Roman" w:eastAsia="仿宋_GB2312"/>
              </w:rPr>
            </w:pPr>
            <w:r>
              <w:rPr>
                <w:rFonts w:ascii="Times New Roman" w:hAnsi="Times New Roman"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01" w:type="dxa"/>
            <w:vMerge w:val="continue"/>
            <w:shd w:val="clear" w:color="auto" w:fill="auto"/>
            <w:vAlign w:val="center"/>
          </w:tcPr>
          <w:p>
            <w:pPr>
              <w:widowControl/>
              <w:spacing w:line="300" w:lineRule="exact"/>
              <w:jc w:val="left"/>
              <w:rPr>
                <w:rFonts w:ascii="Times New Roman" w:hAnsi="Times New Roman" w:eastAsia="仿宋_GB2312"/>
                <w:color w:val="000000"/>
                <w:kern w:val="0"/>
              </w:rPr>
            </w:pPr>
          </w:p>
        </w:tc>
        <w:tc>
          <w:tcPr>
            <w:tcW w:w="2292" w:type="dxa"/>
            <w:gridSpan w:val="2"/>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年度资金总额　</w:t>
            </w:r>
          </w:p>
        </w:tc>
        <w:tc>
          <w:tcPr>
            <w:tcW w:w="15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835.52</w:t>
            </w:r>
          </w:p>
        </w:tc>
        <w:tc>
          <w:tcPr>
            <w:tcW w:w="1405"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835.52</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627</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10</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97%</w:t>
            </w:r>
          </w:p>
        </w:tc>
        <w:tc>
          <w:tcPr>
            <w:tcW w:w="1365"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shd w:val="clear" w:color="auto" w:fill="auto"/>
            <w:vAlign w:val="center"/>
          </w:tcPr>
          <w:p>
            <w:pPr>
              <w:widowControl/>
              <w:spacing w:line="300" w:lineRule="exact"/>
              <w:jc w:val="left"/>
              <w:rPr>
                <w:rFonts w:ascii="Times New Roman" w:hAnsi="Times New Roman" w:eastAsia="仿宋_GB2312"/>
                <w:color w:val="000000"/>
                <w:kern w:val="0"/>
              </w:rPr>
            </w:pPr>
          </w:p>
        </w:tc>
        <w:tc>
          <w:tcPr>
            <w:tcW w:w="2292" w:type="dxa"/>
            <w:gridSpan w:val="2"/>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其中：当年财政拨款　</w:t>
            </w:r>
          </w:p>
        </w:tc>
        <w:tc>
          <w:tcPr>
            <w:tcW w:w="15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835.52</w:t>
            </w:r>
          </w:p>
        </w:tc>
        <w:tc>
          <w:tcPr>
            <w:tcW w:w="1405"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835.52</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627</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p>
        </w:tc>
        <w:tc>
          <w:tcPr>
            <w:tcW w:w="1365" w:type="dxa"/>
            <w:shd w:val="clear" w:color="auto" w:fill="auto"/>
            <w:vAlign w:val="center"/>
          </w:tcPr>
          <w:p>
            <w:pPr>
              <w:widowControl/>
              <w:spacing w:line="30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shd w:val="clear" w:color="auto" w:fill="auto"/>
            <w:vAlign w:val="center"/>
          </w:tcPr>
          <w:p>
            <w:pPr>
              <w:widowControl/>
              <w:spacing w:line="300" w:lineRule="exact"/>
              <w:jc w:val="left"/>
              <w:rPr>
                <w:rFonts w:ascii="Times New Roman" w:hAnsi="Times New Roman" w:eastAsia="仿宋_GB2312"/>
                <w:color w:val="000000"/>
                <w:kern w:val="0"/>
              </w:rPr>
            </w:pPr>
          </w:p>
        </w:tc>
        <w:tc>
          <w:tcPr>
            <w:tcW w:w="2292" w:type="dxa"/>
            <w:gridSpan w:val="2"/>
            <w:shd w:val="clear" w:color="auto" w:fill="auto"/>
            <w:vAlign w:val="center"/>
          </w:tcPr>
          <w:p>
            <w:pPr>
              <w:widowControl/>
              <w:spacing w:line="300" w:lineRule="exact"/>
              <w:ind w:firstLine="630" w:firstLineChars="300"/>
              <w:jc w:val="left"/>
              <w:rPr>
                <w:rFonts w:ascii="Times New Roman" w:hAnsi="Times New Roman" w:eastAsia="仿宋_GB2312"/>
                <w:color w:val="000000"/>
                <w:kern w:val="0"/>
              </w:rPr>
            </w:pPr>
            <w:r>
              <w:rPr>
                <w:rFonts w:ascii="Times New Roman" w:hAnsi="Times New Roman" w:eastAsia="仿宋_GB2312"/>
                <w:color w:val="000000"/>
                <w:kern w:val="0"/>
              </w:rPr>
              <w:t>上年结转资金　</w:t>
            </w:r>
          </w:p>
        </w:tc>
        <w:tc>
          <w:tcPr>
            <w:tcW w:w="152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40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706"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841"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957"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136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restart"/>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年度总体目标</w:t>
            </w:r>
          </w:p>
        </w:tc>
        <w:tc>
          <w:tcPr>
            <w:tcW w:w="5222" w:type="dxa"/>
            <w:gridSpan w:val="4"/>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预期目标</w:t>
            </w:r>
          </w:p>
        </w:tc>
        <w:tc>
          <w:tcPr>
            <w:tcW w:w="3869" w:type="dxa"/>
            <w:gridSpan w:val="4"/>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01" w:type="dxa"/>
            <w:vMerge w:val="continue"/>
            <w:shd w:val="clear" w:color="auto" w:fill="auto"/>
            <w:vAlign w:val="center"/>
          </w:tcPr>
          <w:p>
            <w:pPr>
              <w:widowControl/>
              <w:spacing w:line="300" w:lineRule="exact"/>
              <w:jc w:val="left"/>
              <w:rPr>
                <w:rFonts w:ascii="Times New Roman" w:hAnsi="Times New Roman" w:eastAsia="仿宋_GB2312"/>
                <w:color w:val="000000"/>
                <w:kern w:val="0"/>
              </w:rPr>
            </w:pPr>
          </w:p>
        </w:tc>
        <w:tc>
          <w:tcPr>
            <w:tcW w:w="5222" w:type="dxa"/>
            <w:gridSpan w:val="4"/>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r>
              <w:rPr>
                <w:rFonts w:hint="eastAsia" w:ascii="Times New Roman" w:hAnsi="Times New Roman" w:eastAsia="仿宋_GB2312"/>
                <w:color w:val="000000"/>
                <w:kern w:val="0"/>
              </w:rPr>
              <w:t>提高不动产发证工作效率</w:t>
            </w:r>
            <w:r>
              <w:rPr>
                <w:rFonts w:ascii="Times New Roman" w:hAnsi="Times New Roman" w:eastAsia="仿宋_GB2312"/>
                <w:color w:val="000000"/>
                <w:kern w:val="0"/>
              </w:rPr>
              <w:t>　</w:t>
            </w:r>
          </w:p>
        </w:tc>
        <w:tc>
          <w:tcPr>
            <w:tcW w:w="3869" w:type="dxa"/>
            <w:gridSpan w:val="4"/>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不动产发证工作全面按质按量完成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001" w:type="dxa"/>
            <w:vMerge w:val="restart"/>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绩</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效</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指</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标</w:t>
            </w:r>
          </w:p>
        </w:tc>
        <w:tc>
          <w:tcPr>
            <w:tcW w:w="867"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一级指标</w:t>
            </w:r>
          </w:p>
        </w:tc>
        <w:tc>
          <w:tcPr>
            <w:tcW w:w="14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二级指标</w:t>
            </w:r>
          </w:p>
        </w:tc>
        <w:tc>
          <w:tcPr>
            <w:tcW w:w="15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三级指标</w:t>
            </w:r>
          </w:p>
        </w:tc>
        <w:tc>
          <w:tcPr>
            <w:tcW w:w="140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年度</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指标值</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实际</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完成值</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分值</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得分</w:t>
            </w:r>
          </w:p>
        </w:tc>
        <w:tc>
          <w:tcPr>
            <w:tcW w:w="136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偏差原因</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分析及</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867" w:type="dxa"/>
            <w:vMerge w:val="restart"/>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产出指标</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(50分)</w:t>
            </w:r>
          </w:p>
        </w:tc>
        <w:tc>
          <w:tcPr>
            <w:tcW w:w="14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数量指标（15）</w:t>
            </w:r>
          </w:p>
        </w:tc>
        <w:tc>
          <w:tcPr>
            <w:tcW w:w="152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增加不动产发证准确率</w:t>
            </w:r>
          </w:p>
        </w:tc>
        <w:tc>
          <w:tcPr>
            <w:tcW w:w="140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提高准确率10%以上</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15</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15</w:t>
            </w:r>
          </w:p>
        </w:tc>
        <w:tc>
          <w:tcPr>
            <w:tcW w:w="136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867"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14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质量指标（20）</w:t>
            </w:r>
          </w:p>
        </w:tc>
        <w:tc>
          <w:tcPr>
            <w:tcW w:w="152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做到按时办结</w:t>
            </w:r>
          </w:p>
        </w:tc>
        <w:tc>
          <w:tcPr>
            <w:tcW w:w="140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办结率100%</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20</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20</w:t>
            </w:r>
          </w:p>
        </w:tc>
        <w:tc>
          <w:tcPr>
            <w:tcW w:w="136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01"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867"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14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时效指标（5）</w:t>
            </w:r>
          </w:p>
        </w:tc>
        <w:tc>
          <w:tcPr>
            <w:tcW w:w="152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2021年1月1日至12月31日</w:t>
            </w:r>
          </w:p>
        </w:tc>
        <w:tc>
          <w:tcPr>
            <w:tcW w:w="1405"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1年</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136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867"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14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成本指标（10）</w:t>
            </w:r>
          </w:p>
        </w:tc>
        <w:tc>
          <w:tcPr>
            <w:tcW w:w="152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工作人员劳务费、证书打印费等</w:t>
            </w:r>
          </w:p>
        </w:tc>
        <w:tc>
          <w:tcPr>
            <w:tcW w:w="1405"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835.52万</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99%</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36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001"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867" w:type="dxa"/>
            <w:vMerge w:val="restart"/>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效益指标</w:t>
            </w:r>
          </w:p>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（40分）</w:t>
            </w:r>
          </w:p>
        </w:tc>
        <w:tc>
          <w:tcPr>
            <w:tcW w:w="14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经济效</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152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提高不动产工作人员的积极性。</w:t>
            </w:r>
          </w:p>
        </w:tc>
        <w:tc>
          <w:tcPr>
            <w:tcW w:w="140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达到准确有效</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36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867"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14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社会效</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152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确保发证工作的有序进行</w:t>
            </w:r>
          </w:p>
        </w:tc>
        <w:tc>
          <w:tcPr>
            <w:tcW w:w="140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做到零投诉率</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36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1"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867"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14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生态效</w:t>
            </w:r>
          </w:p>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152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维护社会稳定</w:t>
            </w:r>
          </w:p>
        </w:tc>
        <w:tc>
          <w:tcPr>
            <w:tcW w:w="140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构建和谐浏阳</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36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01" w:type="dxa"/>
            <w:vMerge w:val="continue"/>
            <w:shd w:val="clear" w:color="auto" w:fill="auto"/>
            <w:vAlign w:val="center"/>
          </w:tcPr>
          <w:p>
            <w:pPr>
              <w:widowControl/>
              <w:spacing w:line="300" w:lineRule="exact"/>
              <w:jc w:val="center"/>
              <w:rPr>
                <w:rFonts w:ascii="Times New Roman" w:hAnsi="Times New Roman" w:eastAsia="仿宋_GB2312"/>
                <w:color w:val="000000"/>
                <w:kern w:val="0"/>
              </w:rPr>
            </w:pPr>
          </w:p>
        </w:tc>
        <w:tc>
          <w:tcPr>
            <w:tcW w:w="867" w:type="dxa"/>
            <w:vMerge w:val="continue"/>
            <w:shd w:val="clear" w:color="auto" w:fill="auto"/>
            <w:vAlign w:val="center"/>
          </w:tcPr>
          <w:p>
            <w:pPr>
              <w:widowControl/>
              <w:spacing w:line="300" w:lineRule="exact"/>
              <w:jc w:val="left"/>
              <w:rPr>
                <w:rFonts w:ascii="Times New Roman" w:hAnsi="Times New Roman" w:eastAsia="仿宋_GB2312"/>
                <w:color w:val="000000"/>
                <w:kern w:val="0"/>
              </w:rPr>
            </w:pPr>
          </w:p>
        </w:tc>
        <w:tc>
          <w:tcPr>
            <w:tcW w:w="14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可持续影响指标（10）</w:t>
            </w:r>
          </w:p>
        </w:tc>
        <w:tc>
          <w:tcPr>
            <w:tcW w:w="152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规范不动产发证工作</w:t>
            </w:r>
          </w:p>
        </w:tc>
        <w:tc>
          <w:tcPr>
            <w:tcW w:w="140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民调综合满意率90%以上</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36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01" w:type="dxa"/>
            <w:vMerge w:val="continue"/>
            <w:shd w:val="clear" w:color="auto" w:fill="auto"/>
            <w:vAlign w:val="center"/>
          </w:tcPr>
          <w:p>
            <w:pPr>
              <w:spacing w:line="300" w:lineRule="exact"/>
              <w:jc w:val="left"/>
              <w:rPr>
                <w:rFonts w:ascii="Times New Roman" w:hAnsi="Times New Roman" w:eastAsia="仿宋_GB2312"/>
                <w:color w:val="000000"/>
                <w:kern w:val="0"/>
              </w:rPr>
            </w:pPr>
          </w:p>
        </w:tc>
        <w:tc>
          <w:tcPr>
            <w:tcW w:w="867" w:type="dxa"/>
            <w:vMerge w:val="continue"/>
            <w:shd w:val="clear" w:color="auto" w:fill="auto"/>
            <w:vAlign w:val="center"/>
          </w:tcPr>
          <w:p>
            <w:pPr>
              <w:widowControl/>
              <w:spacing w:line="300" w:lineRule="exact"/>
              <w:jc w:val="center"/>
              <w:rPr>
                <w:rFonts w:ascii="Times New Roman" w:hAnsi="Times New Roman" w:eastAsia="仿宋_GB2312"/>
                <w:color w:val="000000"/>
                <w:kern w:val="0"/>
              </w:rPr>
            </w:pPr>
          </w:p>
        </w:tc>
        <w:tc>
          <w:tcPr>
            <w:tcW w:w="1425"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服务对象满意度指标（10）</w:t>
            </w:r>
          </w:p>
        </w:tc>
        <w:tc>
          <w:tcPr>
            <w:tcW w:w="152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提高工作效率，服务大众</w:t>
            </w:r>
          </w:p>
        </w:tc>
        <w:tc>
          <w:tcPr>
            <w:tcW w:w="1405" w:type="dxa"/>
            <w:shd w:val="clear" w:color="auto" w:fill="auto"/>
            <w:vAlign w:val="center"/>
          </w:tcPr>
          <w:p>
            <w:pPr>
              <w:widowControl/>
              <w:spacing w:line="300" w:lineRule="exact"/>
              <w:jc w:val="left"/>
              <w:rPr>
                <w:rFonts w:ascii="Times New Roman" w:hAnsi="Times New Roman" w:eastAsia="仿宋_GB2312"/>
                <w:color w:val="000000"/>
                <w:kern w:val="0"/>
              </w:rPr>
            </w:pPr>
            <w:r>
              <w:rPr>
                <w:rFonts w:hint="eastAsia" w:ascii="Times New Roman" w:hAnsi="Times New Roman" w:eastAsia="仿宋_GB2312"/>
                <w:color w:val="000000"/>
                <w:kern w:val="0"/>
              </w:rPr>
              <w:t>提升公众形象</w:t>
            </w:r>
          </w:p>
        </w:tc>
        <w:tc>
          <w:tcPr>
            <w:tcW w:w="706"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957" w:type="dxa"/>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w:t>
            </w:r>
          </w:p>
        </w:tc>
        <w:tc>
          <w:tcPr>
            <w:tcW w:w="1365" w:type="dxa"/>
            <w:shd w:val="clear" w:color="auto" w:fill="auto"/>
            <w:vAlign w:val="center"/>
          </w:tcPr>
          <w:p>
            <w:pPr>
              <w:widowControl/>
              <w:spacing w:line="300" w:lineRule="exact"/>
              <w:jc w:val="center"/>
              <w:rPr>
                <w:rFonts w:ascii="Times New Roman" w:hAnsi="Times New Roman" w:eastAsia="仿宋_GB2312"/>
                <w:kern w:val="0"/>
                <w:sz w:val="15"/>
                <w:szCs w:val="15"/>
              </w:rPr>
            </w:pPr>
            <w:r>
              <w:rPr>
                <w:rFonts w:hint="eastAsia" w:ascii="Times New Roman" w:hAnsi="Times New Roman" w:eastAsia="仿宋_GB2312"/>
                <w:kern w:val="0"/>
                <w:sz w:val="15"/>
                <w:szCs w:val="15"/>
              </w:rPr>
              <w:t>原因：业务能力仍可加强；措施：加强培训、提高效率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929" w:type="dxa"/>
            <w:gridSpan w:val="6"/>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总分</w:t>
            </w:r>
          </w:p>
        </w:tc>
        <w:tc>
          <w:tcPr>
            <w:tcW w:w="841" w:type="dxa"/>
            <w:shd w:val="clear" w:color="auto" w:fill="auto"/>
            <w:vAlign w:val="center"/>
          </w:tcPr>
          <w:p>
            <w:pPr>
              <w:widowControl/>
              <w:spacing w:line="300" w:lineRule="exact"/>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957"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r>
              <w:rPr>
                <w:rFonts w:hint="eastAsia" w:ascii="Times New Roman" w:hAnsi="Times New Roman" w:eastAsia="仿宋_GB2312"/>
                <w:color w:val="000000"/>
                <w:kern w:val="0"/>
              </w:rPr>
              <w:t>99</w:t>
            </w:r>
          </w:p>
        </w:tc>
        <w:tc>
          <w:tcPr>
            <w:tcW w:w="1365" w:type="dxa"/>
            <w:shd w:val="clear" w:color="auto" w:fill="auto"/>
            <w:vAlign w:val="center"/>
          </w:tcPr>
          <w:p>
            <w:pPr>
              <w:widowControl/>
              <w:spacing w:line="30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r>
    </w:tbl>
    <w:p>
      <w:pPr>
        <w:widowControl/>
        <w:spacing w:line="480" w:lineRule="exact"/>
        <w:jc w:val="left"/>
        <w:rPr>
          <w:rFonts w:ascii="Times New Roman" w:hAnsi="Times New Roman" w:eastAsia="黑体"/>
          <w:sz w:val="32"/>
          <w:szCs w:val="32"/>
        </w:rPr>
      </w:pPr>
      <w:r>
        <w:rPr>
          <w:rFonts w:ascii="Times New Roman" w:hAnsi="Times New Roman" w:eastAsia="黑体"/>
          <w:sz w:val="32"/>
          <w:szCs w:val="32"/>
        </w:rPr>
        <w:t>附件4</w:t>
      </w:r>
      <w:r>
        <w:rPr>
          <w:rFonts w:hint="eastAsia" w:ascii="Times New Roman" w:hAnsi="Times New Roman" w:eastAsia="黑体"/>
          <w:sz w:val="32"/>
          <w:szCs w:val="32"/>
        </w:rPr>
        <w:t>-4</w:t>
      </w:r>
    </w:p>
    <w:p>
      <w:pPr>
        <w:adjustRightInd w:val="0"/>
        <w:snapToGrid w:val="0"/>
        <w:spacing w:line="48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202</w:t>
      </w:r>
      <w:r>
        <w:rPr>
          <w:rFonts w:hint="eastAsia" w:ascii="Times New Roman" w:hAnsi="Times New Roman" w:eastAsia="方正小标宋简体"/>
          <w:color w:val="000000"/>
          <w:kern w:val="0"/>
          <w:sz w:val="44"/>
          <w:szCs w:val="44"/>
        </w:rPr>
        <w:t>1</w:t>
      </w:r>
      <w:r>
        <w:rPr>
          <w:rFonts w:ascii="Times New Roman" w:hAnsi="Times New Roman" w:eastAsia="方正小标宋简体"/>
          <w:color w:val="000000"/>
          <w:kern w:val="0"/>
          <w:sz w:val="44"/>
          <w:szCs w:val="44"/>
        </w:rPr>
        <w:t>年项目支出绩效自评表</w:t>
      </w:r>
    </w:p>
    <w:tbl>
      <w:tblPr>
        <w:tblStyle w:val="5"/>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801"/>
        <w:gridCol w:w="1258"/>
        <w:gridCol w:w="2196"/>
        <w:gridCol w:w="1178"/>
        <w:gridCol w:w="1004"/>
        <w:gridCol w:w="752"/>
        <w:gridCol w:w="884"/>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9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项目支</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出名称</w:t>
            </w:r>
          </w:p>
        </w:tc>
        <w:tc>
          <w:tcPr>
            <w:tcW w:w="9194" w:type="dxa"/>
            <w:gridSpan w:val="8"/>
            <w:shd w:val="clear" w:color="auto" w:fill="auto"/>
            <w:vAlign w:val="center"/>
          </w:tcPr>
          <w:p>
            <w:pPr>
              <w:widowControl/>
              <w:spacing w:line="300" w:lineRule="exact"/>
              <w:jc w:val="center"/>
              <w:rPr>
                <w:rFonts w:ascii="Times New Roman" w:hAnsi="Times New Roman" w:eastAsia="仿宋_GB2312"/>
                <w:color w:val="000000"/>
                <w:kern w:val="0"/>
              </w:rPr>
            </w:pPr>
            <w:r>
              <w:rPr>
                <w:rFonts w:hint="eastAsia" w:ascii="Times New Roman" w:hAnsi="Times New Roman" w:eastAsia="仿宋_GB2312"/>
                <w:bCs/>
                <w:color w:val="000000"/>
                <w:kern w:val="0"/>
              </w:rPr>
              <w:t>土地开发及出让业务项目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9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主管</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部门</w:t>
            </w:r>
          </w:p>
        </w:tc>
        <w:tc>
          <w:tcPr>
            <w:tcW w:w="5433" w:type="dxa"/>
            <w:gridSpan w:val="4"/>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浏阳市自然资源局</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实施单位</w:t>
            </w:r>
          </w:p>
        </w:tc>
        <w:tc>
          <w:tcPr>
            <w:tcW w:w="2757" w:type="dxa"/>
            <w:gridSpan w:val="3"/>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浏阳市自然资源局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dxa"/>
            <w:vMerge w:val="restart"/>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项目</w:t>
            </w:r>
          </w:p>
          <w:p>
            <w:pPr>
              <w:widowControl/>
              <w:spacing w:line="320" w:lineRule="exact"/>
              <w:jc w:val="center"/>
              <w:rPr>
                <w:rFonts w:hint="eastAsia" w:ascii="Times New Roman" w:hAnsi="Times New Roman" w:eastAsia="仿宋_GB2312"/>
                <w:color w:val="000000"/>
                <w:kern w:val="0"/>
                <w:lang w:eastAsia="zh-CN"/>
              </w:rPr>
            </w:pPr>
            <w:r>
              <w:rPr>
                <w:rFonts w:ascii="Times New Roman" w:hAnsi="Times New Roman" w:eastAsia="仿宋_GB2312"/>
                <w:color w:val="000000"/>
                <w:kern w:val="0"/>
              </w:rPr>
              <w:t>资金</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（万元）</w:t>
            </w:r>
          </w:p>
        </w:tc>
        <w:tc>
          <w:tcPr>
            <w:tcW w:w="2059" w:type="dxa"/>
            <w:gridSpan w:val="2"/>
            <w:shd w:val="clear" w:color="auto" w:fill="auto"/>
            <w:vAlign w:val="center"/>
          </w:tcPr>
          <w:p>
            <w:pPr>
              <w:widowControl/>
              <w:spacing w:line="320" w:lineRule="exact"/>
              <w:jc w:val="left"/>
              <w:rPr>
                <w:rFonts w:ascii="Times New Roman" w:hAnsi="Times New Roman" w:eastAsia="仿宋_GB2312"/>
                <w:color w:val="000000"/>
                <w:kern w:val="0"/>
              </w:rPr>
            </w:pPr>
            <w:r>
              <w:rPr>
                <w:rFonts w:ascii="Times New Roman" w:hAnsi="Times New Roman" w:eastAsia="仿宋_GB2312"/>
                <w:color w:val="000000"/>
                <w:kern w:val="0"/>
              </w:rPr>
              <w:t>　</w:t>
            </w:r>
          </w:p>
        </w:tc>
        <w:tc>
          <w:tcPr>
            <w:tcW w:w="2196"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年初</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预算数</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全年</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预算数</w:t>
            </w:r>
          </w:p>
        </w:tc>
        <w:tc>
          <w:tcPr>
            <w:tcW w:w="1004" w:type="dxa"/>
            <w:shd w:val="clear" w:color="auto" w:fill="auto"/>
            <w:vAlign w:val="center"/>
          </w:tcPr>
          <w:p>
            <w:pPr>
              <w:spacing w:line="320" w:lineRule="exact"/>
              <w:jc w:val="center"/>
              <w:rPr>
                <w:rFonts w:ascii="Times New Roman" w:hAnsi="Times New Roman" w:eastAsia="仿宋_GB2312"/>
              </w:rPr>
            </w:pPr>
            <w:r>
              <w:rPr>
                <w:rFonts w:ascii="Times New Roman" w:hAnsi="Times New Roman" w:eastAsia="仿宋_GB2312"/>
              </w:rPr>
              <w:t>全年</w:t>
            </w:r>
          </w:p>
          <w:p>
            <w:pPr>
              <w:spacing w:line="320" w:lineRule="exact"/>
              <w:jc w:val="center"/>
              <w:rPr>
                <w:rFonts w:ascii="Times New Roman" w:hAnsi="Times New Roman" w:eastAsia="仿宋_GB2312"/>
              </w:rPr>
            </w:pPr>
            <w:r>
              <w:rPr>
                <w:rFonts w:ascii="Times New Roman" w:hAnsi="Times New Roman" w:eastAsia="仿宋_GB2312"/>
              </w:rPr>
              <w:t>执行数</w:t>
            </w:r>
          </w:p>
        </w:tc>
        <w:tc>
          <w:tcPr>
            <w:tcW w:w="752" w:type="dxa"/>
            <w:shd w:val="clear" w:color="auto" w:fill="auto"/>
            <w:vAlign w:val="center"/>
          </w:tcPr>
          <w:p>
            <w:pPr>
              <w:spacing w:line="320" w:lineRule="exact"/>
              <w:jc w:val="center"/>
              <w:rPr>
                <w:rFonts w:ascii="Times New Roman" w:hAnsi="Times New Roman" w:eastAsia="仿宋_GB2312"/>
              </w:rPr>
            </w:pPr>
            <w:r>
              <w:rPr>
                <w:rFonts w:ascii="Times New Roman" w:hAnsi="Times New Roman" w:eastAsia="仿宋_GB2312"/>
              </w:rPr>
              <w:t>分值</w:t>
            </w:r>
          </w:p>
        </w:tc>
        <w:tc>
          <w:tcPr>
            <w:tcW w:w="884" w:type="dxa"/>
            <w:shd w:val="clear" w:color="auto" w:fill="auto"/>
            <w:vAlign w:val="center"/>
          </w:tcPr>
          <w:p>
            <w:pPr>
              <w:spacing w:line="320" w:lineRule="exact"/>
              <w:jc w:val="center"/>
              <w:rPr>
                <w:rFonts w:ascii="Times New Roman" w:hAnsi="Times New Roman" w:eastAsia="仿宋_GB2312"/>
              </w:rPr>
            </w:pPr>
            <w:r>
              <w:rPr>
                <w:rFonts w:ascii="Times New Roman" w:hAnsi="Times New Roman" w:eastAsia="仿宋_GB2312"/>
              </w:rPr>
              <w:t>执行率</w:t>
            </w:r>
          </w:p>
        </w:tc>
        <w:tc>
          <w:tcPr>
            <w:tcW w:w="1121" w:type="dxa"/>
            <w:shd w:val="clear" w:color="auto" w:fill="auto"/>
            <w:vAlign w:val="center"/>
          </w:tcPr>
          <w:p>
            <w:pPr>
              <w:spacing w:line="320" w:lineRule="exact"/>
              <w:jc w:val="center"/>
              <w:rPr>
                <w:rFonts w:ascii="Times New Roman" w:hAnsi="Times New Roman" w:eastAsia="仿宋_GB2312"/>
              </w:rPr>
            </w:pPr>
            <w:r>
              <w:rPr>
                <w:rFonts w:ascii="Times New Roman" w:hAnsi="Times New Roman"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98" w:type="dxa"/>
            <w:vMerge w:val="continue"/>
            <w:shd w:val="clear" w:color="auto" w:fill="auto"/>
            <w:vAlign w:val="center"/>
          </w:tcPr>
          <w:p>
            <w:pPr>
              <w:widowControl/>
              <w:spacing w:line="320" w:lineRule="exact"/>
              <w:jc w:val="left"/>
              <w:rPr>
                <w:rFonts w:ascii="Times New Roman" w:hAnsi="Times New Roman" w:eastAsia="仿宋_GB2312"/>
                <w:color w:val="000000"/>
                <w:kern w:val="0"/>
              </w:rPr>
            </w:pPr>
          </w:p>
        </w:tc>
        <w:tc>
          <w:tcPr>
            <w:tcW w:w="2059" w:type="dxa"/>
            <w:gridSpan w:val="2"/>
            <w:shd w:val="clear" w:color="auto" w:fill="auto"/>
            <w:vAlign w:val="center"/>
          </w:tcPr>
          <w:p>
            <w:pPr>
              <w:widowControl/>
              <w:spacing w:line="320" w:lineRule="exact"/>
              <w:jc w:val="left"/>
              <w:rPr>
                <w:rFonts w:ascii="Times New Roman" w:hAnsi="Times New Roman" w:eastAsia="仿宋_GB2312"/>
                <w:color w:val="000000"/>
                <w:kern w:val="0"/>
              </w:rPr>
            </w:pPr>
            <w:r>
              <w:rPr>
                <w:rFonts w:ascii="Times New Roman" w:hAnsi="Times New Roman" w:eastAsia="仿宋_GB2312"/>
                <w:color w:val="000000"/>
                <w:kern w:val="0"/>
              </w:rPr>
              <w:t>年度资金总额　</w:t>
            </w:r>
          </w:p>
        </w:tc>
        <w:tc>
          <w:tcPr>
            <w:tcW w:w="2196"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30194.65</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30194.65</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30688.62</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10</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dxa"/>
            <w:vMerge w:val="continue"/>
            <w:shd w:val="clear" w:color="auto" w:fill="auto"/>
            <w:vAlign w:val="center"/>
          </w:tcPr>
          <w:p>
            <w:pPr>
              <w:widowControl/>
              <w:spacing w:line="320" w:lineRule="exact"/>
              <w:jc w:val="left"/>
              <w:rPr>
                <w:rFonts w:ascii="Times New Roman" w:hAnsi="Times New Roman" w:eastAsia="仿宋_GB2312"/>
                <w:color w:val="000000"/>
                <w:kern w:val="0"/>
              </w:rPr>
            </w:pPr>
          </w:p>
        </w:tc>
        <w:tc>
          <w:tcPr>
            <w:tcW w:w="2059" w:type="dxa"/>
            <w:gridSpan w:val="2"/>
            <w:shd w:val="clear" w:color="auto" w:fill="auto"/>
            <w:vAlign w:val="center"/>
          </w:tcPr>
          <w:p>
            <w:pPr>
              <w:widowControl/>
              <w:spacing w:line="320" w:lineRule="exact"/>
              <w:jc w:val="left"/>
              <w:rPr>
                <w:rFonts w:ascii="Times New Roman" w:hAnsi="Times New Roman" w:eastAsia="仿宋_GB2312"/>
                <w:color w:val="000000"/>
                <w:kern w:val="0"/>
              </w:rPr>
            </w:pPr>
            <w:r>
              <w:rPr>
                <w:rFonts w:ascii="Times New Roman" w:hAnsi="Times New Roman" w:eastAsia="仿宋_GB2312"/>
                <w:color w:val="000000"/>
                <w:kern w:val="0"/>
              </w:rPr>
              <w:t>其中：当年财政拨款　</w:t>
            </w:r>
          </w:p>
        </w:tc>
        <w:tc>
          <w:tcPr>
            <w:tcW w:w="2196"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30194.65</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30194.65</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30688.62</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dxa"/>
            <w:vMerge w:val="restart"/>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年度总体目标</w:t>
            </w:r>
          </w:p>
        </w:tc>
        <w:tc>
          <w:tcPr>
            <w:tcW w:w="5433" w:type="dxa"/>
            <w:gridSpan w:val="4"/>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预期目标</w:t>
            </w:r>
          </w:p>
        </w:tc>
        <w:tc>
          <w:tcPr>
            <w:tcW w:w="3761" w:type="dxa"/>
            <w:gridSpan w:val="4"/>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898" w:type="dxa"/>
            <w:vMerge w:val="continue"/>
            <w:shd w:val="clear" w:color="auto" w:fill="auto"/>
            <w:vAlign w:val="center"/>
          </w:tcPr>
          <w:p>
            <w:pPr>
              <w:widowControl/>
              <w:spacing w:line="320" w:lineRule="exact"/>
              <w:jc w:val="left"/>
              <w:rPr>
                <w:rFonts w:ascii="Times New Roman" w:hAnsi="Times New Roman" w:eastAsia="仿宋_GB2312"/>
                <w:color w:val="000000"/>
                <w:kern w:val="0"/>
              </w:rPr>
            </w:pPr>
          </w:p>
        </w:tc>
        <w:tc>
          <w:tcPr>
            <w:tcW w:w="5433" w:type="dxa"/>
            <w:gridSpan w:val="4"/>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r>
              <w:rPr>
                <w:rFonts w:hint="eastAsia" w:ascii="Times New Roman" w:hAnsi="Times New Roman" w:eastAsia="仿宋_GB2312"/>
                <w:color w:val="000000"/>
                <w:kern w:val="0"/>
              </w:rPr>
              <w:t>土地出让前期、后期，通过报纸、网络等渠道对拟出让的地块进行宣传公示，确定计划年度储备土地总规模、前期开发规模、供应规模和确定计划年度土地储备资金需求和经济效益</w:t>
            </w:r>
            <w:r>
              <w:rPr>
                <w:rFonts w:ascii="Times New Roman" w:hAnsi="Times New Roman" w:eastAsia="仿宋_GB2312"/>
                <w:color w:val="000000"/>
                <w:kern w:val="0"/>
              </w:rPr>
              <w:t>　</w:t>
            </w:r>
          </w:p>
        </w:tc>
        <w:tc>
          <w:tcPr>
            <w:tcW w:w="3761" w:type="dxa"/>
            <w:gridSpan w:val="4"/>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98" w:type="dxa"/>
            <w:vMerge w:val="restart"/>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绩</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效</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指</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标</w:t>
            </w:r>
          </w:p>
        </w:tc>
        <w:tc>
          <w:tcPr>
            <w:tcW w:w="801"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一级指标</w:t>
            </w:r>
          </w:p>
        </w:tc>
        <w:tc>
          <w:tcPr>
            <w:tcW w:w="125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二级指标</w:t>
            </w:r>
          </w:p>
        </w:tc>
        <w:tc>
          <w:tcPr>
            <w:tcW w:w="2196"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三级指标</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年度</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指标值</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实际</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完成值</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分值</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得分</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偏差原因</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分析及</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801" w:type="dxa"/>
            <w:vMerge w:val="restart"/>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产出指标</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(50分)</w:t>
            </w:r>
          </w:p>
        </w:tc>
        <w:tc>
          <w:tcPr>
            <w:tcW w:w="125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数量指标（15）</w:t>
            </w:r>
          </w:p>
        </w:tc>
        <w:tc>
          <w:tcPr>
            <w:tcW w:w="2196" w:type="dxa"/>
            <w:shd w:val="clear" w:color="auto" w:fill="auto"/>
            <w:vAlign w:val="center"/>
          </w:tcPr>
          <w:p>
            <w:pPr>
              <w:widowControl/>
              <w:spacing w:line="300" w:lineRule="exact"/>
              <w:jc w:val="center"/>
              <w:rPr>
                <w:kern w:val="0"/>
                <w:sz w:val="24"/>
              </w:rPr>
            </w:pPr>
            <w:r>
              <w:rPr>
                <w:rFonts w:hint="eastAsia" w:ascii="仿宋" w:hAnsi="仿宋" w:eastAsia="仿宋"/>
                <w:bCs/>
                <w:sz w:val="18"/>
                <w:szCs w:val="18"/>
              </w:rPr>
              <w:t>国有土地报批率</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15</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15</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98"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801"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125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质量指标（20）</w:t>
            </w:r>
          </w:p>
        </w:tc>
        <w:tc>
          <w:tcPr>
            <w:tcW w:w="2196" w:type="dxa"/>
            <w:shd w:val="clear" w:color="auto" w:fill="auto"/>
            <w:vAlign w:val="center"/>
          </w:tcPr>
          <w:p>
            <w:pPr>
              <w:widowControl/>
              <w:spacing w:line="300" w:lineRule="exact"/>
              <w:jc w:val="center"/>
              <w:rPr>
                <w:kern w:val="0"/>
                <w:sz w:val="24"/>
              </w:rPr>
            </w:pPr>
            <w:r>
              <w:rPr>
                <w:rFonts w:hint="eastAsia" w:ascii="仿宋" w:hAnsi="仿宋" w:eastAsia="仿宋"/>
                <w:bCs/>
                <w:sz w:val="18"/>
                <w:szCs w:val="18"/>
              </w:rPr>
              <w:t>土地出让成本控制率</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98%以上</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20</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19</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原因：人员工作能力有提升空间；措施：加强人员管理和培训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801"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125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时效指标（5）</w:t>
            </w:r>
          </w:p>
        </w:tc>
        <w:tc>
          <w:tcPr>
            <w:tcW w:w="2196" w:type="dxa"/>
            <w:shd w:val="clear" w:color="auto" w:fill="auto"/>
            <w:vAlign w:val="center"/>
          </w:tcPr>
          <w:p>
            <w:pPr>
              <w:widowControl/>
              <w:spacing w:line="300" w:lineRule="exact"/>
              <w:jc w:val="center"/>
              <w:rPr>
                <w:kern w:val="0"/>
                <w:sz w:val="24"/>
              </w:rPr>
            </w:pPr>
            <w:r>
              <w:rPr>
                <w:rFonts w:hint="eastAsia" w:ascii="仿宋" w:hAnsi="仿宋" w:eastAsia="仿宋"/>
                <w:bCs/>
                <w:sz w:val="18"/>
                <w:szCs w:val="18"/>
              </w:rPr>
              <w:t>2022.1.1----2022.12.31</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5</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801"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125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成本指标（10）</w:t>
            </w:r>
          </w:p>
        </w:tc>
        <w:tc>
          <w:tcPr>
            <w:tcW w:w="2196" w:type="dxa"/>
            <w:shd w:val="clear" w:color="auto" w:fill="auto"/>
            <w:vAlign w:val="center"/>
          </w:tcPr>
          <w:p>
            <w:pPr>
              <w:widowControl/>
              <w:spacing w:line="300" w:lineRule="exact"/>
              <w:jc w:val="center"/>
              <w:rPr>
                <w:kern w:val="0"/>
                <w:sz w:val="24"/>
              </w:rPr>
            </w:pPr>
            <w:r>
              <w:rPr>
                <w:rFonts w:hint="eastAsia" w:ascii="仿宋" w:hAnsi="仿宋" w:eastAsia="仿宋"/>
                <w:bCs/>
                <w:sz w:val="18"/>
                <w:szCs w:val="18"/>
              </w:rPr>
              <w:t>30000万元</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80%</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801" w:type="dxa"/>
            <w:vMerge w:val="restart"/>
            <w:shd w:val="clear" w:color="auto" w:fill="auto"/>
            <w:vAlign w:val="center"/>
          </w:tcPr>
          <w:p>
            <w:pPr>
              <w:widowControl/>
              <w:spacing w:line="320" w:lineRule="exact"/>
              <w:jc w:val="left"/>
              <w:rPr>
                <w:rFonts w:ascii="Times New Roman" w:hAnsi="Times New Roman" w:eastAsia="仿宋_GB2312"/>
                <w:color w:val="000000"/>
                <w:kern w:val="0"/>
              </w:rPr>
            </w:pPr>
            <w:r>
              <w:rPr>
                <w:rFonts w:ascii="Times New Roman" w:hAnsi="Times New Roman" w:eastAsia="仿宋_GB2312"/>
                <w:color w:val="000000"/>
                <w:kern w:val="0"/>
              </w:rPr>
              <w:t>效益指标</w:t>
            </w:r>
          </w:p>
          <w:p>
            <w:pPr>
              <w:widowControl/>
              <w:spacing w:line="320" w:lineRule="exact"/>
              <w:jc w:val="left"/>
              <w:rPr>
                <w:rFonts w:ascii="Times New Roman" w:hAnsi="Times New Roman" w:eastAsia="仿宋_GB2312"/>
                <w:color w:val="000000"/>
                <w:kern w:val="0"/>
              </w:rPr>
            </w:pPr>
            <w:r>
              <w:rPr>
                <w:rFonts w:ascii="Times New Roman" w:hAnsi="Times New Roman" w:eastAsia="仿宋_GB2312"/>
                <w:color w:val="000000"/>
                <w:kern w:val="0"/>
              </w:rPr>
              <w:t>（40分）</w:t>
            </w:r>
          </w:p>
        </w:tc>
        <w:tc>
          <w:tcPr>
            <w:tcW w:w="125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经济效</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2196" w:type="dxa"/>
            <w:shd w:val="clear" w:color="auto" w:fill="auto"/>
            <w:vAlign w:val="center"/>
          </w:tcPr>
          <w:p>
            <w:pPr>
              <w:widowControl/>
              <w:spacing w:line="300" w:lineRule="exact"/>
              <w:jc w:val="center"/>
              <w:rPr>
                <w:kern w:val="0"/>
                <w:sz w:val="24"/>
              </w:rPr>
            </w:pPr>
            <w:r>
              <w:rPr>
                <w:rFonts w:hint="eastAsia" w:ascii="仿宋" w:hAnsi="仿宋" w:eastAsia="仿宋"/>
                <w:bCs/>
                <w:sz w:val="18"/>
                <w:szCs w:val="18"/>
              </w:rPr>
              <w:t>调节土地资源收入、筹集财政收入</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效果显著</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801"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125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社会效</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2196" w:type="dxa"/>
            <w:shd w:val="clear" w:color="auto" w:fill="auto"/>
            <w:vAlign w:val="center"/>
          </w:tcPr>
          <w:p>
            <w:pPr>
              <w:widowControl/>
              <w:spacing w:line="300" w:lineRule="exact"/>
              <w:jc w:val="center"/>
              <w:rPr>
                <w:kern w:val="0"/>
                <w:sz w:val="24"/>
              </w:rPr>
            </w:pPr>
            <w:r>
              <w:rPr>
                <w:rFonts w:hint="eastAsia" w:ascii="仿宋" w:hAnsi="仿宋" w:eastAsia="仿宋"/>
                <w:bCs/>
                <w:sz w:val="18"/>
                <w:szCs w:val="18"/>
              </w:rPr>
              <w:t>严格控制新增建设用地总量和新增建设用地占用耕地数量</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效果显著</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801"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125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生态效</w:t>
            </w:r>
          </w:p>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益指标（10）</w:t>
            </w:r>
          </w:p>
        </w:tc>
        <w:tc>
          <w:tcPr>
            <w:tcW w:w="2196" w:type="dxa"/>
            <w:shd w:val="clear" w:color="auto" w:fill="auto"/>
            <w:vAlign w:val="center"/>
          </w:tcPr>
          <w:p>
            <w:pPr>
              <w:rPr>
                <w:rFonts w:ascii="宋体" w:hAnsi="宋体"/>
              </w:rPr>
            </w:pPr>
            <w:r>
              <w:rPr>
                <w:rFonts w:ascii="仿宋" w:hAnsi="仿宋" w:eastAsia="仿宋"/>
                <w:bCs/>
                <w:sz w:val="18"/>
                <w:szCs w:val="18"/>
              </w:rPr>
              <w:t>推进城镇低效用地再开发，促进土地利用集约度</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效果显著</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8" w:type="dxa"/>
            <w:vMerge w:val="continue"/>
            <w:shd w:val="clear" w:color="auto" w:fill="auto"/>
            <w:vAlign w:val="center"/>
          </w:tcPr>
          <w:p>
            <w:pPr>
              <w:widowControl/>
              <w:spacing w:line="320" w:lineRule="exact"/>
              <w:jc w:val="center"/>
              <w:rPr>
                <w:rFonts w:ascii="Times New Roman" w:hAnsi="Times New Roman" w:eastAsia="仿宋_GB2312"/>
                <w:color w:val="000000"/>
                <w:kern w:val="0"/>
              </w:rPr>
            </w:pPr>
          </w:p>
        </w:tc>
        <w:tc>
          <w:tcPr>
            <w:tcW w:w="801" w:type="dxa"/>
            <w:vMerge w:val="continue"/>
            <w:shd w:val="clear" w:color="auto" w:fill="auto"/>
            <w:vAlign w:val="center"/>
          </w:tcPr>
          <w:p>
            <w:pPr>
              <w:widowControl/>
              <w:spacing w:line="320" w:lineRule="exact"/>
              <w:jc w:val="left"/>
              <w:rPr>
                <w:rFonts w:ascii="Times New Roman" w:hAnsi="Times New Roman" w:eastAsia="仿宋_GB2312"/>
                <w:color w:val="000000"/>
                <w:kern w:val="0"/>
              </w:rPr>
            </w:pPr>
          </w:p>
        </w:tc>
        <w:tc>
          <w:tcPr>
            <w:tcW w:w="125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可持续影响指标（10）</w:t>
            </w:r>
          </w:p>
        </w:tc>
        <w:tc>
          <w:tcPr>
            <w:tcW w:w="2196" w:type="dxa"/>
            <w:shd w:val="clear" w:color="auto" w:fill="auto"/>
            <w:vAlign w:val="center"/>
          </w:tcPr>
          <w:p>
            <w:pPr>
              <w:widowControl/>
              <w:spacing w:line="300" w:lineRule="exact"/>
              <w:jc w:val="center"/>
              <w:rPr>
                <w:kern w:val="0"/>
                <w:sz w:val="24"/>
              </w:rPr>
            </w:pPr>
            <w:r>
              <w:rPr>
                <w:rFonts w:ascii="仿宋" w:hAnsi="仿宋" w:eastAsia="仿宋"/>
                <w:bCs/>
                <w:sz w:val="18"/>
                <w:szCs w:val="18"/>
              </w:rPr>
              <w:t>严格控制储备土地总规模</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效果显著</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98" w:type="dxa"/>
            <w:vMerge w:val="continue"/>
            <w:shd w:val="clear" w:color="auto" w:fill="auto"/>
            <w:vAlign w:val="center"/>
          </w:tcPr>
          <w:p>
            <w:pPr>
              <w:spacing w:line="320" w:lineRule="exact"/>
              <w:jc w:val="left"/>
              <w:rPr>
                <w:rFonts w:ascii="Times New Roman" w:hAnsi="Times New Roman" w:eastAsia="仿宋_GB2312"/>
                <w:color w:val="000000"/>
                <w:kern w:val="0"/>
              </w:rPr>
            </w:pPr>
          </w:p>
        </w:tc>
        <w:tc>
          <w:tcPr>
            <w:tcW w:w="801" w:type="dxa"/>
            <w:vMerge w:val="continue"/>
            <w:shd w:val="clear" w:color="auto" w:fill="auto"/>
            <w:vAlign w:val="center"/>
          </w:tcPr>
          <w:p>
            <w:pPr>
              <w:widowControl/>
              <w:spacing w:line="320" w:lineRule="exact"/>
              <w:jc w:val="center"/>
              <w:rPr>
                <w:rFonts w:ascii="Times New Roman" w:hAnsi="Times New Roman" w:eastAsia="仿宋_GB2312"/>
                <w:color w:val="000000"/>
                <w:kern w:val="0"/>
              </w:rPr>
            </w:pPr>
          </w:p>
        </w:tc>
        <w:tc>
          <w:tcPr>
            <w:tcW w:w="1258"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服务对象满意度指标（10）</w:t>
            </w:r>
          </w:p>
        </w:tc>
        <w:tc>
          <w:tcPr>
            <w:tcW w:w="2196" w:type="dxa"/>
            <w:shd w:val="clear" w:color="auto" w:fill="auto"/>
            <w:vAlign w:val="center"/>
          </w:tcPr>
          <w:p>
            <w:pPr>
              <w:widowControl/>
              <w:spacing w:line="300" w:lineRule="exact"/>
              <w:jc w:val="center"/>
              <w:rPr>
                <w:kern w:val="0"/>
                <w:sz w:val="24"/>
              </w:rPr>
            </w:pPr>
            <w:r>
              <w:rPr>
                <w:rFonts w:ascii="仿宋" w:hAnsi="仿宋" w:eastAsia="仿宋"/>
                <w:bCs/>
                <w:sz w:val="18"/>
                <w:szCs w:val="18"/>
              </w:rPr>
              <w:t>社会公众对项目实施效果满意度</w:t>
            </w:r>
          </w:p>
        </w:tc>
        <w:tc>
          <w:tcPr>
            <w:tcW w:w="1178"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服务对象满意率达99%</w:t>
            </w:r>
          </w:p>
        </w:tc>
        <w:tc>
          <w:tcPr>
            <w:tcW w:w="100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100%</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10</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w:t>
            </w:r>
          </w:p>
        </w:tc>
        <w:tc>
          <w:tcPr>
            <w:tcW w:w="1121"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原因：业务能力仍可加强；措施：加强培训、提高效率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35" w:type="dxa"/>
            <w:gridSpan w:val="6"/>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总分</w:t>
            </w:r>
          </w:p>
        </w:tc>
        <w:tc>
          <w:tcPr>
            <w:tcW w:w="752" w:type="dxa"/>
            <w:shd w:val="clear" w:color="auto" w:fill="auto"/>
            <w:vAlign w:val="center"/>
          </w:tcPr>
          <w:p>
            <w:pPr>
              <w:widowControl/>
              <w:spacing w:line="320" w:lineRule="exact"/>
              <w:jc w:val="center"/>
              <w:rPr>
                <w:rFonts w:ascii="Times New Roman" w:hAnsi="Times New Roman" w:eastAsia="仿宋_GB2312"/>
                <w:color w:val="000000"/>
                <w:kern w:val="0"/>
              </w:rPr>
            </w:pPr>
            <w:r>
              <w:rPr>
                <w:rFonts w:ascii="Times New Roman" w:hAnsi="Times New Roman" w:eastAsia="仿宋_GB2312"/>
                <w:color w:val="000000"/>
                <w:kern w:val="0"/>
              </w:rPr>
              <w:t>100</w:t>
            </w:r>
          </w:p>
        </w:tc>
        <w:tc>
          <w:tcPr>
            <w:tcW w:w="884" w:type="dxa"/>
            <w:shd w:val="clear" w:color="auto" w:fill="auto"/>
            <w:vAlign w:val="center"/>
          </w:tcPr>
          <w:p>
            <w:pPr>
              <w:widowControl/>
              <w:spacing w:line="320" w:lineRule="exact"/>
              <w:jc w:val="center"/>
              <w:rPr>
                <w:rFonts w:ascii="Times New Roman" w:hAnsi="Times New Roman" w:eastAsia="仿宋_GB2312"/>
                <w:color w:val="000000"/>
                <w:kern w:val="0"/>
              </w:rPr>
            </w:pPr>
            <w:r>
              <w:rPr>
                <w:rFonts w:hint="eastAsia" w:ascii="Times New Roman" w:hAnsi="Times New Roman" w:eastAsia="仿宋_GB2312"/>
                <w:color w:val="000000"/>
                <w:kern w:val="0"/>
              </w:rPr>
              <w:t>98</w:t>
            </w:r>
          </w:p>
        </w:tc>
        <w:tc>
          <w:tcPr>
            <w:tcW w:w="1121" w:type="dxa"/>
            <w:shd w:val="clear" w:color="auto" w:fill="auto"/>
            <w:vAlign w:val="center"/>
          </w:tcPr>
          <w:p>
            <w:pPr>
              <w:widowControl/>
              <w:spacing w:line="320" w:lineRule="exact"/>
              <w:jc w:val="left"/>
              <w:rPr>
                <w:rFonts w:ascii="Times New Roman" w:hAnsi="Times New Roman" w:eastAsia="仿宋_GB2312"/>
                <w:kern w:val="0"/>
              </w:rPr>
            </w:pPr>
            <w:r>
              <w:rPr>
                <w:rFonts w:ascii="Times New Roman" w:hAnsi="Times New Roman" w:eastAsia="仿宋_GB2312"/>
                <w:kern w:val="0"/>
              </w:rPr>
              <w:t>　</w:t>
            </w:r>
          </w:p>
        </w:tc>
      </w:tr>
    </w:tbl>
    <w:p>
      <w:pPr>
        <w:widowControl/>
        <w:spacing w:line="480" w:lineRule="exact"/>
        <w:jc w:val="left"/>
        <w:rPr>
          <w:rFonts w:ascii="Times New Roman" w:hAnsi="Times New Roman" w:eastAsia="仿宋_GB2312"/>
          <w:color w:val="000000"/>
          <w:kern w:val="0"/>
        </w:rPr>
      </w:pPr>
    </w:p>
    <w:p>
      <w:pPr>
        <w:spacing w:line="600" w:lineRule="exact"/>
        <w:rPr>
          <w:rFonts w:ascii="Times New Roman" w:hAnsi="Times New Roman" w:eastAsia="仿宋_GB2312"/>
          <w:color w:val="000000"/>
          <w:kern w:val="0"/>
        </w:rPr>
      </w:pPr>
    </w:p>
    <w:sectPr>
      <w:headerReference r:id="rId6" w:type="default"/>
      <w:footerReference r:id="rId7" w:type="default"/>
      <w:footerReference r:id="rId8" w:type="even"/>
      <w:pgSz w:w="11906" w:h="16838"/>
      <w:pgMar w:top="1701" w:right="1531" w:bottom="1418"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eastAsia="仿宋_GB2312"/>
        <w:sz w:val="28"/>
        <w:szCs w:val="28"/>
      </w:rPr>
    </w:pPr>
    <w:r>
      <w:rPr>
        <w:rStyle w:val="8"/>
        <w:rFonts w:eastAsia="仿宋_GB2312"/>
        <w:sz w:val="28"/>
        <w:szCs w:val="28"/>
      </w:rPr>
      <w:t>—</w:t>
    </w:r>
    <w:r>
      <w:rPr>
        <w:rFonts w:eastAsia="仿宋_GB2312"/>
        <w:sz w:val="28"/>
        <w:szCs w:val="28"/>
      </w:rPr>
      <w:fldChar w:fldCharType="begin"/>
    </w:r>
    <w:r>
      <w:rPr>
        <w:rStyle w:val="8"/>
        <w:rFonts w:eastAsia="仿宋_GB2312"/>
        <w:sz w:val="28"/>
        <w:szCs w:val="28"/>
      </w:rPr>
      <w:instrText xml:space="preserve">PAGE  </w:instrText>
    </w:r>
    <w:r>
      <w:rPr>
        <w:rFonts w:eastAsia="仿宋_GB2312"/>
        <w:sz w:val="28"/>
        <w:szCs w:val="28"/>
      </w:rPr>
      <w:fldChar w:fldCharType="separate"/>
    </w:r>
    <w:r>
      <w:rPr>
        <w:rStyle w:val="8"/>
        <w:rFonts w:eastAsia="仿宋_GB2312"/>
        <w:sz w:val="28"/>
        <w:szCs w:val="28"/>
      </w:rPr>
      <w:t>14</w:t>
    </w:r>
    <w:r>
      <w:rPr>
        <w:rFonts w:eastAsia="仿宋_GB2312"/>
        <w:sz w:val="28"/>
        <w:szCs w:val="28"/>
      </w:rPr>
      <w:fldChar w:fldCharType="end"/>
    </w:r>
    <w:r>
      <w:rPr>
        <w:rStyle w:val="8"/>
        <w:rFonts w:eastAsia="仿宋_GB2312"/>
        <w:sz w:val="28"/>
        <w:szCs w:val="28"/>
      </w:rPr>
      <w:t>—</w:t>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rPr>
        <w:rStyle w:val="8"/>
      </w:rPr>
      <w:t>6</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eastAsia="仿宋_GB2312"/>
        <w:sz w:val="28"/>
        <w:szCs w:val="28"/>
      </w:rPr>
    </w:pPr>
    <w:r>
      <w:rPr>
        <w:rStyle w:val="8"/>
        <w:rFonts w:eastAsia="仿宋_GB2312"/>
        <w:sz w:val="28"/>
        <w:szCs w:val="28"/>
      </w:rPr>
      <w:t>—</w:t>
    </w:r>
    <w:r>
      <w:rPr>
        <w:rFonts w:eastAsia="仿宋_GB2312"/>
        <w:sz w:val="28"/>
        <w:szCs w:val="28"/>
      </w:rPr>
      <w:fldChar w:fldCharType="begin"/>
    </w:r>
    <w:r>
      <w:rPr>
        <w:rStyle w:val="8"/>
        <w:rFonts w:eastAsia="仿宋_GB2312"/>
        <w:sz w:val="28"/>
        <w:szCs w:val="28"/>
      </w:rPr>
      <w:instrText xml:space="preserve">PAGE  </w:instrText>
    </w:r>
    <w:r>
      <w:rPr>
        <w:rFonts w:eastAsia="仿宋_GB2312"/>
        <w:sz w:val="28"/>
        <w:szCs w:val="28"/>
      </w:rPr>
      <w:fldChar w:fldCharType="separate"/>
    </w:r>
    <w:r>
      <w:rPr>
        <w:rStyle w:val="8"/>
        <w:rFonts w:eastAsia="仿宋_GB2312"/>
        <w:sz w:val="28"/>
        <w:szCs w:val="28"/>
      </w:rPr>
      <w:t>21</w:t>
    </w:r>
    <w:r>
      <w:rPr>
        <w:rFonts w:eastAsia="仿宋_GB2312"/>
        <w:sz w:val="28"/>
        <w:szCs w:val="28"/>
      </w:rPr>
      <w:fldChar w:fldCharType="end"/>
    </w:r>
    <w:r>
      <w:rPr>
        <w:rStyle w:val="8"/>
        <w:rFonts w:eastAsia="仿宋_GB2312"/>
        <w:sz w:val="28"/>
        <w:szCs w:val="28"/>
      </w:rPr>
      <w:t>—</w:t>
    </w:r>
  </w:p>
  <w:p>
    <w:pPr>
      <w:pStyle w:val="2"/>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rPr>
        <w:rStyle w:val="8"/>
      </w:rPr>
      <w:t>6</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MTZjM2UyOTI2ODhjYjM1NzQ1YTZhODg4NDRhYzIifQ=="/>
  </w:docVars>
  <w:rsids>
    <w:rsidRoot w:val="00A12596"/>
    <w:rsid w:val="00004F47"/>
    <w:rsid w:val="00005829"/>
    <w:rsid w:val="00005C49"/>
    <w:rsid w:val="00017285"/>
    <w:rsid w:val="000234E3"/>
    <w:rsid w:val="000240A0"/>
    <w:rsid w:val="00026ACD"/>
    <w:rsid w:val="00031557"/>
    <w:rsid w:val="0003202D"/>
    <w:rsid w:val="000327DC"/>
    <w:rsid w:val="00033D31"/>
    <w:rsid w:val="00036432"/>
    <w:rsid w:val="000365CD"/>
    <w:rsid w:val="0004067C"/>
    <w:rsid w:val="00051E38"/>
    <w:rsid w:val="00060874"/>
    <w:rsid w:val="00064A69"/>
    <w:rsid w:val="00065513"/>
    <w:rsid w:val="000709ED"/>
    <w:rsid w:val="0007489E"/>
    <w:rsid w:val="00080C5C"/>
    <w:rsid w:val="000827A1"/>
    <w:rsid w:val="0008583D"/>
    <w:rsid w:val="00085A95"/>
    <w:rsid w:val="00085DB8"/>
    <w:rsid w:val="000875F6"/>
    <w:rsid w:val="000929FE"/>
    <w:rsid w:val="000948A4"/>
    <w:rsid w:val="00094A96"/>
    <w:rsid w:val="00097F81"/>
    <w:rsid w:val="000A3AAA"/>
    <w:rsid w:val="000A74E8"/>
    <w:rsid w:val="000A7CEC"/>
    <w:rsid w:val="000B633F"/>
    <w:rsid w:val="000B6A1A"/>
    <w:rsid w:val="000C2996"/>
    <w:rsid w:val="000C66B4"/>
    <w:rsid w:val="000D2D06"/>
    <w:rsid w:val="000D61A5"/>
    <w:rsid w:val="000D761B"/>
    <w:rsid w:val="000E0691"/>
    <w:rsid w:val="000E17B1"/>
    <w:rsid w:val="000E1ED2"/>
    <w:rsid w:val="000E44D8"/>
    <w:rsid w:val="000E5969"/>
    <w:rsid w:val="000F2BB2"/>
    <w:rsid w:val="000F76DA"/>
    <w:rsid w:val="00100150"/>
    <w:rsid w:val="0010026C"/>
    <w:rsid w:val="0010110B"/>
    <w:rsid w:val="001020E6"/>
    <w:rsid w:val="00102269"/>
    <w:rsid w:val="0010294E"/>
    <w:rsid w:val="00104DE6"/>
    <w:rsid w:val="001054E6"/>
    <w:rsid w:val="00112862"/>
    <w:rsid w:val="00113FA5"/>
    <w:rsid w:val="001148D8"/>
    <w:rsid w:val="001168E5"/>
    <w:rsid w:val="001324DB"/>
    <w:rsid w:val="00143A29"/>
    <w:rsid w:val="0014593C"/>
    <w:rsid w:val="00146CF8"/>
    <w:rsid w:val="0015379B"/>
    <w:rsid w:val="0015438D"/>
    <w:rsid w:val="00155B1A"/>
    <w:rsid w:val="00156B95"/>
    <w:rsid w:val="0016484E"/>
    <w:rsid w:val="0016680E"/>
    <w:rsid w:val="001677A6"/>
    <w:rsid w:val="001807A7"/>
    <w:rsid w:val="00184DC6"/>
    <w:rsid w:val="00187390"/>
    <w:rsid w:val="0019056A"/>
    <w:rsid w:val="0019076C"/>
    <w:rsid w:val="001A727F"/>
    <w:rsid w:val="001A7ADF"/>
    <w:rsid w:val="001B1457"/>
    <w:rsid w:val="001B6E2F"/>
    <w:rsid w:val="001B7D49"/>
    <w:rsid w:val="001C019A"/>
    <w:rsid w:val="001C0A80"/>
    <w:rsid w:val="001C1979"/>
    <w:rsid w:val="001C376E"/>
    <w:rsid w:val="001C3A58"/>
    <w:rsid w:val="001C4646"/>
    <w:rsid w:val="001D14A3"/>
    <w:rsid w:val="001D2518"/>
    <w:rsid w:val="001D3D86"/>
    <w:rsid w:val="001E04B1"/>
    <w:rsid w:val="001E26C0"/>
    <w:rsid w:val="001E271A"/>
    <w:rsid w:val="001E3255"/>
    <w:rsid w:val="001E74A8"/>
    <w:rsid w:val="001E79FE"/>
    <w:rsid w:val="001F1554"/>
    <w:rsid w:val="001F4257"/>
    <w:rsid w:val="00200BB6"/>
    <w:rsid w:val="00204308"/>
    <w:rsid w:val="0021430D"/>
    <w:rsid w:val="00214EBA"/>
    <w:rsid w:val="00217849"/>
    <w:rsid w:val="00217D44"/>
    <w:rsid w:val="00220330"/>
    <w:rsid w:val="00223969"/>
    <w:rsid w:val="002257E3"/>
    <w:rsid w:val="0023148D"/>
    <w:rsid w:val="00231B66"/>
    <w:rsid w:val="00233719"/>
    <w:rsid w:val="00235ABB"/>
    <w:rsid w:val="00243DC6"/>
    <w:rsid w:val="00247840"/>
    <w:rsid w:val="002507AF"/>
    <w:rsid w:val="002513AA"/>
    <w:rsid w:val="002531D9"/>
    <w:rsid w:val="00257FC4"/>
    <w:rsid w:val="0026017D"/>
    <w:rsid w:val="0026397B"/>
    <w:rsid w:val="00273AE4"/>
    <w:rsid w:val="0027532C"/>
    <w:rsid w:val="00276935"/>
    <w:rsid w:val="00277E71"/>
    <w:rsid w:val="0028198F"/>
    <w:rsid w:val="00291695"/>
    <w:rsid w:val="00291872"/>
    <w:rsid w:val="00294FA9"/>
    <w:rsid w:val="002A13EB"/>
    <w:rsid w:val="002A4A60"/>
    <w:rsid w:val="002A4DA8"/>
    <w:rsid w:val="002A5253"/>
    <w:rsid w:val="002A7621"/>
    <w:rsid w:val="002A79B9"/>
    <w:rsid w:val="002B0ABC"/>
    <w:rsid w:val="002B0DE5"/>
    <w:rsid w:val="002B1CC1"/>
    <w:rsid w:val="002B4F5F"/>
    <w:rsid w:val="002C2037"/>
    <w:rsid w:val="002C2CEA"/>
    <w:rsid w:val="002C2FD1"/>
    <w:rsid w:val="002D0ED2"/>
    <w:rsid w:val="002D196F"/>
    <w:rsid w:val="002D1A8D"/>
    <w:rsid w:val="002D1FDC"/>
    <w:rsid w:val="002D389E"/>
    <w:rsid w:val="002D4F58"/>
    <w:rsid w:val="002E0C40"/>
    <w:rsid w:val="002E17E9"/>
    <w:rsid w:val="002E1D29"/>
    <w:rsid w:val="002E2E5B"/>
    <w:rsid w:val="002E2FEF"/>
    <w:rsid w:val="002F06C8"/>
    <w:rsid w:val="002F15B3"/>
    <w:rsid w:val="002F38BA"/>
    <w:rsid w:val="002F5344"/>
    <w:rsid w:val="002F7CEF"/>
    <w:rsid w:val="003015BB"/>
    <w:rsid w:val="003035D6"/>
    <w:rsid w:val="00306977"/>
    <w:rsid w:val="00311415"/>
    <w:rsid w:val="0031227C"/>
    <w:rsid w:val="00313130"/>
    <w:rsid w:val="00313E22"/>
    <w:rsid w:val="003142A5"/>
    <w:rsid w:val="003146A6"/>
    <w:rsid w:val="00314B57"/>
    <w:rsid w:val="00316D49"/>
    <w:rsid w:val="00322FFD"/>
    <w:rsid w:val="00323468"/>
    <w:rsid w:val="00323FAC"/>
    <w:rsid w:val="003257BF"/>
    <w:rsid w:val="003303FD"/>
    <w:rsid w:val="00331370"/>
    <w:rsid w:val="00335466"/>
    <w:rsid w:val="00335E9F"/>
    <w:rsid w:val="00343E77"/>
    <w:rsid w:val="003440FC"/>
    <w:rsid w:val="00346743"/>
    <w:rsid w:val="003470F0"/>
    <w:rsid w:val="00351B5A"/>
    <w:rsid w:val="00355425"/>
    <w:rsid w:val="00364DC8"/>
    <w:rsid w:val="00371C02"/>
    <w:rsid w:val="00371F2C"/>
    <w:rsid w:val="00372611"/>
    <w:rsid w:val="003752BD"/>
    <w:rsid w:val="0037732F"/>
    <w:rsid w:val="003776BA"/>
    <w:rsid w:val="0038066A"/>
    <w:rsid w:val="00386442"/>
    <w:rsid w:val="0039529A"/>
    <w:rsid w:val="003A0EB2"/>
    <w:rsid w:val="003B1B6A"/>
    <w:rsid w:val="003B25B5"/>
    <w:rsid w:val="003B325B"/>
    <w:rsid w:val="003C19D2"/>
    <w:rsid w:val="003C3CCF"/>
    <w:rsid w:val="003C6E00"/>
    <w:rsid w:val="003D1CA4"/>
    <w:rsid w:val="003D3D84"/>
    <w:rsid w:val="003D5924"/>
    <w:rsid w:val="003E22F9"/>
    <w:rsid w:val="003E390B"/>
    <w:rsid w:val="003F0CA1"/>
    <w:rsid w:val="003F2537"/>
    <w:rsid w:val="003F691A"/>
    <w:rsid w:val="00400A02"/>
    <w:rsid w:val="004029A0"/>
    <w:rsid w:val="00402C6D"/>
    <w:rsid w:val="00404529"/>
    <w:rsid w:val="00404B3F"/>
    <w:rsid w:val="00406F21"/>
    <w:rsid w:val="00407FDA"/>
    <w:rsid w:val="004175BA"/>
    <w:rsid w:val="004179D8"/>
    <w:rsid w:val="0042000D"/>
    <w:rsid w:val="004203B0"/>
    <w:rsid w:val="004218E3"/>
    <w:rsid w:val="004315EA"/>
    <w:rsid w:val="00431A46"/>
    <w:rsid w:val="00431B5E"/>
    <w:rsid w:val="00433BD7"/>
    <w:rsid w:val="00433EC2"/>
    <w:rsid w:val="00445BCF"/>
    <w:rsid w:val="00446214"/>
    <w:rsid w:val="0044652F"/>
    <w:rsid w:val="00450BD1"/>
    <w:rsid w:val="00452C74"/>
    <w:rsid w:val="00453F7A"/>
    <w:rsid w:val="0045455B"/>
    <w:rsid w:val="00462DDB"/>
    <w:rsid w:val="0046325D"/>
    <w:rsid w:val="00466278"/>
    <w:rsid w:val="00466A28"/>
    <w:rsid w:val="00483B55"/>
    <w:rsid w:val="004926EA"/>
    <w:rsid w:val="00494E8E"/>
    <w:rsid w:val="004953A1"/>
    <w:rsid w:val="00496C8C"/>
    <w:rsid w:val="004A2F4C"/>
    <w:rsid w:val="004A37AF"/>
    <w:rsid w:val="004A39C5"/>
    <w:rsid w:val="004A780E"/>
    <w:rsid w:val="004B1355"/>
    <w:rsid w:val="004C0051"/>
    <w:rsid w:val="004C25BE"/>
    <w:rsid w:val="004C57C2"/>
    <w:rsid w:val="004D1E31"/>
    <w:rsid w:val="004D527A"/>
    <w:rsid w:val="004D54D7"/>
    <w:rsid w:val="004D64BB"/>
    <w:rsid w:val="004D7FD4"/>
    <w:rsid w:val="004E58FD"/>
    <w:rsid w:val="004E61C3"/>
    <w:rsid w:val="004E73AD"/>
    <w:rsid w:val="004F0069"/>
    <w:rsid w:val="004F0477"/>
    <w:rsid w:val="004F0C0B"/>
    <w:rsid w:val="005034F2"/>
    <w:rsid w:val="00510C06"/>
    <w:rsid w:val="0051313A"/>
    <w:rsid w:val="005131A5"/>
    <w:rsid w:val="0052124A"/>
    <w:rsid w:val="00522549"/>
    <w:rsid w:val="0052407B"/>
    <w:rsid w:val="00526070"/>
    <w:rsid w:val="00527B55"/>
    <w:rsid w:val="00527BF5"/>
    <w:rsid w:val="005318FC"/>
    <w:rsid w:val="00533386"/>
    <w:rsid w:val="00535939"/>
    <w:rsid w:val="005402C3"/>
    <w:rsid w:val="0054251A"/>
    <w:rsid w:val="0054348E"/>
    <w:rsid w:val="00543AEE"/>
    <w:rsid w:val="00544B67"/>
    <w:rsid w:val="005455C9"/>
    <w:rsid w:val="00546C13"/>
    <w:rsid w:val="00554384"/>
    <w:rsid w:val="00555580"/>
    <w:rsid w:val="00555E21"/>
    <w:rsid w:val="005565A7"/>
    <w:rsid w:val="00556667"/>
    <w:rsid w:val="00556FED"/>
    <w:rsid w:val="00581573"/>
    <w:rsid w:val="00585461"/>
    <w:rsid w:val="00593A5F"/>
    <w:rsid w:val="00593F03"/>
    <w:rsid w:val="00595CDC"/>
    <w:rsid w:val="005A0ED8"/>
    <w:rsid w:val="005A4761"/>
    <w:rsid w:val="005A6EA1"/>
    <w:rsid w:val="005B066D"/>
    <w:rsid w:val="005B4FD0"/>
    <w:rsid w:val="005B61A2"/>
    <w:rsid w:val="005B7DE7"/>
    <w:rsid w:val="005C617B"/>
    <w:rsid w:val="005C7141"/>
    <w:rsid w:val="005C77D1"/>
    <w:rsid w:val="005D2267"/>
    <w:rsid w:val="005D3611"/>
    <w:rsid w:val="005D3B3B"/>
    <w:rsid w:val="005D3DE7"/>
    <w:rsid w:val="005D40E3"/>
    <w:rsid w:val="005D47ED"/>
    <w:rsid w:val="005D60DD"/>
    <w:rsid w:val="005E510F"/>
    <w:rsid w:val="005F0ACA"/>
    <w:rsid w:val="005F12D8"/>
    <w:rsid w:val="00602FDC"/>
    <w:rsid w:val="006064AA"/>
    <w:rsid w:val="0061193F"/>
    <w:rsid w:val="006160E2"/>
    <w:rsid w:val="00617FE4"/>
    <w:rsid w:val="00620D1C"/>
    <w:rsid w:val="00623D5D"/>
    <w:rsid w:val="00625AB2"/>
    <w:rsid w:val="006279EA"/>
    <w:rsid w:val="00633DAB"/>
    <w:rsid w:val="00634609"/>
    <w:rsid w:val="00642DBA"/>
    <w:rsid w:val="00650A1E"/>
    <w:rsid w:val="00654F2F"/>
    <w:rsid w:val="00657BED"/>
    <w:rsid w:val="00662813"/>
    <w:rsid w:val="0066361F"/>
    <w:rsid w:val="0067153B"/>
    <w:rsid w:val="00681F29"/>
    <w:rsid w:val="00687B42"/>
    <w:rsid w:val="00693182"/>
    <w:rsid w:val="006960A9"/>
    <w:rsid w:val="00696A10"/>
    <w:rsid w:val="006A07BB"/>
    <w:rsid w:val="006A0B09"/>
    <w:rsid w:val="006A13BA"/>
    <w:rsid w:val="006A397E"/>
    <w:rsid w:val="006A716E"/>
    <w:rsid w:val="006B047A"/>
    <w:rsid w:val="006B4B38"/>
    <w:rsid w:val="006B55C7"/>
    <w:rsid w:val="006B6973"/>
    <w:rsid w:val="006B6B9B"/>
    <w:rsid w:val="006C02A2"/>
    <w:rsid w:val="006E1781"/>
    <w:rsid w:val="006E1A75"/>
    <w:rsid w:val="006E49CE"/>
    <w:rsid w:val="006E69C3"/>
    <w:rsid w:val="006F32A0"/>
    <w:rsid w:val="006F35E9"/>
    <w:rsid w:val="006F5A9D"/>
    <w:rsid w:val="006F5E11"/>
    <w:rsid w:val="007063E1"/>
    <w:rsid w:val="007117EC"/>
    <w:rsid w:val="00712E81"/>
    <w:rsid w:val="00712F72"/>
    <w:rsid w:val="007160CD"/>
    <w:rsid w:val="00717E15"/>
    <w:rsid w:val="0072488E"/>
    <w:rsid w:val="00725C19"/>
    <w:rsid w:val="00727A22"/>
    <w:rsid w:val="0073096C"/>
    <w:rsid w:val="0073279C"/>
    <w:rsid w:val="00733398"/>
    <w:rsid w:val="0073396B"/>
    <w:rsid w:val="00736BE4"/>
    <w:rsid w:val="00741AAE"/>
    <w:rsid w:val="00741ED9"/>
    <w:rsid w:val="00741F68"/>
    <w:rsid w:val="00746D5C"/>
    <w:rsid w:val="007475B2"/>
    <w:rsid w:val="00751B87"/>
    <w:rsid w:val="00752933"/>
    <w:rsid w:val="00752993"/>
    <w:rsid w:val="0075568D"/>
    <w:rsid w:val="00756C56"/>
    <w:rsid w:val="00757B1E"/>
    <w:rsid w:val="0076071E"/>
    <w:rsid w:val="00765427"/>
    <w:rsid w:val="007674AF"/>
    <w:rsid w:val="00771C11"/>
    <w:rsid w:val="00773C21"/>
    <w:rsid w:val="00776687"/>
    <w:rsid w:val="00780879"/>
    <w:rsid w:val="00781460"/>
    <w:rsid w:val="00782727"/>
    <w:rsid w:val="0078650D"/>
    <w:rsid w:val="0078682E"/>
    <w:rsid w:val="007874A1"/>
    <w:rsid w:val="00787D02"/>
    <w:rsid w:val="007A410C"/>
    <w:rsid w:val="007B0353"/>
    <w:rsid w:val="007B42E2"/>
    <w:rsid w:val="007C11FA"/>
    <w:rsid w:val="007C3475"/>
    <w:rsid w:val="007C5571"/>
    <w:rsid w:val="007D240C"/>
    <w:rsid w:val="007D2AD6"/>
    <w:rsid w:val="007D7B37"/>
    <w:rsid w:val="007E77EA"/>
    <w:rsid w:val="007F0069"/>
    <w:rsid w:val="007F0FF6"/>
    <w:rsid w:val="008050C5"/>
    <w:rsid w:val="00806A65"/>
    <w:rsid w:val="00813746"/>
    <w:rsid w:val="008137C7"/>
    <w:rsid w:val="00813923"/>
    <w:rsid w:val="008149ED"/>
    <w:rsid w:val="00820929"/>
    <w:rsid w:val="008212F9"/>
    <w:rsid w:val="00825B19"/>
    <w:rsid w:val="00831B95"/>
    <w:rsid w:val="00832963"/>
    <w:rsid w:val="00833BAA"/>
    <w:rsid w:val="00833C8C"/>
    <w:rsid w:val="00845109"/>
    <w:rsid w:val="00845AD7"/>
    <w:rsid w:val="008508D4"/>
    <w:rsid w:val="00851153"/>
    <w:rsid w:val="0085386C"/>
    <w:rsid w:val="0085444E"/>
    <w:rsid w:val="008570F5"/>
    <w:rsid w:val="008602B6"/>
    <w:rsid w:val="0086039C"/>
    <w:rsid w:val="0086395E"/>
    <w:rsid w:val="0086501A"/>
    <w:rsid w:val="00865BC7"/>
    <w:rsid w:val="00874440"/>
    <w:rsid w:val="00877A9B"/>
    <w:rsid w:val="0088302D"/>
    <w:rsid w:val="00884F0A"/>
    <w:rsid w:val="008859E8"/>
    <w:rsid w:val="0089280B"/>
    <w:rsid w:val="00894100"/>
    <w:rsid w:val="00897899"/>
    <w:rsid w:val="008A0695"/>
    <w:rsid w:val="008A10FB"/>
    <w:rsid w:val="008A38EA"/>
    <w:rsid w:val="008A3DF0"/>
    <w:rsid w:val="008A7D57"/>
    <w:rsid w:val="008B5E27"/>
    <w:rsid w:val="008C1A05"/>
    <w:rsid w:val="008C3083"/>
    <w:rsid w:val="008C30B1"/>
    <w:rsid w:val="008C3205"/>
    <w:rsid w:val="008D11D6"/>
    <w:rsid w:val="008D3E7A"/>
    <w:rsid w:val="008D58C4"/>
    <w:rsid w:val="008F2716"/>
    <w:rsid w:val="008F274B"/>
    <w:rsid w:val="009125F1"/>
    <w:rsid w:val="00914AB4"/>
    <w:rsid w:val="00916D36"/>
    <w:rsid w:val="00917F24"/>
    <w:rsid w:val="00921527"/>
    <w:rsid w:val="00924516"/>
    <w:rsid w:val="0092499C"/>
    <w:rsid w:val="0092707D"/>
    <w:rsid w:val="0093098E"/>
    <w:rsid w:val="00933796"/>
    <w:rsid w:val="00934865"/>
    <w:rsid w:val="00941213"/>
    <w:rsid w:val="009442A6"/>
    <w:rsid w:val="00947152"/>
    <w:rsid w:val="0095716F"/>
    <w:rsid w:val="00957ABD"/>
    <w:rsid w:val="00960AA6"/>
    <w:rsid w:val="00960FCB"/>
    <w:rsid w:val="009614ED"/>
    <w:rsid w:val="00963617"/>
    <w:rsid w:val="00963937"/>
    <w:rsid w:val="009654EC"/>
    <w:rsid w:val="00967F89"/>
    <w:rsid w:val="0097195E"/>
    <w:rsid w:val="00972776"/>
    <w:rsid w:val="00975048"/>
    <w:rsid w:val="009756C5"/>
    <w:rsid w:val="00982298"/>
    <w:rsid w:val="0098407B"/>
    <w:rsid w:val="009858FA"/>
    <w:rsid w:val="0099649E"/>
    <w:rsid w:val="009A1AD4"/>
    <w:rsid w:val="009A2416"/>
    <w:rsid w:val="009A59AF"/>
    <w:rsid w:val="009B1596"/>
    <w:rsid w:val="009B17E7"/>
    <w:rsid w:val="009B62F7"/>
    <w:rsid w:val="009B79F9"/>
    <w:rsid w:val="009C14FF"/>
    <w:rsid w:val="009D4EB2"/>
    <w:rsid w:val="009D76E9"/>
    <w:rsid w:val="009E25F7"/>
    <w:rsid w:val="009E3104"/>
    <w:rsid w:val="009E7287"/>
    <w:rsid w:val="009E7506"/>
    <w:rsid w:val="009F008A"/>
    <w:rsid w:val="009F0778"/>
    <w:rsid w:val="009F67C8"/>
    <w:rsid w:val="00A00BD7"/>
    <w:rsid w:val="00A01322"/>
    <w:rsid w:val="00A013A9"/>
    <w:rsid w:val="00A05534"/>
    <w:rsid w:val="00A06858"/>
    <w:rsid w:val="00A12596"/>
    <w:rsid w:val="00A12898"/>
    <w:rsid w:val="00A1341B"/>
    <w:rsid w:val="00A142E0"/>
    <w:rsid w:val="00A179B5"/>
    <w:rsid w:val="00A17D3F"/>
    <w:rsid w:val="00A20A2F"/>
    <w:rsid w:val="00A226C9"/>
    <w:rsid w:val="00A23D94"/>
    <w:rsid w:val="00A31C76"/>
    <w:rsid w:val="00A36AA9"/>
    <w:rsid w:val="00A426BD"/>
    <w:rsid w:val="00A44EB1"/>
    <w:rsid w:val="00A517A2"/>
    <w:rsid w:val="00A551C8"/>
    <w:rsid w:val="00A56CDE"/>
    <w:rsid w:val="00A6166E"/>
    <w:rsid w:val="00A63B0B"/>
    <w:rsid w:val="00A67190"/>
    <w:rsid w:val="00A671AA"/>
    <w:rsid w:val="00A67986"/>
    <w:rsid w:val="00A67D4F"/>
    <w:rsid w:val="00A71AAF"/>
    <w:rsid w:val="00A732CD"/>
    <w:rsid w:val="00A73868"/>
    <w:rsid w:val="00A75760"/>
    <w:rsid w:val="00A77394"/>
    <w:rsid w:val="00A77AE4"/>
    <w:rsid w:val="00A836B9"/>
    <w:rsid w:val="00A84517"/>
    <w:rsid w:val="00A84584"/>
    <w:rsid w:val="00A85A8D"/>
    <w:rsid w:val="00A87EB7"/>
    <w:rsid w:val="00A90A5C"/>
    <w:rsid w:val="00A93A1E"/>
    <w:rsid w:val="00A94B84"/>
    <w:rsid w:val="00AA08FA"/>
    <w:rsid w:val="00AA1E14"/>
    <w:rsid w:val="00AB21EE"/>
    <w:rsid w:val="00AB58A3"/>
    <w:rsid w:val="00AC1684"/>
    <w:rsid w:val="00AC21AC"/>
    <w:rsid w:val="00AC54C9"/>
    <w:rsid w:val="00AD2560"/>
    <w:rsid w:val="00AD33DA"/>
    <w:rsid w:val="00AD4567"/>
    <w:rsid w:val="00AD4D96"/>
    <w:rsid w:val="00AD7771"/>
    <w:rsid w:val="00AE3C36"/>
    <w:rsid w:val="00AE3DDE"/>
    <w:rsid w:val="00AE6032"/>
    <w:rsid w:val="00AE60FB"/>
    <w:rsid w:val="00AF685B"/>
    <w:rsid w:val="00B00601"/>
    <w:rsid w:val="00B01017"/>
    <w:rsid w:val="00B059F2"/>
    <w:rsid w:val="00B06C31"/>
    <w:rsid w:val="00B070C0"/>
    <w:rsid w:val="00B07D86"/>
    <w:rsid w:val="00B10F7A"/>
    <w:rsid w:val="00B11CB8"/>
    <w:rsid w:val="00B14089"/>
    <w:rsid w:val="00B143B3"/>
    <w:rsid w:val="00B14DC2"/>
    <w:rsid w:val="00B371EE"/>
    <w:rsid w:val="00B40BB2"/>
    <w:rsid w:val="00B4481E"/>
    <w:rsid w:val="00B45A7C"/>
    <w:rsid w:val="00B515D2"/>
    <w:rsid w:val="00B51C4E"/>
    <w:rsid w:val="00B54A4D"/>
    <w:rsid w:val="00B619CB"/>
    <w:rsid w:val="00B62931"/>
    <w:rsid w:val="00B62E17"/>
    <w:rsid w:val="00B64698"/>
    <w:rsid w:val="00B65452"/>
    <w:rsid w:val="00B65797"/>
    <w:rsid w:val="00B66AA0"/>
    <w:rsid w:val="00B67409"/>
    <w:rsid w:val="00B708F0"/>
    <w:rsid w:val="00B74BD2"/>
    <w:rsid w:val="00B74C1E"/>
    <w:rsid w:val="00B74FC0"/>
    <w:rsid w:val="00B7558C"/>
    <w:rsid w:val="00B764F6"/>
    <w:rsid w:val="00B7672D"/>
    <w:rsid w:val="00B77343"/>
    <w:rsid w:val="00B847B4"/>
    <w:rsid w:val="00B855CF"/>
    <w:rsid w:val="00B85741"/>
    <w:rsid w:val="00B86204"/>
    <w:rsid w:val="00B94B86"/>
    <w:rsid w:val="00B9631B"/>
    <w:rsid w:val="00BA0C7D"/>
    <w:rsid w:val="00BA24B7"/>
    <w:rsid w:val="00BA2C11"/>
    <w:rsid w:val="00BA314E"/>
    <w:rsid w:val="00BA5C1E"/>
    <w:rsid w:val="00BB23F8"/>
    <w:rsid w:val="00BB2F7A"/>
    <w:rsid w:val="00BB492A"/>
    <w:rsid w:val="00BC2C7D"/>
    <w:rsid w:val="00BC2EF1"/>
    <w:rsid w:val="00BC43D2"/>
    <w:rsid w:val="00BC4B56"/>
    <w:rsid w:val="00BC7722"/>
    <w:rsid w:val="00BD0FD6"/>
    <w:rsid w:val="00BD4A42"/>
    <w:rsid w:val="00BD6997"/>
    <w:rsid w:val="00BE0D2B"/>
    <w:rsid w:val="00BE30DA"/>
    <w:rsid w:val="00BE3CA5"/>
    <w:rsid w:val="00BE43BD"/>
    <w:rsid w:val="00BF4033"/>
    <w:rsid w:val="00BF5F37"/>
    <w:rsid w:val="00C01703"/>
    <w:rsid w:val="00C0188D"/>
    <w:rsid w:val="00C0291B"/>
    <w:rsid w:val="00C07AE4"/>
    <w:rsid w:val="00C120F9"/>
    <w:rsid w:val="00C16A99"/>
    <w:rsid w:val="00C17110"/>
    <w:rsid w:val="00C171EB"/>
    <w:rsid w:val="00C17231"/>
    <w:rsid w:val="00C17DAC"/>
    <w:rsid w:val="00C20512"/>
    <w:rsid w:val="00C20A4B"/>
    <w:rsid w:val="00C214D6"/>
    <w:rsid w:val="00C2271A"/>
    <w:rsid w:val="00C258C0"/>
    <w:rsid w:val="00C27BF9"/>
    <w:rsid w:val="00C31321"/>
    <w:rsid w:val="00C328EC"/>
    <w:rsid w:val="00C3440C"/>
    <w:rsid w:val="00C41046"/>
    <w:rsid w:val="00C44BAB"/>
    <w:rsid w:val="00C517F9"/>
    <w:rsid w:val="00C52BDF"/>
    <w:rsid w:val="00C56742"/>
    <w:rsid w:val="00C57EBB"/>
    <w:rsid w:val="00C64999"/>
    <w:rsid w:val="00C65A58"/>
    <w:rsid w:val="00C65C3B"/>
    <w:rsid w:val="00C715D3"/>
    <w:rsid w:val="00C71A90"/>
    <w:rsid w:val="00C745AE"/>
    <w:rsid w:val="00C75A6D"/>
    <w:rsid w:val="00C81082"/>
    <w:rsid w:val="00C83C33"/>
    <w:rsid w:val="00C87F33"/>
    <w:rsid w:val="00C900D9"/>
    <w:rsid w:val="00C92F72"/>
    <w:rsid w:val="00C94E9F"/>
    <w:rsid w:val="00C959C4"/>
    <w:rsid w:val="00C963AD"/>
    <w:rsid w:val="00C97F4D"/>
    <w:rsid w:val="00CA14F9"/>
    <w:rsid w:val="00CA3EBC"/>
    <w:rsid w:val="00CA4132"/>
    <w:rsid w:val="00CA6B3C"/>
    <w:rsid w:val="00CB17A5"/>
    <w:rsid w:val="00CB23BB"/>
    <w:rsid w:val="00CB535B"/>
    <w:rsid w:val="00CB7725"/>
    <w:rsid w:val="00CC5E3F"/>
    <w:rsid w:val="00CC6E38"/>
    <w:rsid w:val="00CC79EC"/>
    <w:rsid w:val="00CD1D6B"/>
    <w:rsid w:val="00CD7752"/>
    <w:rsid w:val="00CE1E9A"/>
    <w:rsid w:val="00CF32EE"/>
    <w:rsid w:val="00CF62A1"/>
    <w:rsid w:val="00D06696"/>
    <w:rsid w:val="00D10848"/>
    <w:rsid w:val="00D12424"/>
    <w:rsid w:val="00D13F57"/>
    <w:rsid w:val="00D22A7E"/>
    <w:rsid w:val="00D236A1"/>
    <w:rsid w:val="00D2496F"/>
    <w:rsid w:val="00D25F8F"/>
    <w:rsid w:val="00D344D5"/>
    <w:rsid w:val="00D35715"/>
    <w:rsid w:val="00D37E0C"/>
    <w:rsid w:val="00D411CC"/>
    <w:rsid w:val="00D4173A"/>
    <w:rsid w:val="00D41E16"/>
    <w:rsid w:val="00D50287"/>
    <w:rsid w:val="00D5358A"/>
    <w:rsid w:val="00D5625A"/>
    <w:rsid w:val="00D60B51"/>
    <w:rsid w:val="00D638BD"/>
    <w:rsid w:val="00D7112E"/>
    <w:rsid w:val="00D75645"/>
    <w:rsid w:val="00D80AD1"/>
    <w:rsid w:val="00D825B7"/>
    <w:rsid w:val="00D84D6E"/>
    <w:rsid w:val="00D85E01"/>
    <w:rsid w:val="00D8745B"/>
    <w:rsid w:val="00D878D6"/>
    <w:rsid w:val="00D87955"/>
    <w:rsid w:val="00D91EA2"/>
    <w:rsid w:val="00D94512"/>
    <w:rsid w:val="00D95873"/>
    <w:rsid w:val="00D95AC4"/>
    <w:rsid w:val="00D96F61"/>
    <w:rsid w:val="00D970A1"/>
    <w:rsid w:val="00DA1046"/>
    <w:rsid w:val="00DA4742"/>
    <w:rsid w:val="00DB07A5"/>
    <w:rsid w:val="00DB365D"/>
    <w:rsid w:val="00DB4928"/>
    <w:rsid w:val="00DB60D2"/>
    <w:rsid w:val="00DB71A3"/>
    <w:rsid w:val="00DC0790"/>
    <w:rsid w:val="00DC1800"/>
    <w:rsid w:val="00DC27BD"/>
    <w:rsid w:val="00DC2BCF"/>
    <w:rsid w:val="00DC36A5"/>
    <w:rsid w:val="00DC4EE6"/>
    <w:rsid w:val="00DD5678"/>
    <w:rsid w:val="00DD7E5F"/>
    <w:rsid w:val="00DE2136"/>
    <w:rsid w:val="00DE235A"/>
    <w:rsid w:val="00DE6C4D"/>
    <w:rsid w:val="00DF5795"/>
    <w:rsid w:val="00E04F5E"/>
    <w:rsid w:val="00E11284"/>
    <w:rsid w:val="00E12848"/>
    <w:rsid w:val="00E20B53"/>
    <w:rsid w:val="00E21BC9"/>
    <w:rsid w:val="00E27846"/>
    <w:rsid w:val="00E3079B"/>
    <w:rsid w:val="00E41869"/>
    <w:rsid w:val="00E4727B"/>
    <w:rsid w:val="00E50F10"/>
    <w:rsid w:val="00E5139D"/>
    <w:rsid w:val="00E55C00"/>
    <w:rsid w:val="00E56163"/>
    <w:rsid w:val="00E63F59"/>
    <w:rsid w:val="00E6440D"/>
    <w:rsid w:val="00E65263"/>
    <w:rsid w:val="00E65E9C"/>
    <w:rsid w:val="00E666F9"/>
    <w:rsid w:val="00E74845"/>
    <w:rsid w:val="00E76F83"/>
    <w:rsid w:val="00E77526"/>
    <w:rsid w:val="00E80A00"/>
    <w:rsid w:val="00E81E20"/>
    <w:rsid w:val="00E83AE4"/>
    <w:rsid w:val="00E85383"/>
    <w:rsid w:val="00E87268"/>
    <w:rsid w:val="00E87B70"/>
    <w:rsid w:val="00E91E41"/>
    <w:rsid w:val="00E94F57"/>
    <w:rsid w:val="00EA00B2"/>
    <w:rsid w:val="00EA4616"/>
    <w:rsid w:val="00EA68BB"/>
    <w:rsid w:val="00EB16E2"/>
    <w:rsid w:val="00EB4BCA"/>
    <w:rsid w:val="00EB4E69"/>
    <w:rsid w:val="00EB5515"/>
    <w:rsid w:val="00EC0CE1"/>
    <w:rsid w:val="00EC4765"/>
    <w:rsid w:val="00EC5759"/>
    <w:rsid w:val="00ED1E8C"/>
    <w:rsid w:val="00ED2C9A"/>
    <w:rsid w:val="00ED2E66"/>
    <w:rsid w:val="00ED441E"/>
    <w:rsid w:val="00ED6EC4"/>
    <w:rsid w:val="00ED7838"/>
    <w:rsid w:val="00EE1A07"/>
    <w:rsid w:val="00EE4C60"/>
    <w:rsid w:val="00EE611C"/>
    <w:rsid w:val="00EF1726"/>
    <w:rsid w:val="00EF2485"/>
    <w:rsid w:val="00EF3AF3"/>
    <w:rsid w:val="00EF3D3D"/>
    <w:rsid w:val="00EF3DA9"/>
    <w:rsid w:val="00EF4B93"/>
    <w:rsid w:val="00EF7AE5"/>
    <w:rsid w:val="00F0250C"/>
    <w:rsid w:val="00F06E2E"/>
    <w:rsid w:val="00F11328"/>
    <w:rsid w:val="00F12341"/>
    <w:rsid w:val="00F1604E"/>
    <w:rsid w:val="00F17DF0"/>
    <w:rsid w:val="00F22906"/>
    <w:rsid w:val="00F24423"/>
    <w:rsid w:val="00F264BB"/>
    <w:rsid w:val="00F32C19"/>
    <w:rsid w:val="00F335C4"/>
    <w:rsid w:val="00F35D61"/>
    <w:rsid w:val="00F37469"/>
    <w:rsid w:val="00F41209"/>
    <w:rsid w:val="00F41C25"/>
    <w:rsid w:val="00F42EF0"/>
    <w:rsid w:val="00F4618B"/>
    <w:rsid w:val="00F50840"/>
    <w:rsid w:val="00F5383D"/>
    <w:rsid w:val="00F65658"/>
    <w:rsid w:val="00F7179F"/>
    <w:rsid w:val="00F850B4"/>
    <w:rsid w:val="00F87C96"/>
    <w:rsid w:val="00F9316E"/>
    <w:rsid w:val="00F94C36"/>
    <w:rsid w:val="00F95AB4"/>
    <w:rsid w:val="00FA08A7"/>
    <w:rsid w:val="00FA1AA4"/>
    <w:rsid w:val="00FA4A38"/>
    <w:rsid w:val="00FA6590"/>
    <w:rsid w:val="00FA783E"/>
    <w:rsid w:val="00FB1200"/>
    <w:rsid w:val="00FB36D7"/>
    <w:rsid w:val="00FC016A"/>
    <w:rsid w:val="00FC3481"/>
    <w:rsid w:val="00FC735A"/>
    <w:rsid w:val="00FC7F8C"/>
    <w:rsid w:val="00FD2D5C"/>
    <w:rsid w:val="00FD2F4D"/>
    <w:rsid w:val="00FD4DF3"/>
    <w:rsid w:val="00FD6711"/>
    <w:rsid w:val="00FE0D57"/>
    <w:rsid w:val="00FE7ABD"/>
    <w:rsid w:val="00FF051C"/>
    <w:rsid w:val="00FF0E93"/>
    <w:rsid w:val="00FF3F3F"/>
    <w:rsid w:val="00FF71CF"/>
    <w:rsid w:val="01467323"/>
    <w:rsid w:val="096712EA"/>
    <w:rsid w:val="0A97265E"/>
    <w:rsid w:val="0AEC0618"/>
    <w:rsid w:val="2DCA5373"/>
    <w:rsid w:val="32046759"/>
    <w:rsid w:val="397740BF"/>
    <w:rsid w:val="464F5360"/>
    <w:rsid w:val="4A421FE4"/>
    <w:rsid w:val="4BA3167A"/>
    <w:rsid w:val="53266CE9"/>
    <w:rsid w:val="60D71501"/>
    <w:rsid w:val="68EE195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qFormat/>
    <w:uiPriority w:val="0"/>
    <w:pPr>
      <w:spacing w:before="100" w:beforeAutospacing="1" w:after="100" w:afterAutospacing="1"/>
      <w:jc w:val="left"/>
    </w:pPr>
    <w:rPr>
      <w:rFonts w:cs="宋体"/>
      <w:kern w:val="0"/>
      <w:sz w:val="24"/>
      <w:szCs w:val="24"/>
    </w:rPr>
  </w:style>
  <w:style w:type="table" w:styleId="6">
    <w:name w:val="Table Grid"/>
    <w:basedOn w:val="5"/>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uiPriority w:val="0"/>
  </w:style>
  <w:style w:type="character" w:customStyle="1" w:styleId="9">
    <w:name w:val="页眉 Char"/>
    <w:basedOn w:val="7"/>
    <w:link w:val="3"/>
    <w:uiPriority w:val="0"/>
    <w:rPr>
      <w:rFonts w:ascii="Times New Roman" w:hAnsi="Times New Roman"/>
      <w:kern w:val="2"/>
      <w:sz w:val="18"/>
      <w:szCs w:val="18"/>
    </w:rPr>
  </w:style>
  <w:style w:type="character" w:customStyle="1" w:styleId="10">
    <w:name w:val="页脚 Char"/>
    <w:basedOn w:val="7"/>
    <w:link w:val="2"/>
    <w:uiPriority w:val="0"/>
    <w:rPr>
      <w:rFonts w:ascii="Times New Roman" w:hAnsi="Times New Roman"/>
      <w:kern w:val="2"/>
      <w:sz w:val="18"/>
      <w:szCs w:val="18"/>
    </w:rPr>
  </w:style>
  <w:style w:type="paragraph" w:customStyle="1" w:styleId="11">
    <w:name w:val="note1"/>
    <w:basedOn w:val="1"/>
    <w:qFormat/>
    <w:uiPriority w:val="0"/>
    <w:pPr>
      <w:widowControl/>
      <w:pBdr>
        <w:bottom w:val="single" w:color="DDDDDD" w:sz="6" w:space="11"/>
      </w:pBdr>
      <w:spacing w:before="100" w:beforeAutospacing="1" w:after="100" w:afterAutospacing="1" w:line="390" w:lineRule="atLeast"/>
      <w:ind w:firstLine="480"/>
      <w:jc w:val="center"/>
    </w:pPr>
    <w:rPr>
      <w:rFonts w:ascii="宋体" w:hAnsi="宋体" w:cs="宋体"/>
      <w:color w:val="6C6C6C"/>
      <w:kern w:val="0"/>
    </w:rPr>
  </w:style>
  <w:style w:type="paragraph" w:customStyle="1" w:styleId="12">
    <w:name w:val="列出段落1"/>
    <w:basedOn w:val="1"/>
    <w:qFormat/>
    <w:uiPriority w:val="99"/>
    <w:pPr>
      <w:ind w:firstLine="420" w:firstLineChars="200"/>
    </w:pPr>
    <w:rPr>
      <w:szCs w:val="22"/>
    </w:rPr>
  </w:style>
  <w:style w:type="character" w:customStyle="1" w:styleId="13">
    <w:name w:val="NormalCharacter"/>
    <w:link w:val="14"/>
    <w:qFormat/>
    <w:uiPriority w:val="99"/>
    <w:rPr>
      <w:rFonts w:ascii="仿宋_GB2312" w:hAnsi="宋体" w:eastAsia="仿宋_GB2312"/>
      <w:sz w:val="24"/>
      <w:szCs w:val="20"/>
    </w:rPr>
  </w:style>
  <w:style w:type="paragraph" w:customStyle="1" w:styleId="14">
    <w:name w:val="UserStyle_2"/>
    <w:basedOn w:val="1"/>
    <w:link w:val="13"/>
    <w:qFormat/>
    <w:uiPriority w:val="99"/>
    <w:pPr>
      <w:widowControl/>
      <w:snapToGrid w:val="0"/>
      <w:spacing w:line="360" w:lineRule="auto"/>
    </w:pPr>
    <w:rPr>
      <w:rFonts w:ascii="仿宋_GB2312" w:hAnsi="宋体" w:eastAsia="仿宋_GB2312"/>
      <w:kern w:val="0"/>
      <w:sz w:val="24"/>
      <w:szCs w:val="20"/>
    </w:rPr>
  </w:style>
  <w:style w:type="paragraph" w:styleId="15">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21</Pages>
  <Words>9761</Words>
  <Characters>10810</Characters>
  <Lines>86</Lines>
  <Paragraphs>24</Paragraphs>
  <TotalTime>1</TotalTime>
  <ScaleCrop>false</ScaleCrop>
  <LinksUpToDate>false</LinksUpToDate>
  <CharactersWithSpaces>11062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2022-03-21T03:56:00Z</dcterms:created>
  <dc:creator>xbany</dc:creator>
  <cp:lastModifiedBy>Aveiro</cp:lastModifiedBy>
  <cp:lastPrinted>2022-03-03T06:59:00Z</cp:lastPrinted>
  <dcterms:modified xsi:type="dcterms:W3CDTF">2023-08-08T09:14:25Z</dcterms:modified>
  <dc:title>浏财函〔2019〕9号</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1A2F7D5FB9A84D77B2548C1F9774ADFF</vt:lpwstr>
  </property>
</Properties>
</file>