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ascii="方正小标宋简体" w:eastAsia="方正小标宋简体"/>
          <w:sz w:val="44"/>
          <w:szCs w:val="44"/>
        </w:rPr>
      </w:pPr>
      <w:r>
        <w:rPr>
          <w:rFonts w:hint="eastAsia" w:ascii="方正小标宋简体" w:eastAsia="方正小标宋简体"/>
          <w:sz w:val="44"/>
          <w:szCs w:val="44"/>
        </w:rPr>
        <w:t>浏阳市红十字会</w:t>
      </w:r>
    </w:p>
    <w:p>
      <w:pPr>
        <w:pStyle w:val="7"/>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年部门整体支出绩效自评报告</w:t>
      </w:r>
    </w:p>
    <w:p>
      <w:pPr>
        <w:pStyle w:val="7"/>
        <w:spacing w:line="560" w:lineRule="exact"/>
        <w:ind w:firstLine="160" w:firstLineChars="50"/>
        <w:rPr>
          <w:rFonts w:ascii="黑体" w:hAnsi="黑体" w:eastAsia="黑体"/>
          <w:sz w:val="32"/>
          <w:szCs w:val="32"/>
        </w:rPr>
      </w:pPr>
      <w:r>
        <w:rPr>
          <w:rFonts w:hint="eastAsia" w:ascii="黑体" w:hAnsi="黑体" w:eastAsia="黑体"/>
          <w:sz w:val="32"/>
          <w:szCs w:val="32"/>
        </w:rPr>
        <w:t>一、部门概况</w:t>
      </w:r>
    </w:p>
    <w:p>
      <w:pPr>
        <w:pStyle w:val="7"/>
        <w:spacing w:line="560" w:lineRule="exact"/>
        <w:rPr>
          <w:rFonts w:ascii="楷体" w:hAnsi="楷体" w:eastAsia="楷体"/>
          <w:sz w:val="32"/>
          <w:szCs w:val="32"/>
        </w:rPr>
      </w:pPr>
      <w:r>
        <w:rPr>
          <w:rFonts w:hint="eastAsia" w:ascii="楷体" w:hAnsi="楷体" w:eastAsia="楷体"/>
          <w:sz w:val="32"/>
          <w:szCs w:val="32"/>
        </w:rPr>
        <w:t>（一）部门职能概述</w:t>
      </w:r>
    </w:p>
    <w:p>
      <w:pPr>
        <w:pStyle w:val="7"/>
        <w:spacing w:line="560" w:lineRule="exact"/>
        <w:ind w:firstLine="640" w:firstLineChars="200"/>
        <w:rPr>
          <w:rFonts w:ascii="仿宋_GB2312" w:eastAsia="仿宋_GB2312"/>
          <w:sz w:val="32"/>
          <w:szCs w:val="32"/>
        </w:rPr>
      </w:pPr>
      <w:r>
        <w:rPr>
          <w:rFonts w:hint="eastAsia" w:ascii="仿宋_GB2312" w:eastAsia="仿宋_GB2312"/>
          <w:sz w:val="32"/>
          <w:szCs w:val="32"/>
        </w:rPr>
        <w:t>浏阳市红十字会为市政府管理的正科级事业机构，列入群团组织序列管理，是中国红十字会的地方组织，主要职责为：贯彻国家、省、市红十字会工作的方针、政策，研究拟定浏阳红十字事业发展规划、年度计划、目标任务和考评方案；积极开展乡镇（街道）、村（社区）、学校模范单位创建活动；建立健全灾害应急救援机制，做好备灾物资储备和管理，加强红十字应急救援体系建设；积极开展社会募捐、公益救助活动，壮大红十字志愿服务队，开展特色工作，形成常态化志愿服务；在村（社区）、机关、企事业单位等各类人群、各行业中普及救护知识，开展救护培训；开展各项红十字青少年活动；积极开展无偿献血、造血干细胞和遗体器官捐献等宣传工作；完成浏阳市委、市政府和上级红十字会交办的其它事项。</w:t>
      </w:r>
    </w:p>
    <w:p>
      <w:pPr>
        <w:pStyle w:val="7"/>
        <w:spacing w:line="560" w:lineRule="exact"/>
        <w:rPr>
          <w:rFonts w:ascii="楷体" w:hAnsi="楷体" w:eastAsia="楷体"/>
          <w:sz w:val="32"/>
          <w:szCs w:val="32"/>
        </w:rPr>
      </w:pPr>
      <w:r>
        <w:rPr>
          <w:rFonts w:hint="eastAsia" w:ascii="楷体" w:hAnsi="楷体" w:eastAsia="楷体"/>
          <w:sz w:val="32"/>
          <w:szCs w:val="32"/>
        </w:rPr>
        <w:t>（二）部门组织机构及人员情况</w:t>
      </w:r>
    </w:p>
    <w:p>
      <w:pPr>
        <w:pStyle w:val="7"/>
        <w:spacing w:line="560" w:lineRule="exact"/>
        <w:ind w:firstLine="640" w:firstLineChars="200"/>
        <w:rPr>
          <w:rFonts w:ascii="仿宋_GB2312" w:eastAsia="仿宋_GB2312"/>
          <w:sz w:val="32"/>
          <w:szCs w:val="32"/>
        </w:rPr>
      </w:pPr>
      <w:r>
        <w:rPr>
          <w:rFonts w:hint="eastAsia" w:ascii="仿宋_GB2312" w:eastAsia="仿宋_GB2312"/>
          <w:sz w:val="32"/>
          <w:szCs w:val="32"/>
        </w:rPr>
        <w:t>浏阳市红十字会内设一个办公室。202</w:t>
      </w:r>
      <w:r>
        <w:rPr>
          <w:rFonts w:hint="eastAsia" w:ascii="仿宋_GB2312" w:eastAsia="仿宋_GB2312"/>
          <w:sz w:val="32"/>
          <w:szCs w:val="32"/>
          <w:lang w:val="en-US" w:eastAsia="zh-CN"/>
        </w:rPr>
        <w:t>2</w:t>
      </w:r>
      <w:r>
        <w:rPr>
          <w:rFonts w:hint="eastAsia" w:ascii="仿宋_GB2312" w:eastAsia="仿宋_GB2312"/>
          <w:sz w:val="32"/>
          <w:szCs w:val="32"/>
        </w:rPr>
        <w:t>年我单位共有在职人员</w:t>
      </w:r>
      <w:r>
        <w:rPr>
          <w:rFonts w:hint="eastAsia" w:ascii="仿宋_GB2312" w:eastAsia="仿宋_GB2312"/>
          <w:sz w:val="32"/>
          <w:szCs w:val="32"/>
          <w:lang w:val="en-US" w:eastAsia="zh-CN"/>
        </w:rPr>
        <w:t>5</w:t>
      </w:r>
      <w:r>
        <w:rPr>
          <w:rFonts w:hint="eastAsia" w:ascii="仿宋_GB2312" w:eastAsia="仿宋_GB2312"/>
          <w:sz w:val="32"/>
          <w:szCs w:val="32"/>
        </w:rPr>
        <w:t>人（参公管理）。</w:t>
      </w:r>
    </w:p>
    <w:p>
      <w:pPr>
        <w:pStyle w:val="7"/>
        <w:spacing w:line="560" w:lineRule="exact"/>
        <w:rPr>
          <w:rFonts w:ascii="楷体" w:hAnsi="楷体" w:eastAsia="楷体"/>
          <w:sz w:val="32"/>
          <w:szCs w:val="32"/>
        </w:rPr>
      </w:pPr>
      <w:r>
        <w:rPr>
          <w:rFonts w:hint="eastAsia" w:ascii="楷体" w:hAnsi="楷体" w:eastAsia="楷体"/>
          <w:sz w:val="32"/>
          <w:szCs w:val="32"/>
        </w:rPr>
        <w:t>（三）年度重点工作计划</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一、加强组织建设，提升发展动力</w:t>
      </w:r>
    </w:p>
    <w:p>
      <w:pPr>
        <w:spacing w:line="560" w:lineRule="exact"/>
        <w:ind w:firstLine="640" w:firstLineChars="200"/>
        <w:jc w:val="left"/>
        <w:rPr>
          <w:rFonts w:ascii="仿宋_GB2312" w:hAnsi="仿宋" w:eastAsia="仿宋_GB2312" w:cs="仿宋"/>
          <w:sz w:val="32"/>
          <w:szCs w:val="32"/>
        </w:rPr>
      </w:pPr>
      <w:r>
        <w:rPr>
          <w:rFonts w:hint="eastAsia" w:ascii="黑体" w:hAnsi="黑体" w:eastAsia="黑体" w:cs="楷体"/>
          <w:color w:val="3D3D3D"/>
          <w:sz w:val="32"/>
          <w:szCs w:val="32"/>
          <w:shd w:val="clear" w:color="auto" w:fill="FFFFFF"/>
        </w:rPr>
        <w:t>（一）增强政治引领工作成效。</w:t>
      </w:r>
      <w:r>
        <w:rPr>
          <w:rFonts w:hint="eastAsia" w:ascii="仿宋_GB2312" w:hAnsi="仿宋" w:eastAsia="仿宋_GB2312" w:cs="仿宋"/>
          <w:color w:val="3D3D3D"/>
          <w:sz w:val="32"/>
          <w:szCs w:val="32"/>
          <w:shd w:val="clear" w:color="auto" w:fill="FFFFFF"/>
        </w:rPr>
        <w:t>建设学习型、实干型团队，坚持把学习贯彻党的十九大精神、</w:t>
      </w:r>
      <w:r>
        <w:rPr>
          <w:rFonts w:hint="eastAsia" w:ascii="仿宋_GB2312" w:hAnsi="仿宋" w:eastAsia="仿宋_GB2312" w:cs="仿宋"/>
          <w:sz w:val="32"/>
          <w:szCs w:val="32"/>
        </w:rPr>
        <w:t>习近平新时代中国特色社会主义思想作为首要政治任务，始终坚持加强党对红十字工作的全面领导，认真落实意识形态工作责任制。</w:t>
      </w:r>
    </w:p>
    <w:p>
      <w:pPr>
        <w:spacing w:line="560" w:lineRule="exact"/>
        <w:ind w:firstLine="640" w:firstLineChars="200"/>
        <w:jc w:val="left"/>
        <w:rPr>
          <w:rFonts w:ascii="仿宋_GB2312" w:hAnsi="仿宋" w:eastAsia="仿宋_GB2312" w:cs="仿宋"/>
          <w:sz w:val="32"/>
          <w:szCs w:val="32"/>
        </w:rPr>
      </w:pPr>
      <w:r>
        <w:rPr>
          <w:rFonts w:hint="eastAsia" w:ascii="黑体" w:hAnsi="黑体" w:eastAsia="黑体" w:cs="楷体"/>
          <w:color w:val="3D3D3D"/>
          <w:sz w:val="32"/>
          <w:szCs w:val="32"/>
          <w:shd w:val="clear" w:color="auto" w:fill="FFFFFF"/>
        </w:rPr>
        <w:t>（二）圆满完成机构改革。</w:t>
      </w:r>
      <w:r>
        <w:rPr>
          <w:rFonts w:hint="eastAsia" w:ascii="仿宋_GB2312" w:hAnsi="仿宋_GB2312" w:eastAsia="仿宋_GB2312" w:cs="仿宋_GB2312"/>
          <w:bCs/>
          <w:sz w:val="32"/>
          <w:szCs w:val="32"/>
        </w:rPr>
        <w:t>认真贯彻落实国家总会、省红十字会改革实施方案有关精神，全面落实《长沙市红十字会改革实施方案》。加大工作推进力度，召开会员代表大会。</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楷体"/>
          <w:color w:val="3D3D3D"/>
          <w:sz w:val="32"/>
          <w:szCs w:val="32"/>
          <w:shd w:val="clear" w:color="auto" w:fill="FFFFFF"/>
        </w:rPr>
        <w:t>（三）不断加强基层组织建设。</w:t>
      </w:r>
      <w:r>
        <w:rPr>
          <w:rFonts w:hint="eastAsia" w:ascii="仿宋_GB2312" w:hAnsi="仿宋_GB2312" w:eastAsia="仿宋_GB2312" w:cs="仿宋_GB2312"/>
          <w:bCs/>
          <w:sz w:val="32"/>
          <w:szCs w:val="32"/>
        </w:rPr>
        <w:t>多开展乡镇（街道）走访调研，在有条件的乡镇（街道）、村（社区）建立红十字会基层组织，打造3个以上基层组织样板点。</w:t>
      </w:r>
    </w:p>
    <w:p>
      <w:pPr>
        <w:spacing w:line="560" w:lineRule="exact"/>
        <w:ind w:firstLine="640" w:firstLineChars="200"/>
        <w:jc w:val="left"/>
        <w:rPr>
          <w:rFonts w:ascii="仿宋_GB2312" w:hAnsi="仿宋" w:eastAsia="仿宋_GB2312" w:cs="仿宋"/>
          <w:color w:val="3D3D3D"/>
          <w:sz w:val="32"/>
          <w:szCs w:val="32"/>
          <w:shd w:val="clear" w:color="auto" w:fill="FFFFFF"/>
        </w:rPr>
      </w:pPr>
      <w:r>
        <w:rPr>
          <w:rFonts w:hint="eastAsia" w:ascii="黑体" w:hAnsi="黑体" w:eastAsia="黑体" w:cs="楷体"/>
          <w:color w:val="3D3D3D"/>
          <w:sz w:val="32"/>
          <w:szCs w:val="32"/>
          <w:shd w:val="clear" w:color="auto" w:fill="FFFFFF"/>
        </w:rPr>
        <w:t>（四）指导志愿队伍规范发展。</w:t>
      </w:r>
      <w:r>
        <w:rPr>
          <w:rFonts w:hint="eastAsia" w:ascii="仿宋_GB2312" w:hAnsi="仿宋_GB2312" w:eastAsia="仿宋_GB2312" w:cs="仿宋_GB2312"/>
          <w:bCs/>
          <w:sz w:val="32"/>
          <w:szCs w:val="32"/>
        </w:rPr>
        <w:t>争取各乡镇（街道）</w:t>
      </w:r>
      <w:r>
        <w:rPr>
          <w:rFonts w:hint="eastAsia" w:ascii="仿宋_GB2312" w:hAnsi="仿宋" w:eastAsia="仿宋_GB2312" w:cs="仿宋"/>
          <w:color w:val="3D3D3D"/>
          <w:sz w:val="32"/>
          <w:szCs w:val="32"/>
          <w:shd w:val="clear" w:color="auto" w:fill="FFFFFF"/>
        </w:rPr>
        <w:t>、市直部门的大力支持和配合，</w:t>
      </w:r>
      <w:r>
        <w:rPr>
          <w:rFonts w:hint="eastAsia" w:ascii="仿宋_GB2312" w:hAnsi="仿宋" w:eastAsia="仿宋_GB2312" w:cs="仿宋"/>
          <w:sz w:val="32"/>
          <w:szCs w:val="32"/>
        </w:rPr>
        <w:t>在促进</w:t>
      </w:r>
      <w:r>
        <w:rPr>
          <w:rFonts w:hint="eastAsia" w:ascii="仿宋_GB2312" w:hAnsi="仿宋" w:eastAsia="仿宋_GB2312" w:cs="仿宋"/>
          <w:color w:val="3D3D3D"/>
          <w:sz w:val="32"/>
          <w:szCs w:val="32"/>
          <w:shd w:val="clear" w:color="auto" w:fill="FFFFFF"/>
        </w:rPr>
        <w:t>红十字蓝天救援队、红十字志愿服务队、心理救援队规范发展的基础上，探索公益组织宣传、培训、救援、服务联合机制，通过救护员培训、应急救护知识宣传培训、应急救援联合演习等方式，将全市公益组织紧紧团结起来，全心全意为群众服务，应对各种突发情况。</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二、创新“三救”工作，聚力服务民生</w:t>
      </w:r>
    </w:p>
    <w:p>
      <w:pPr>
        <w:spacing w:line="560" w:lineRule="exact"/>
        <w:ind w:firstLine="640" w:firstLineChars="200"/>
        <w:jc w:val="left"/>
        <w:rPr>
          <w:rFonts w:ascii="仿宋_GB2312" w:hAnsi="仿宋" w:eastAsia="仿宋_GB2312" w:cs="仿宋"/>
          <w:sz w:val="32"/>
          <w:szCs w:val="32"/>
        </w:rPr>
      </w:pPr>
      <w:r>
        <w:rPr>
          <w:rFonts w:hint="eastAsia" w:ascii="黑体" w:hAnsi="黑体" w:eastAsia="黑体" w:cs="楷体"/>
          <w:color w:val="3D3D3D"/>
          <w:sz w:val="32"/>
          <w:szCs w:val="32"/>
          <w:shd w:val="clear" w:color="auto" w:fill="FFFFFF"/>
        </w:rPr>
        <w:t>（一）</w:t>
      </w:r>
      <w:r>
        <w:rPr>
          <w:rFonts w:hint="eastAsia" w:ascii="仿宋_GB2312" w:hAnsi="楷体" w:eastAsia="仿宋_GB2312" w:cs="楷体"/>
          <w:sz w:val="32"/>
          <w:szCs w:val="32"/>
        </w:rPr>
        <w:t>全力推进救护培训工作。</w:t>
      </w:r>
      <w:r>
        <w:rPr>
          <w:rFonts w:hint="eastAsia" w:ascii="仿宋_GB2312" w:hAnsi="仿宋" w:eastAsia="仿宋_GB2312" w:cs="仿宋"/>
          <w:sz w:val="32"/>
          <w:szCs w:val="32"/>
        </w:rPr>
        <w:t>推动应急救护知识“五进”活动纵深开展，联合专业部门，借势借力，不断拓展培训范围、增加普培人数、提升培训质量，扩大红十字救护培训的影响力。</w:t>
      </w:r>
    </w:p>
    <w:p>
      <w:pPr>
        <w:spacing w:line="560" w:lineRule="exact"/>
        <w:ind w:firstLine="640" w:firstLineChars="200"/>
        <w:jc w:val="left"/>
        <w:rPr>
          <w:rFonts w:ascii="仿宋_GB2312" w:hAnsi="仿宋" w:eastAsia="仿宋_GB2312" w:cs="仿宋"/>
          <w:sz w:val="32"/>
          <w:szCs w:val="32"/>
        </w:rPr>
      </w:pPr>
      <w:r>
        <w:rPr>
          <w:rFonts w:hint="eastAsia" w:ascii="黑体" w:hAnsi="黑体" w:eastAsia="黑体" w:cs="楷体"/>
          <w:color w:val="3D3D3D"/>
          <w:sz w:val="32"/>
          <w:szCs w:val="32"/>
          <w:shd w:val="clear" w:color="auto" w:fill="FFFFFF"/>
        </w:rPr>
        <w:t>（二）</w:t>
      </w:r>
      <w:r>
        <w:rPr>
          <w:rFonts w:hint="eastAsia" w:ascii="仿宋_GB2312" w:hAnsi="楷体" w:eastAsia="仿宋_GB2312" w:cs="楷体"/>
          <w:sz w:val="32"/>
          <w:szCs w:val="32"/>
        </w:rPr>
        <w:t>推进救护培训基地建设。</w:t>
      </w:r>
      <w:r>
        <w:rPr>
          <w:rFonts w:hint="eastAsia" w:ascii="仿宋_GB2312" w:hAnsi="仿宋" w:eastAsia="仿宋_GB2312" w:cs="仿宋"/>
          <w:sz w:val="32"/>
          <w:szCs w:val="32"/>
        </w:rPr>
        <w:t>抓住中学新生入学军训的契机，强化对全市中小学生的普培，进一步提高学生的自救护救能力和应急救援意识。</w:t>
      </w:r>
    </w:p>
    <w:p>
      <w:pPr>
        <w:spacing w:line="560" w:lineRule="exact"/>
        <w:ind w:firstLine="640" w:firstLineChars="200"/>
        <w:jc w:val="left"/>
        <w:rPr>
          <w:rFonts w:ascii="仿宋_GB2312" w:hAnsi="仿宋" w:eastAsia="仿宋_GB2312" w:cs="仿宋"/>
          <w:sz w:val="32"/>
          <w:szCs w:val="32"/>
        </w:rPr>
      </w:pPr>
      <w:r>
        <w:rPr>
          <w:rFonts w:hint="eastAsia" w:ascii="黑体" w:hAnsi="黑体" w:eastAsia="黑体" w:cs="楷体"/>
          <w:color w:val="3D3D3D"/>
          <w:sz w:val="32"/>
          <w:szCs w:val="32"/>
          <w:shd w:val="clear" w:color="auto" w:fill="FFFFFF"/>
        </w:rPr>
        <w:t>（三）</w:t>
      </w:r>
      <w:r>
        <w:rPr>
          <w:rFonts w:hint="eastAsia" w:ascii="仿宋_GB2312" w:hAnsi="楷体" w:eastAsia="仿宋_GB2312" w:cs="楷体"/>
          <w:sz w:val="32"/>
          <w:szCs w:val="32"/>
        </w:rPr>
        <w:t>深入开展人道博爱救助项目。</w:t>
      </w:r>
      <w:r>
        <w:rPr>
          <w:rFonts w:hint="eastAsia" w:ascii="仿宋_GB2312" w:hAnsi="仿宋" w:eastAsia="仿宋_GB2312" w:cs="仿宋"/>
          <w:sz w:val="32"/>
          <w:szCs w:val="32"/>
        </w:rPr>
        <w:t>努力为最易受损害群体办实事、做好事，继续实施“新人医关爱”、“浏阳和·同心救助”等项目。创新筹资方式，拓展筹资渠道，争取更多支持，提升救助能力，2022年力争募集捐赠资金200万以上。</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三、推动“三献”工作，弘扬博爱精神</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完成团体预约无偿献血任务。深入乡镇（街道）、村（社区）、企事业单位开展无偿献血和造血干细胞知识集中宣传、志愿者血样采集等活动，大力宣传献血捐髓“无损健康，救人生命”的理念。稳步推进遗体、器官捐献工作，普及相关知识，健全相关制度，加强对志愿捐献者及其家人的人文关怀。</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四、加强项目建设，提升服务能力</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继续抓好博爱家园建设，在搞好现有项目的基础上，向上级争取1-2个博爱家园项目，争取大围山景区紧急救护站项目。                                                                                                                               </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五、创新宣教形式，激发品牌活力</w:t>
      </w:r>
    </w:p>
    <w:p>
      <w:pPr>
        <w:spacing w:line="560" w:lineRule="exact"/>
        <w:ind w:firstLine="640" w:firstLineChars="200"/>
        <w:jc w:val="left"/>
      </w:pPr>
      <w:r>
        <w:rPr>
          <w:rFonts w:hint="eastAsia" w:ascii="仿宋_GB2312" w:hAnsi="仿宋" w:eastAsia="仿宋_GB2312" w:cs="仿宋"/>
          <w:sz w:val="32"/>
          <w:szCs w:val="32"/>
        </w:rPr>
        <w:t>创新多种方式，建设宣传阵地，塑造红十字会品牌，提高认同感，提升公信力。积极策划红十字日、献血者日等重要节日主题宣传活动，利用中小学暑假开展红十字“救”在身边暑期培训，不断提高青少年自救互救能力。做好结合文章，将“人道、博爱、奉献”的红十字精神与文明创建、学雷锋、移风易俗等结合起来共同宣传、相得益彰。加强舆论引导，严防负面新闻，打响“阳光红会”品牌。</w:t>
      </w:r>
    </w:p>
    <w:p>
      <w:pPr>
        <w:pStyle w:val="7"/>
        <w:spacing w:line="560" w:lineRule="exact"/>
        <w:rPr>
          <w:rFonts w:ascii="楷体" w:hAnsi="楷体" w:eastAsia="楷体"/>
          <w:sz w:val="32"/>
          <w:szCs w:val="32"/>
        </w:rPr>
      </w:pPr>
      <w:r>
        <w:rPr>
          <w:rFonts w:hint="eastAsia" w:ascii="楷体" w:hAnsi="楷体" w:eastAsia="楷体"/>
          <w:sz w:val="32"/>
          <w:szCs w:val="32"/>
        </w:rPr>
        <w:t>（四）部门整体支出规模、使用方向主要内容和涉及范围</w:t>
      </w:r>
    </w:p>
    <w:p>
      <w:pPr>
        <w:pStyle w:val="7"/>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年我会整体支出规模为</w:t>
      </w:r>
      <w:r>
        <w:rPr>
          <w:rFonts w:hint="eastAsia" w:ascii="仿宋_GB2312" w:eastAsia="仿宋_GB2312"/>
          <w:sz w:val="32"/>
          <w:szCs w:val="32"/>
          <w:lang w:val="en-US" w:eastAsia="zh-CN"/>
        </w:rPr>
        <w:t>194.43</w:t>
      </w:r>
      <w:r>
        <w:rPr>
          <w:rFonts w:hint="eastAsia" w:ascii="仿宋_GB2312" w:eastAsia="仿宋_GB2312"/>
          <w:sz w:val="32"/>
          <w:szCs w:val="32"/>
        </w:rPr>
        <w:t>万元，其中：基本支</w:t>
      </w:r>
      <w:r>
        <w:rPr>
          <w:rFonts w:hint="eastAsia" w:ascii="仿宋_GB2312" w:eastAsia="仿宋_GB2312"/>
          <w:color w:val="000000" w:themeColor="text1"/>
          <w:sz w:val="32"/>
          <w:szCs w:val="32"/>
        </w:rPr>
        <w:t>出</w:t>
      </w:r>
      <w:r>
        <w:rPr>
          <w:rFonts w:hint="eastAsia" w:ascii="仿宋_GB2312" w:eastAsia="仿宋_GB2312"/>
          <w:color w:val="000000" w:themeColor="text1"/>
          <w:sz w:val="32"/>
          <w:szCs w:val="32"/>
          <w:lang w:val="en-US" w:eastAsia="zh-CN"/>
        </w:rPr>
        <w:t>110.57</w:t>
      </w:r>
      <w:r>
        <w:rPr>
          <w:rFonts w:hint="eastAsia" w:ascii="仿宋_GB2312" w:eastAsia="仿宋_GB2312"/>
          <w:color w:val="000000" w:themeColor="text1"/>
          <w:sz w:val="32"/>
          <w:szCs w:val="32"/>
        </w:rPr>
        <w:t>万元，占当年总支出的</w:t>
      </w:r>
      <w:r>
        <w:rPr>
          <w:rFonts w:hint="eastAsia" w:ascii="仿宋_GB2312" w:eastAsia="仿宋_GB2312"/>
          <w:color w:val="000000" w:themeColor="text1"/>
          <w:sz w:val="32"/>
          <w:szCs w:val="32"/>
          <w:lang w:val="en-US" w:eastAsia="zh-CN"/>
        </w:rPr>
        <w:t>56.86</w:t>
      </w:r>
      <w:r>
        <w:rPr>
          <w:rFonts w:hint="eastAsia" w:ascii="仿宋_GB2312" w:eastAsia="仿宋_GB2312"/>
          <w:color w:val="000000" w:themeColor="text1"/>
          <w:sz w:val="32"/>
          <w:szCs w:val="32"/>
        </w:rPr>
        <w:t>%；项目支出</w:t>
      </w:r>
      <w:r>
        <w:rPr>
          <w:rFonts w:hint="eastAsia" w:ascii="仿宋_GB2312" w:eastAsia="仿宋_GB2312"/>
          <w:color w:val="000000" w:themeColor="text1"/>
          <w:sz w:val="32"/>
          <w:szCs w:val="32"/>
          <w:lang w:val="en-US" w:eastAsia="zh-CN"/>
        </w:rPr>
        <w:t>83.86</w:t>
      </w:r>
      <w:r>
        <w:rPr>
          <w:rFonts w:hint="eastAsia" w:ascii="仿宋_GB2312" w:eastAsia="仿宋_GB2312"/>
          <w:color w:val="000000" w:themeColor="text1"/>
          <w:sz w:val="32"/>
          <w:szCs w:val="32"/>
        </w:rPr>
        <w:t>万元，占当年总支出的</w:t>
      </w:r>
      <w:r>
        <w:rPr>
          <w:rFonts w:hint="eastAsia" w:ascii="仿宋_GB2312" w:eastAsia="仿宋_GB2312"/>
          <w:color w:val="000000" w:themeColor="text1"/>
          <w:sz w:val="32"/>
          <w:szCs w:val="32"/>
          <w:lang w:val="en-US" w:eastAsia="zh-CN"/>
        </w:rPr>
        <w:t>43.14</w:t>
      </w:r>
      <w:r>
        <w:rPr>
          <w:rFonts w:hint="eastAsia" w:ascii="仿宋_GB2312" w:eastAsia="仿宋_GB2312"/>
          <w:color w:val="000000" w:themeColor="text1"/>
          <w:sz w:val="32"/>
          <w:szCs w:val="32"/>
        </w:rPr>
        <w:t>%。项目支出主要是单位为完成特定行政工作任务或事业发展目标而发生的支出，包括救护培训经费、无偿献血组织宣传经费、困难救助经费等。</w:t>
      </w:r>
    </w:p>
    <w:p>
      <w:pPr>
        <w:pStyle w:val="7"/>
        <w:spacing w:line="560" w:lineRule="exact"/>
        <w:ind w:firstLine="645"/>
        <w:rPr>
          <w:color w:val="000000" w:themeColor="text1"/>
        </w:rPr>
      </w:pPr>
      <w:r>
        <w:rPr>
          <w:rFonts w:hint="eastAsia" w:ascii="黑体" w:hAnsi="黑体" w:eastAsia="黑体"/>
          <w:color w:val="000000" w:themeColor="text1"/>
          <w:sz w:val="32"/>
          <w:szCs w:val="32"/>
        </w:rPr>
        <w:t>二、部门整体支出管理及使用情况</w:t>
      </w:r>
    </w:p>
    <w:p>
      <w:pPr>
        <w:pStyle w:val="7"/>
        <w:spacing w:line="560" w:lineRule="exact"/>
        <w:ind w:firstLine="645"/>
        <w:rPr>
          <w:rStyle w:val="10"/>
          <w:rFonts w:ascii="楷体" w:hAnsi="楷体" w:eastAsia="楷体"/>
          <w:b w:val="0"/>
          <w:color w:val="000000" w:themeColor="text1"/>
          <w:sz w:val="32"/>
          <w:szCs w:val="32"/>
        </w:rPr>
      </w:pPr>
      <w:r>
        <w:rPr>
          <w:rStyle w:val="10"/>
          <w:rFonts w:hint="eastAsia" w:ascii="楷体" w:hAnsi="楷体" w:eastAsia="楷体"/>
          <w:b w:val="0"/>
          <w:color w:val="000000" w:themeColor="text1"/>
          <w:sz w:val="32"/>
          <w:szCs w:val="32"/>
        </w:rPr>
        <w:t>（一）基本支出</w:t>
      </w:r>
    </w:p>
    <w:p>
      <w:pPr>
        <w:pStyle w:val="7"/>
        <w:spacing w:before="0" w:beforeAutospacing="0" w:after="0" w:afterAutospacing="0" w:line="560" w:lineRule="exact"/>
        <w:ind w:firstLine="480"/>
      </w:pPr>
      <w:r>
        <w:rPr>
          <w:rFonts w:hint="eastAsia" w:ascii="仿宋" w:hAnsi="仿宋" w:eastAsia="仿宋"/>
          <w:color w:val="000000"/>
          <w:sz w:val="32"/>
          <w:szCs w:val="32"/>
        </w:rPr>
        <w:t>1．实际整体收支情况。本单位</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年度基本支出</w:t>
      </w:r>
      <w:r>
        <w:rPr>
          <w:rFonts w:hint="eastAsia" w:ascii="仿宋" w:hAnsi="仿宋" w:eastAsia="仿宋"/>
          <w:sz w:val="32"/>
          <w:szCs w:val="32"/>
          <w:lang w:val="en-US" w:eastAsia="zh-CN"/>
        </w:rPr>
        <w:t>110.57</w:t>
      </w:r>
      <w:r>
        <w:rPr>
          <w:rFonts w:hint="eastAsia" w:ascii="仿宋" w:hAnsi="仿宋" w:eastAsia="仿宋"/>
          <w:sz w:val="32"/>
          <w:szCs w:val="32"/>
        </w:rPr>
        <w:t>万元，其中：人员经费</w:t>
      </w:r>
      <w:r>
        <w:rPr>
          <w:rFonts w:hint="eastAsia" w:ascii="仿宋" w:hAnsi="仿宋" w:eastAsia="仿宋"/>
          <w:sz w:val="32"/>
          <w:szCs w:val="32"/>
          <w:lang w:val="en-US" w:eastAsia="zh-CN"/>
        </w:rPr>
        <w:t>104.66</w:t>
      </w:r>
      <w:r>
        <w:rPr>
          <w:rFonts w:hint="eastAsia" w:ascii="仿宋" w:hAnsi="仿宋" w:eastAsia="仿宋"/>
          <w:sz w:val="32"/>
          <w:szCs w:val="32"/>
        </w:rPr>
        <w:t>万元，占</w:t>
      </w:r>
      <w:r>
        <w:rPr>
          <w:rFonts w:hint="eastAsia" w:ascii="仿宋" w:hAnsi="仿宋" w:eastAsia="仿宋"/>
          <w:sz w:val="32"/>
          <w:szCs w:val="32"/>
          <w:lang w:val="en-US" w:eastAsia="zh-CN"/>
        </w:rPr>
        <w:t>94.65</w:t>
      </w:r>
      <w:r>
        <w:rPr>
          <w:rFonts w:hint="eastAsia" w:ascii="仿宋" w:hAnsi="仿宋" w:eastAsia="仿宋"/>
          <w:sz w:val="32"/>
          <w:szCs w:val="32"/>
        </w:rPr>
        <w:t>%，主要包括基本工资、津贴补贴、奖金、社会保险缴费、住房公积金、生活补助、其他对个人和家庭的补助等；公用经费</w:t>
      </w:r>
      <w:r>
        <w:rPr>
          <w:rFonts w:hint="eastAsia" w:ascii="仿宋" w:hAnsi="仿宋" w:eastAsia="仿宋"/>
          <w:sz w:val="32"/>
          <w:szCs w:val="32"/>
          <w:lang w:val="en-US" w:eastAsia="zh-CN"/>
        </w:rPr>
        <w:t>5.91</w:t>
      </w:r>
      <w:r>
        <w:rPr>
          <w:rFonts w:hint="eastAsia" w:ascii="仿宋" w:hAnsi="仿宋" w:eastAsia="仿宋"/>
          <w:sz w:val="32"/>
          <w:szCs w:val="32"/>
        </w:rPr>
        <w:t>万元，占</w:t>
      </w:r>
      <w:r>
        <w:rPr>
          <w:rFonts w:hint="eastAsia" w:ascii="仿宋" w:hAnsi="仿宋" w:eastAsia="仿宋"/>
          <w:sz w:val="32"/>
          <w:szCs w:val="32"/>
          <w:lang w:val="en-US" w:eastAsia="zh-CN"/>
        </w:rPr>
        <w:t>5.35</w:t>
      </w:r>
      <w:r>
        <w:rPr>
          <w:rFonts w:hint="eastAsia" w:ascii="仿宋" w:hAnsi="仿宋" w:eastAsia="仿宋"/>
          <w:sz w:val="32"/>
          <w:szCs w:val="32"/>
        </w:rPr>
        <w:t>%，主要包括办公费、福利费、工会经费、其他交通费、其他商品和服务支出等。</w:t>
      </w:r>
    </w:p>
    <w:p>
      <w:pPr>
        <w:pStyle w:val="7"/>
        <w:spacing w:before="0" w:beforeAutospacing="0" w:after="0" w:afterAutospacing="0" w:line="560" w:lineRule="exact"/>
        <w:ind w:firstLine="480"/>
      </w:pPr>
      <w:r>
        <w:rPr>
          <w:rFonts w:hint="eastAsia" w:ascii="仿宋" w:hAnsi="仿宋" w:eastAsia="仿宋"/>
          <w:color w:val="000000"/>
          <w:sz w:val="32"/>
          <w:szCs w:val="32"/>
        </w:rPr>
        <w:t>2．“三公” 经费总支出情况。</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年度“三公”经费总支出0.</w:t>
      </w:r>
      <w:r>
        <w:rPr>
          <w:rFonts w:hint="eastAsia" w:ascii="仿宋" w:hAnsi="仿宋" w:eastAsia="仿宋"/>
          <w:sz w:val="32"/>
          <w:szCs w:val="32"/>
          <w:lang w:val="en-US" w:eastAsia="zh-CN"/>
        </w:rPr>
        <w:t>21</w:t>
      </w:r>
      <w:r>
        <w:rPr>
          <w:rFonts w:hint="eastAsia" w:ascii="仿宋" w:hAnsi="仿宋" w:eastAsia="仿宋"/>
          <w:sz w:val="32"/>
          <w:szCs w:val="32"/>
        </w:rPr>
        <w:t>万元，其中：因公出国（境）费支出0万元，公务接待费支出</w:t>
      </w:r>
      <w:r>
        <w:rPr>
          <w:rFonts w:hint="eastAsia" w:ascii="仿宋" w:hAnsi="仿宋" w:eastAsia="仿宋"/>
          <w:sz w:val="32"/>
          <w:szCs w:val="32"/>
          <w:lang w:val="en-US" w:eastAsia="zh-CN"/>
        </w:rPr>
        <w:t>0.21</w:t>
      </w:r>
      <w:r>
        <w:rPr>
          <w:rFonts w:hint="eastAsia" w:ascii="仿宋" w:hAnsi="仿宋" w:eastAsia="仿宋"/>
          <w:sz w:val="32"/>
          <w:szCs w:val="32"/>
        </w:rPr>
        <w:t>万元，公务用车购置费及运行维护费支出0万元。</w:t>
      </w:r>
    </w:p>
    <w:p>
      <w:pPr>
        <w:pStyle w:val="7"/>
        <w:spacing w:before="0" w:beforeAutospacing="0" w:after="0" w:afterAutospacing="0" w:line="560" w:lineRule="exact"/>
        <w:ind w:firstLine="480"/>
      </w:pPr>
      <w:r>
        <w:rPr>
          <w:rFonts w:hint="eastAsia" w:ascii="仿宋" w:hAnsi="仿宋" w:eastAsia="仿宋"/>
          <w:color w:val="000000"/>
          <w:sz w:val="32"/>
          <w:szCs w:val="32"/>
        </w:rPr>
        <w:t>3．因公出国（境）费用支出和公务用车（购置）情况。202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年无因公出国（境）费用支出和公务用车（购置）支出。</w:t>
      </w:r>
    </w:p>
    <w:p>
      <w:pPr>
        <w:pStyle w:val="7"/>
        <w:spacing w:before="0" w:beforeAutospacing="0" w:after="0" w:afterAutospacing="0" w:line="560" w:lineRule="exact"/>
        <w:ind w:firstLine="640" w:firstLineChars="200"/>
        <w:textAlignment w:val="center"/>
        <w:rPr>
          <w:rFonts w:ascii="楷体" w:hAnsi="楷体" w:eastAsia="楷体"/>
          <w:sz w:val="32"/>
          <w:szCs w:val="32"/>
        </w:rPr>
      </w:pPr>
      <w:r>
        <w:rPr>
          <w:rFonts w:hint="eastAsia" w:ascii="楷体" w:hAnsi="楷体" w:eastAsia="楷体"/>
          <w:sz w:val="32"/>
          <w:szCs w:val="32"/>
        </w:rPr>
        <w:t>（二）项目支出</w:t>
      </w:r>
    </w:p>
    <w:p>
      <w:pPr>
        <w:pStyle w:val="7"/>
        <w:spacing w:before="0" w:beforeAutospacing="0" w:after="0" w:afterAutospacing="0" w:line="560" w:lineRule="exact"/>
        <w:ind w:firstLine="640" w:firstLineChars="200"/>
        <w:textAlignment w:val="center"/>
        <w:rPr>
          <w:rFonts w:ascii="仿宋_GB2312" w:eastAsia="仿宋_GB2312"/>
          <w:color w:val="333333"/>
          <w:sz w:val="32"/>
          <w:szCs w:val="32"/>
        </w:rPr>
      </w:pPr>
      <w:r>
        <w:rPr>
          <w:rFonts w:hint="eastAsia" w:ascii="仿宋_GB2312" w:eastAsia="仿宋_GB2312"/>
          <w:sz w:val="32"/>
          <w:szCs w:val="32"/>
        </w:rPr>
        <w:t xml:space="preserve"> 1.项目资金安排落实、总投入等情况分析。202</w:t>
      </w:r>
      <w:r>
        <w:rPr>
          <w:rFonts w:hint="eastAsia" w:ascii="仿宋_GB2312" w:eastAsia="仿宋_GB2312"/>
          <w:sz w:val="32"/>
          <w:szCs w:val="32"/>
          <w:lang w:val="en-US" w:eastAsia="zh-CN"/>
        </w:rPr>
        <w:t>2</w:t>
      </w:r>
      <w:r>
        <w:rPr>
          <w:rFonts w:hint="eastAsia" w:ascii="仿宋_GB2312" w:eastAsia="仿宋_GB2312"/>
          <w:sz w:val="32"/>
          <w:szCs w:val="32"/>
        </w:rPr>
        <w:t>项目支出</w:t>
      </w:r>
      <w:r>
        <w:rPr>
          <w:rFonts w:hint="eastAsia" w:ascii="仿宋_GB2312" w:eastAsia="仿宋_GB2312"/>
          <w:sz w:val="32"/>
          <w:szCs w:val="32"/>
          <w:lang w:val="en-US" w:eastAsia="zh-CN"/>
        </w:rPr>
        <w:t>83.86</w:t>
      </w:r>
      <w:r>
        <w:rPr>
          <w:rFonts w:hint="eastAsia" w:ascii="仿宋_GB2312" w:eastAsia="仿宋_GB2312"/>
          <w:sz w:val="32"/>
          <w:szCs w:val="32"/>
        </w:rPr>
        <w:t>万元</w:t>
      </w:r>
      <w:r>
        <w:rPr>
          <w:rFonts w:hint="eastAsia" w:ascii="仿宋_GB2312" w:eastAsia="仿宋_GB2312"/>
          <w:color w:val="333333"/>
          <w:sz w:val="32"/>
          <w:szCs w:val="32"/>
        </w:rPr>
        <w:t>：财政拨款项目支出</w:t>
      </w:r>
      <w:r>
        <w:rPr>
          <w:rFonts w:hint="eastAsia" w:ascii="仿宋_GB2312" w:eastAsia="仿宋_GB2312"/>
          <w:color w:val="333333"/>
          <w:sz w:val="32"/>
          <w:szCs w:val="32"/>
          <w:lang w:val="en-US" w:eastAsia="zh-CN"/>
        </w:rPr>
        <w:t>40.54</w:t>
      </w:r>
      <w:r>
        <w:rPr>
          <w:rFonts w:hint="eastAsia" w:ascii="仿宋_GB2312" w:eastAsia="仿宋_GB2312"/>
          <w:color w:val="333333"/>
          <w:sz w:val="32"/>
          <w:szCs w:val="32"/>
        </w:rPr>
        <w:t>万元，占</w:t>
      </w:r>
      <w:r>
        <w:rPr>
          <w:rFonts w:hint="eastAsia" w:ascii="仿宋_GB2312" w:eastAsia="仿宋_GB2312"/>
          <w:color w:val="333333"/>
          <w:sz w:val="32"/>
          <w:szCs w:val="32"/>
          <w:lang w:val="en-US" w:eastAsia="zh-CN"/>
        </w:rPr>
        <w:t>48.34</w:t>
      </w:r>
      <w:r>
        <w:rPr>
          <w:rFonts w:hint="eastAsia" w:ascii="仿宋_GB2312" w:eastAsia="仿宋_GB2312"/>
          <w:color w:val="333333"/>
          <w:sz w:val="32"/>
          <w:szCs w:val="32"/>
        </w:rPr>
        <w:t>%；其他收入,</w:t>
      </w:r>
      <w:r>
        <w:rPr>
          <w:rFonts w:hint="eastAsia" w:ascii="仿宋_GB2312" w:eastAsia="仿宋_GB2312"/>
          <w:color w:val="333333"/>
          <w:sz w:val="32"/>
          <w:szCs w:val="32"/>
          <w:lang w:val="en-US" w:eastAsia="zh-CN"/>
        </w:rPr>
        <w:t>43.32</w:t>
      </w:r>
      <w:r>
        <w:rPr>
          <w:rFonts w:hint="eastAsia" w:ascii="仿宋_GB2312" w:eastAsia="仿宋_GB2312"/>
          <w:color w:val="333333"/>
          <w:sz w:val="32"/>
          <w:szCs w:val="32"/>
        </w:rPr>
        <w:t>元（上级收入），占5</w:t>
      </w:r>
      <w:r>
        <w:rPr>
          <w:rFonts w:hint="eastAsia" w:ascii="仿宋_GB2312" w:eastAsia="仿宋_GB2312"/>
          <w:color w:val="333333"/>
          <w:sz w:val="32"/>
          <w:szCs w:val="32"/>
          <w:lang w:val="en-US" w:eastAsia="zh-CN"/>
        </w:rPr>
        <w:t>1.66</w:t>
      </w:r>
      <w:r>
        <w:rPr>
          <w:rFonts w:hint="eastAsia" w:ascii="仿宋_GB2312" w:eastAsia="仿宋_GB2312"/>
          <w:color w:val="333333"/>
          <w:sz w:val="32"/>
          <w:szCs w:val="32"/>
        </w:rPr>
        <w:t>%。</w:t>
      </w:r>
    </w:p>
    <w:p>
      <w:pPr>
        <w:pStyle w:val="7"/>
        <w:spacing w:before="0" w:beforeAutospacing="0" w:after="0" w:afterAutospacing="0" w:line="560" w:lineRule="exact"/>
        <w:ind w:firstLine="800" w:firstLineChars="250"/>
        <w:textAlignment w:val="center"/>
        <w:rPr>
          <w:rFonts w:ascii="仿宋_GB2312" w:eastAsia="仿宋_GB2312"/>
          <w:sz w:val="32"/>
          <w:szCs w:val="32"/>
        </w:rPr>
      </w:pPr>
      <w:r>
        <w:rPr>
          <w:rFonts w:hint="eastAsia" w:ascii="仿宋_GB2312" w:eastAsia="仿宋_GB2312"/>
          <w:color w:val="333333"/>
          <w:sz w:val="32"/>
          <w:szCs w:val="32"/>
        </w:rPr>
        <w:t>2.</w:t>
      </w:r>
      <w:r>
        <w:rPr>
          <w:rFonts w:hint="eastAsia" w:ascii="仿宋_GB2312" w:eastAsia="仿宋_GB2312"/>
          <w:sz w:val="32"/>
          <w:szCs w:val="32"/>
        </w:rPr>
        <w:t>项目资金实际使用情况分析。本级财政拨款资金</w:t>
      </w:r>
      <w:r>
        <w:rPr>
          <w:rFonts w:hint="eastAsia" w:ascii="仿宋_GB2312" w:eastAsia="仿宋_GB2312"/>
          <w:sz w:val="32"/>
          <w:szCs w:val="32"/>
          <w:lang w:val="en-US" w:eastAsia="zh-CN"/>
        </w:rPr>
        <w:t>40.54</w:t>
      </w:r>
      <w:r>
        <w:rPr>
          <w:rFonts w:hint="eastAsia" w:ascii="仿宋_GB2312" w:eastAsia="仿宋_GB2312"/>
          <w:sz w:val="32"/>
          <w:szCs w:val="32"/>
        </w:rPr>
        <w:t>万元主要用于献救护培训、困难救助、遗体器官捐献等工作，上级采供血机构43.15万元，均为上级拨付的无偿献血组织宣传经费，主要用于无偿献血困难者救助及无偿献血组织、宣传</w:t>
      </w:r>
      <w:r>
        <w:rPr>
          <w:rFonts w:hint="eastAsia" w:ascii="仿宋_GB2312" w:eastAsia="仿宋_GB2312"/>
          <w:sz w:val="32"/>
          <w:szCs w:val="32"/>
          <w:lang w:eastAsia="zh-CN"/>
        </w:rPr>
        <w:t>、</w:t>
      </w:r>
      <w:r>
        <w:rPr>
          <w:rFonts w:hint="eastAsia" w:ascii="仿宋_GB2312" w:eastAsia="仿宋_GB2312"/>
          <w:sz w:val="32"/>
          <w:szCs w:val="32"/>
        </w:rPr>
        <w:t xml:space="preserve">造血干细胞捐献工作。 </w:t>
      </w:r>
    </w:p>
    <w:p>
      <w:pPr>
        <w:pStyle w:val="7"/>
        <w:spacing w:before="0" w:beforeAutospacing="0" w:after="0" w:afterAutospacing="0" w:line="560" w:lineRule="exact"/>
        <w:ind w:firstLine="640" w:firstLineChars="200"/>
        <w:textAlignment w:val="center"/>
        <w:rPr>
          <w:rFonts w:ascii="仿宋_GB2312" w:eastAsia="仿宋_GB2312"/>
          <w:sz w:val="32"/>
          <w:szCs w:val="32"/>
        </w:rPr>
      </w:pPr>
      <w:r>
        <w:rPr>
          <w:rFonts w:hint="eastAsia" w:ascii="仿宋_GB2312" w:eastAsia="仿宋_GB2312"/>
          <w:sz w:val="32"/>
          <w:szCs w:val="32"/>
        </w:rPr>
        <w:t>3.项目资金管理情况分析。</w:t>
      </w:r>
      <w:r>
        <w:rPr>
          <w:rFonts w:hint="eastAsia" w:ascii="仿宋_GB2312" w:eastAsia="仿宋_GB2312"/>
          <w:color w:val="000000" w:themeColor="text1"/>
          <w:sz w:val="32"/>
          <w:szCs w:val="32"/>
        </w:rPr>
        <w:t>制定了收支管理、政府采购、资产管理、合同管理等制度。同时为建立健全预算管理体制，强化预算的分配和监督职能，维护预算的严肃性，保证资金的合理使用和正常运行，促进各项事业的稳定发展，制定了预算管理制度。通过明确划分权责，建立问责机制，保障了有序的管理，防范了财务风险。</w:t>
      </w:r>
    </w:p>
    <w:p>
      <w:pPr>
        <w:pStyle w:val="7"/>
        <w:spacing w:line="560" w:lineRule="exact"/>
        <w:ind w:firstLine="640" w:firstLineChars="200"/>
        <w:rPr>
          <w:rFonts w:ascii="黑体" w:hAnsi="黑体" w:eastAsia="黑体"/>
          <w:sz w:val="32"/>
          <w:szCs w:val="32"/>
        </w:rPr>
      </w:pPr>
      <w:r>
        <w:rPr>
          <w:rFonts w:hint="eastAsia" w:ascii="黑体" w:hAnsi="黑体" w:eastAsia="黑体"/>
          <w:sz w:val="32"/>
          <w:szCs w:val="32"/>
        </w:rPr>
        <w:t>三、部门项目组织实施情况</w:t>
      </w:r>
    </w:p>
    <w:p>
      <w:pPr>
        <w:widowControl/>
        <w:spacing w:line="560" w:lineRule="exact"/>
        <w:ind w:firstLine="640" w:firstLineChars="200"/>
        <w:jc w:val="left"/>
        <w:textAlignment w:val="center"/>
        <w:rPr>
          <w:rFonts w:ascii="楷体" w:hAnsi="楷体" w:eastAsia="楷体" w:cs="宋体"/>
          <w:kern w:val="0"/>
          <w:sz w:val="32"/>
          <w:szCs w:val="32"/>
        </w:rPr>
      </w:pPr>
      <w:r>
        <w:rPr>
          <w:rFonts w:hint="eastAsia" w:ascii="楷体" w:hAnsi="楷体" w:eastAsia="楷体" w:cs="宋体"/>
          <w:kern w:val="0"/>
          <w:sz w:val="32"/>
          <w:szCs w:val="32"/>
        </w:rPr>
        <w:t>（一）项目组织情况分析</w:t>
      </w:r>
    </w:p>
    <w:p>
      <w:pPr>
        <w:widowControl/>
        <w:spacing w:line="560" w:lineRule="exact"/>
        <w:jc w:val="left"/>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　　所有项目专项资金用途专款专用。</w:t>
      </w:r>
    </w:p>
    <w:p>
      <w:pPr>
        <w:widowControl/>
        <w:spacing w:line="560" w:lineRule="exact"/>
        <w:jc w:val="left"/>
        <w:textAlignment w:val="center"/>
        <w:rPr>
          <w:rFonts w:ascii="楷体" w:hAnsi="楷体" w:eastAsia="楷体" w:cs="宋体"/>
          <w:kern w:val="0"/>
          <w:sz w:val="32"/>
          <w:szCs w:val="32"/>
        </w:rPr>
      </w:pPr>
      <w:r>
        <w:rPr>
          <w:rFonts w:hint="eastAsia" w:ascii="楷体" w:hAnsi="楷体" w:eastAsia="楷体" w:cs="宋体"/>
          <w:kern w:val="0"/>
          <w:sz w:val="32"/>
          <w:szCs w:val="32"/>
        </w:rPr>
        <w:t>　　（二）项目管理情况分析</w:t>
      </w:r>
    </w:p>
    <w:p>
      <w:pPr>
        <w:widowControl/>
        <w:spacing w:line="560" w:lineRule="exact"/>
        <w:ind w:firstLine="640" w:firstLineChars="200"/>
        <w:jc w:val="left"/>
        <w:textAlignment w:val="center"/>
        <w:rPr>
          <w:rFonts w:ascii="仿宋_GB2312" w:hAnsi="宋体" w:eastAsia="仿宋_GB2312" w:cs="宋体"/>
          <w:kern w:val="0"/>
          <w:sz w:val="32"/>
          <w:szCs w:val="32"/>
        </w:rPr>
      </w:pPr>
      <w:r>
        <w:rPr>
          <w:rFonts w:hint="eastAsia" w:ascii="仿宋" w:hAnsi="仿宋" w:eastAsia="仿宋"/>
          <w:color w:val="000000"/>
          <w:sz w:val="32"/>
          <w:szCs w:val="32"/>
        </w:rPr>
        <w:t>严格落实“三重一大”制度，不断加强项目资金管理以及财务监督等相关工作。项目管理规范，资金使用合理合规，资金拨付程序规范，有效保障了各项业务工作及中心工作的顺利开展。</w:t>
      </w:r>
    </w:p>
    <w:p>
      <w:pPr>
        <w:pStyle w:val="13"/>
        <w:widowControl/>
        <w:numPr>
          <w:ilvl w:val="0"/>
          <w:numId w:val="1"/>
        </w:numPr>
        <w:spacing w:line="560" w:lineRule="exact"/>
        <w:ind w:firstLineChars="0"/>
        <w:jc w:val="left"/>
        <w:textAlignment w:val="center"/>
        <w:rPr>
          <w:rFonts w:ascii="黑体" w:hAnsi="黑体" w:eastAsia="黑体" w:cs="宋体"/>
          <w:kern w:val="0"/>
          <w:szCs w:val="32"/>
        </w:rPr>
      </w:pPr>
      <w:r>
        <w:rPr>
          <w:rFonts w:hint="eastAsia" w:ascii="黑体" w:hAnsi="黑体" w:eastAsia="黑体" w:cs="宋体"/>
          <w:kern w:val="0"/>
          <w:szCs w:val="32"/>
        </w:rPr>
        <w:t>资产管理情况</w:t>
      </w:r>
    </w:p>
    <w:p>
      <w:pPr>
        <w:widowControl/>
        <w:spacing w:line="560" w:lineRule="exact"/>
        <w:ind w:firstLine="640" w:firstLineChars="200"/>
        <w:jc w:val="left"/>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我单位资产管理主要涉及固定资产，制定了《固定资产管理办法》,开展了全面的资产清查工作，切实摸清了“家底”,单位资产“账、卡、实”相符。具体如下：</w:t>
      </w:r>
    </w:p>
    <w:p>
      <w:pPr>
        <w:widowControl/>
        <w:spacing w:line="560" w:lineRule="exact"/>
        <w:ind w:firstLine="640" w:firstLineChars="200"/>
        <w:jc w:val="left"/>
        <w:textAlignment w:val="center"/>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固定资产管理归口办公室负责，由财务室统一建账、核算；办公室设专人负责固定资产的日常管理及资产的维护，实行新增固定资产专人进行明细登记后财务再入账；年终由财务室、办公室共同进行全面清查盘点，做到账账相符、账卡相符和账实相符，杜绝资产的流失，最大化地发挥资产的效益作用。</w:t>
      </w:r>
    </w:p>
    <w:p>
      <w:pPr>
        <w:widowControl/>
        <w:spacing w:line="560" w:lineRule="exact"/>
        <w:ind w:firstLine="640" w:firstLineChars="200"/>
        <w:jc w:val="left"/>
        <w:textAlignment w:val="center"/>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．单位财产物资由于个人因素造成遗失、损坏的，按照有关规定由当事人承担赔偿责任。因岗位调整原岗位所有办公设备（含电脑资料、数据及备份）、家具、电器必须在指定的监交人监督下全部移交给接交人。</w:t>
      </w:r>
    </w:p>
    <w:p>
      <w:pPr>
        <w:widowControl/>
        <w:spacing w:line="560" w:lineRule="exact"/>
        <w:ind w:firstLine="640" w:firstLineChars="200"/>
        <w:jc w:val="left"/>
        <w:textAlignment w:val="center"/>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．固定资产处置等严格按照财政局文件要求的程序执行。</w:t>
      </w:r>
    </w:p>
    <w:p>
      <w:pPr>
        <w:pStyle w:val="7"/>
        <w:spacing w:line="560" w:lineRule="exact"/>
        <w:ind w:firstLine="640" w:firstLineChars="200"/>
        <w:rPr>
          <w:rFonts w:ascii="黑体" w:hAnsi="黑体" w:eastAsia="黑体"/>
          <w:sz w:val="32"/>
          <w:szCs w:val="32"/>
        </w:rPr>
      </w:pPr>
      <w:r>
        <w:rPr>
          <w:rFonts w:hint="eastAsia" w:ascii="黑体" w:hAnsi="黑体" w:eastAsia="黑体"/>
          <w:sz w:val="32"/>
          <w:szCs w:val="32"/>
        </w:rPr>
        <w:t>五、部门整体支出绩效情况</w:t>
      </w:r>
      <w:r>
        <w:rPr>
          <w:rFonts w:hint="eastAsia" w:ascii="仿宋_GB2312" w:hAnsi="仿宋" w:eastAsia="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（一）大爱“三献”工作稳步推进。</w:t>
      </w:r>
      <w:r>
        <w:rPr>
          <w:rFonts w:hint="eastAsia" w:ascii="仿宋_GB2312" w:hAnsi="仿宋_GB2312" w:eastAsia="仿宋_GB2312" w:cs="仿宋_GB2312"/>
          <w:sz w:val="32"/>
          <w:szCs w:val="32"/>
        </w:rPr>
        <w:t>2022年，超额完成长沙团体预约无偿献血任务（下达任务数为5400人次，完成6115人次）。在造血干细胞捐献方面，开展了多次宣传，成功捐献造血干细胞1例，完成高分辨检测4例；在人体器官无偿捐献方面，积极配合市委宣传部、文明办等部门做好宣传、缅怀等工作。签订遗体器官捐献自愿书1268份，成功捐献器官、遗体、角膜的共18例，省市红十字会领导及志愿者多次走访慰问器官捐献者家属。</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（二）广泛筹集资源提升人道救助能力。</w:t>
      </w:r>
      <w:r>
        <w:rPr>
          <w:rFonts w:hint="eastAsia" w:ascii="仿宋_GB2312" w:hAnsi="仿宋_GB2312" w:eastAsia="仿宋_GB2312" w:cs="仿宋_GB2312"/>
          <w:sz w:val="32"/>
          <w:szCs w:val="32"/>
        </w:rPr>
        <w:t>实施“小天使基金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爱送万家”等项目，全年发放救助物资2195.82万元、资金608.39万元。其中行业龙头企业深圳迈瑞公司、长沙奥凯公司向我市乡镇医院捐赠819万元医疗设备，受到各级好评。99腾讯公益日活动，我会积极协调组织浏发集团、人民医院等人数较多的单位参与，被省红十字会评为全省“人道动员”先进集体。</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（三）积极推进应急救护培训。</w:t>
      </w:r>
      <w:r>
        <w:rPr>
          <w:rFonts w:hint="eastAsia" w:ascii="仿宋_GB2312" w:hAnsi="仿宋_GB2312" w:eastAsia="仿宋_GB2312" w:cs="仿宋_GB2312"/>
          <w:sz w:val="32"/>
          <w:szCs w:val="32"/>
        </w:rPr>
        <w:t>一是加大传播覆盖面。加大对中国红十字总会“红十字急救掌上学堂”网上学习软件的推广工作，印制应急知识学习手册派发到广大市民手中；二是巩固“五进”（进机关、进社区、进农村、进企业、进学校）的成效。继续与市应急局、卫健局、教育局等部门的相互配合，共同巩固、推进应急救护全民普及；三是深入开展红十字青少年活动。开展“红十字救在身边”暑期救护培训，组织中小学生参与应急救护知识培训和志愿活动，提高青少年的志愿精神。2022年共举办应急救护知识培训、应急救援演练65场，培训3.6万人；开展救护员培训班4期，共培训205名救护员。</w:t>
      </w:r>
    </w:p>
    <w:p>
      <w:pPr>
        <w:pStyle w:val="4"/>
        <w:spacing w:line="600" w:lineRule="exact"/>
        <w:ind w:firstLine="640"/>
        <w:rPr>
          <w:rFonts w:eastAsia="仿宋_GB2312"/>
          <w:sz w:val="32"/>
          <w:szCs w:val="32"/>
        </w:rPr>
      </w:pPr>
      <w:r>
        <w:rPr>
          <w:rFonts w:hint="eastAsia" w:ascii="楷体" w:hAnsi="楷体" w:eastAsia="楷体" w:cs="楷体"/>
          <w:sz w:val="32"/>
          <w:szCs w:val="32"/>
        </w:rPr>
        <w:t>（四）引导志愿队伍规范发展。</w:t>
      </w:r>
      <w:r>
        <w:rPr>
          <w:rFonts w:eastAsia="仿宋_GB2312"/>
          <w:bCs/>
          <w:sz w:val="32"/>
          <w:szCs w:val="32"/>
        </w:rPr>
        <w:t>一是志愿者队伍不断壮大。“浏阳市红十字一加一志愿服务队”注册成立。此外，随着“博爱家园”项目的开展，村（居）红十字志愿者队伍建设也在不断壮大。二是注重提升志愿服务队伍的自我管理意识。各支队伍定期组织队员开展红十字运动知识普及、应急技能培训、消防演练等活动，</w:t>
      </w:r>
      <w:r>
        <w:rPr>
          <w:rFonts w:eastAsia="仿宋_GB2312"/>
          <w:sz w:val="32"/>
          <w:szCs w:val="32"/>
        </w:rPr>
        <w:t>通过这些活动来增进团队的团结和凝聚力。三是积极组织志愿者参加各类志愿服务活动，提升服务技能和水平。如组织志愿者参与“除雪保畅</w:t>
      </w:r>
      <w:r>
        <w:rPr>
          <w:rFonts w:hint="eastAsia" w:eastAsia="仿宋_GB2312"/>
          <w:sz w:val="32"/>
          <w:szCs w:val="32"/>
        </w:rPr>
        <w:t>”“</w:t>
      </w:r>
      <w:r>
        <w:rPr>
          <w:rFonts w:eastAsia="仿宋_GB2312"/>
          <w:sz w:val="32"/>
          <w:szCs w:val="32"/>
        </w:rPr>
        <w:t>浏‘YOUNG’青年讲师团</w:t>
      </w:r>
      <w:r>
        <w:rPr>
          <w:rFonts w:hint="eastAsia" w:eastAsia="仿宋_GB2312"/>
          <w:sz w:val="32"/>
          <w:szCs w:val="32"/>
        </w:rPr>
        <w:t>”“</w:t>
      </w:r>
      <w:r>
        <w:rPr>
          <w:rFonts w:eastAsia="仿宋_GB2312"/>
          <w:sz w:val="32"/>
          <w:szCs w:val="32"/>
        </w:rPr>
        <w:t>博爱送万家</w:t>
      </w:r>
      <w:r>
        <w:rPr>
          <w:rFonts w:hint="eastAsia" w:eastAsia="仿宋_GB2312"/>
          <w:sz w:val="32"/>
          <w:szCs w:val="32"/>
        </w:rPr>
        <w:t>”“</w:t>
      </w:r>
      <w:r>
        <w:rPr>
          <w:rFonts w:eastAsia="仿宋_GB2312"/>
          <w:sz w:val="32"/>
          <w:szCs w:val="32"/>
        </w:rPr>
        <w:t>5</w:t>
      </w:r>
      <w:r>
        <w:rPr>
          <w:sz w:val="32"/>
          <w:szCs w:val="32"/>
        </w:rPr>
        <w:t>•</w:t>
      </w:r>
      <w:r>
        <w:rPr>
          <w:rFonts w:eastAsia="仿宋_GB2312"/>
          <w:sz w:val="32"/>
          <w:szCs w:val="32"/>
        </w:rPr>
        <w:t>8世界红十字日</w:t>
      </w:r>
      <w:r>
        <w:rPr>
          <w:rFonts w:hint="eastAsia" w:eastAsia="仿宋_GB2312"/>
          <w:sz w:val="32"/>
          <w:szCs w:val="32"/>
        </w:rPr>
        <w:t>”“</w:t>
      </w:r>
      <w:r>
        <w:rPr>
          <w:rFonts w:eastAsia="仿宋_GB2312"/>
          <w:sz w:val="32"/>
          <w:szCs w:val="32"/>
        </w:rPr>
        <w:t>6</w:t>
      </w:r>
      <w:r>
        <w:rPr>
          <w:sz w:val="32"/>
          <w:szCs w:val="32"/>
        </w:rPr>
        <w:t>•</w:t>
      </w:r>
      <w:r>
        <w:rPr>
          <w:rFonts w:eastAsia="仿宋_GB2312"/>
          <w:sz w:val="32"/>
          <w:szCs w:val="32"/>
        </w:rPr>
        <w:t>14世界献血日”等活动。</w:t>
      </w:r>
      <w:r>
        <w:rPr>
          <w:rFonts w:hint="eastAsia" w:eastAsia="仿宋_GB2312"/>
          <w:sz w:val="32"/>
          <w:szCs w:val="32"/>
        </w:rPr>
        <w:t>2022年</w:t>
      </w:r>
      <w:r>
        <w:rPr>
          <w:rFonts w:eastAsia="仿宋_GB2312"/>
          <w:sz w:val="32"/>
          <w:szCs w:val="32"/>
        </w:rPr>
        <w:t>11月上旬，我会克服主城区管控期间的各种困难，组织4支志愿队伍共出动209人，货运车辆106台次，组织转</w:t>
      </w:r>
      <w:r>
        <w:rPr>
          <w:rFonts w:hint="eastAsia" w:eastAsia="仿宋_GB2312"/>
          <w:sz w:val="32"/>
          <w:szCs w:val="32"/>
        </w:rPr>
        <w:t>运</w:t>
      </w:r>
      <w:r>
        <w:rPr>
          <w:rFonts w:eastAsia="仿宋_GB2312"/>
          <w:sz w:val="32"/>
          <w:szCs w:val="32"/>
        </w:rPr>
        <w:t>抗疫物资</w:t>
      </w:r>
      <w:r>
        <w:rPr>
          <w:rFonts w:hint="eastAsia" w:eastAsia="仿宋_GB2312"/>
          <w:sz w:val="32"/>
          <w:szCs w:val="32"/>
        </w:rPr>
        <w:t>，</w:t>
      </w:r>
      <w:r>
        <w:rPr>
          <w:rFonts w:eastAsia="仿宋_GB2312"/>
          <w:sz w:val="32"/>
          <w:szCs w:val="32"/>
        </w:rPr>
        <w:t>市委组织部以简讯形式通报表扬。浏阳市红十字蓝天救援队在浏阳市新时代文明实践学雷锋志愿服务主题活动中被评为“最佳文明实践志愿服务组织”，2名队员评为“最美文明实践志愿者”。</w:t>
      </w:r>
      <w:bookmarkStart w:id="0" w:name="_Toc61868270"/>
      <w:bookmarkEnd w:id="0"/>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（五）协调对接争取上级红会的大力支持。</w:t>
      </w:r>
      <w:r>
        <w:rPr>
          <w:rFonts w:hint="eastAsia" w:ascii="仿宋_GB2312" w:hAnsi="仿宋_GB2312" w:eastAsia="仿宋_GB2312" w:cs="仿宋_GB2312"/>
          <w:sz w:val="32"/>
          <w:szCs w:val="32"/>
        </w:rPr>
        <w:t>年初向省红十字会积极对接汇报我会“博爱家园”项目的申报筹备情况，在全省122个县只设33个项目点的情况下，我市争取到了3个项目点，分别设在社港镇社港村、中和镇苍坊村、金刚镇金市村。浏阳城区实施疫情严控期间，向上级红会争取价值125万元的核酸检测屋25套，极大地方便了市民和医护人员。争取了急需的棉衣、检测物资与设备等价值106万元。</w:t>
      </w:r>
    </w:p>
    <w:p>
      <w:pPr>
        <w:pStyle w:val="7"/>
        <w:spacing w:line="560" w:lineRule="exact"/>
        <w:ind w:firstLine="640" w:firstLineChars="200"/>
        <w:rPr>
          <w:rFonts w:ascii="黑体" w:hAnsi="黑体" w:eastAsia="黑体"/>
          <w:sz w:val="32"/>
          <w:szCs w:val="32"/>
        </w:rPr>
      </w:pPr>
      <w:r>
        <w:rPr>
          <w:rFonts w:hint="eastAsia" w:ascii="黑体" w:hAnsi="黑体" w:eastAsia="黑体"/>
          <w:sz w:val="32"/>
          <w:szCs w:val="32"/>
        </w:rPr>
        <w:t>六、存在的主要问题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1．预算编制和预算管理还有差距。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2．预算管理和财务管理水平有待进一步加强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采购工作欠规范</w:t>
      </w:r>
    </w:p>
    <w:p>
      <w:pPr>
        <w:pStyle w:val="7"/>
        <w:spacing w:line="560" w:lineRule="exact"/>
        <w:ind w:firstLine="640" w:firstLineChars="200"/>
        <w:rPr>
          <w:rFonts w:ascii="黑体" w:hAnsi="黑体" w:eastAsia="黑体"/>
          <w:sz w:val="32"/>
          <w:szCs w:val="32"/>
        </w:rPr>
      </w:pPr>
      <w:r>
        <w:rPr>
          <w:rFonts w:hint="eastAsia" w:ascii="黑体" w:hAnsi="黑体" w:eastAsia="黑体"/>
          <w:sz w:val="32"/>
          <w:szCs w:val="32"/>
        </w:rPr>
        <w:t>七、改进措施和有关建议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eastAsia" w:ascii="仿宋_GB2312" w:eastAsia="仿宋_GB2312" w:cs="仿宋_GB2312"/>
          <w:spacing w:val="0"/>
          <w:sz w:val="31"/>
          <w:szCs w:val="31"/>
        </w:rPr>
      </w:pPr>
      <w:r>
        <w:rPr>
          <w:rFonts w:ascii="仿宋_GB2312" w:eastAsia="仿宋_GB2312" w:cs="仿宋_GB2312"/>
          <w:spacing w:val="0"/>
          <w:sz w:val="31"/>
          <w:szCs w:val="31"/>
        </w:rPr>
        <w:t>1．加强预算管理、严格预算执行。严格按照预算批复和</w:t>
      </w:r>
      <w:r>
        <w:rPr>
          <w:rFonts w:hint="eastAsia" w:ascii="仿宋_GB2312" w:eastAsia="仿宋_GB2312" w:cs="仿宋_GB2312"/>
          <w:spacing w:val="0"/>
          <w:sz w:val="31"/>
          <w:szCs w:val="31"/>
        </w:rPr>
        <w:t>财务规定的标准列支各项经费。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eastAsia" w:ascii="仿宋_GB2312" w:eastAsia="仿宋_GB2312" w:cs="仿宋_GB2312"/>
          <w:spacing w:val="0"/>
          <w:sz w:val="31"/>
          <w:szCs w:val="31"/>
        </w:rPr>
      </w:pPr>
      <w:r>
        <w:rPr>
          <w:rFonts w:hint="eastAsia" w:ascii="仿宋_GB2312" w:eastAsia="仿宋_GB2312" w:cs="仿宋_GB2312"/>
          <w:spacing w:val="0"/>
          <w:sz w:val="31"/>
          <w:szCs w:val="31"/>
        </w:rPr>
        <w:t>2．加强预算法制化观念，增强预算约束力，提高财务管理预见性，自觉维护预算编制的严肃性。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textAlignment w:val="center"/>
        <w:rPr>
          <w:rFonts w:hint="eastAsia" w:ascii="仿宋_GB2312" w:eastAsia="仿宋_GB2312" w:cs="仿宋_GB2312"/>
          <w:spacing w:val="0"/>
          <w:sz w:val="31"/>
          <w:szCs w:val="31"/>
        </w:rPr>
      </w:pPr>
      <w:r>
        <w:rPr>
          <w:rFonts w:hint="eastAsia" w:ascii="仿宋_GB2312" w:eastAsia="仿宋_GB2312" w:cs="仿宋_GB2312"/>
          <w:spacing w:val="0"/>
          <w:sz w:val="31"/>
          <w:szCs w:val="31"/>
        </w:rPr>
        <w:t>3．在今后的工作中严守财经纪律、认真执行财务制度，完善手续和流程，在政府采购等方面做到合理、科学。</w:t>
      </w:r>
      <w:bookmarkStart w:id="1" w:name="_GoBack"/>
      <w:bookmarkEnd w:id="1"/>
    </w:p>
    <w:p>
      <w:pPr>
        <w:pStyle w:val="7"/>
        <w:ind w:firstLine="480"/>
        <w:rPr>
          <w:rFonts w:ascii="黑体" w:hAnsi="黑体" w:eastAsia="黑体"/>
          <w:sz w:val="32"/>
          <w:szCs w:val="32"/>
        </w:rPr>
      </w:pPr>
      <w:r>
        <w:rPr>
          <w:rFonts w:ascii="黑体" w:hAnsi="黑体" w:eastAsia="黑体"/>
          <w:sz w:val="32"/>
          <w:szCs w:val="32"/>
        </w:rPr>
        <w:t>八、部门整体支出绩效评价等级</w:t>
      </w:r>
    </w:p>
    <w:p>
      <w:pPr>
        <w:pStyle w:val="7"/>
        <w:ind w:firstLine="480"/>
        <w:rPr>
          <w:rFonts w:ascii="仿宋_GB2312" w:hAnsi="仿宋" w:eastAsia="仿宋_GB2312" w:cstheme="minorBidi"/>
          <w:kern w:val="2"/>
          <w:sz w:val="32"/>
          <w:szCs w:val="32"/>
        </w:rPr>
      </w:pPr>
      <w:r>
        <w:rPr>
          <w:rFonts w:ascii="仿宋_GB2312" w:hAnsi="仿宋" w:eastAsia="仿宋_GB2312" w:cstheme="minorBidi"/>
          <w:kern w:val="2"/>
          <w:sz w:val="32"/>
          <w:szCs w:val="32"/>
        </w:rPr>
        <w:t>根据部门整体支出绩效评价参考指标，我</w:t>
      </w:r>
      <w:r>
        <w:rPr>
          <w:rFonts w:hint="eastAsia" w:ascii="仿宋_GB2312" w:hAnsi="仿宋" w:eastAsia="仿宋_GB2312" w:cstheme="minorBidi"/>
          <w:kern w:val="2"/>
          <w:sz w:val="32"/>
          <w:szCs w:val="32"/>
        </w:rPr>
        <w:t>单位</w:t>
      </w:r>
      <w:r>
        <w:rPr>
          <w:rFonts w:ascii="仿宋_GB2312" w:hAnsi="仿宋" w:eastAsia="仿宋_GB2312" w:cstheme="minorBidi"/>
          <w:kern w:val="2"/>
          <w:sz w:val="32"/>
          <w:szCs w:val="32"/>
        </w:rPr>
        <w:t>此次评价等级为优秀，具体评价情况见附件1、2。</w:t>
      </w:r>
    </w:p>
    <w:p>
      <w:pPr>
        <w:pStyle w:val="7"/>
        <w:spacing w:line="440" w:lineRule="exact"/>
        <w:jc w:val="right"/>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浏阳市红十字会</w:t>
      </w:r>
      <w:r>
        <w:rPr>
          <w:rFonts w:hint="eastAsia"/>
          <w:kern w:val="2"/>
          <w:sz w:val="32"/>
          <w:szCs w:val="32"/>
        </w:rPr>
        <w:t> </w:t>
      </w:r>
      <w:r>
        <w:rPr>
          <w:rFonts w:hint="eastAsia" w:ascii="仿宋_GB2312" w:hAnsi="仿宋" w:eastAsia="仿宋_GB2312" w:cstheme="minorBidi"/>
          <w:kern w:val="2"/>
          <w:sz w:val="32"/>
          <w:szCs w:val="32"/>
        </w:rPr>
        <w:t xml:space="preserve"> </w:t>
      </w:r>
    </w:p>
    <w:p>
      <w:pPr>
        <w:pStyle w:val="7"/>
        <w:spacing w:line="440" w:lineRule="exact"/>
        <w:jc w:val="right"/>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202</w:t>
      </w:r>
      <w:r>
        <w:rPr>
          <w:rFonts w:hint="eastAsia" w:ascii="仿宋_GB2312" w:hAnsi="仿宋" w:eastAsia="仿宋_GB2312" w:cstheme="minorBidi"/>
          <w:kern w:val="2"/>
          <w:sz w:val="32"/>
          <w:szCs w:val="32"/>
          <w:lang w:val="en-US" w:eastAsia="zh-CN"/>
        </w:rPr>
        <w:t>3</w:t>
      </w:r>
      <w:r>
        <w:rPr>
          <w:rFonts w:hint="eastAsia" w:ascii="仿宋_GB2312" w:hAnsi="仿宋" w:eastAsia="仿宋_GB2312" w:cstheme="minorBidi"/>
          <w:kern w:val="2"/>
          <w:sz w:val="32"/>
          <w:szCs w:val="32"/>
        </w:rPr>
        <w:t>年</w:t>
      </w:r>
      <w:r>
        <w:rPr>
          <w:rFonts w:hint="eastAsia" w:ascii="仿宋_GB2312" w:hAnsi="仿宋" w:eastAsia="仿宋_GB2312" w:cstheme="minorBidi"/>
          <w:kern w:val="2"/>
          <w:sz w:val="32"/>
          <w:szCs w:val="32"/>
          <w:lang w:val="en-US" w:eastAsia="zh-CN"/>
        </w:rPr>
        <w:t>9</w:t>
      </w:r>
      <w:r>
        <w:rPr>
          <w:rFonts w:hint="eastAsia" w:ascii="仿宋_GB2312" w:hAnsi="仿宋" w:eastAsia="仿宋_GB2312" w:cstheme="minorBidi"/>
          <w:kern w:val="2"/>
          <w:sz w:val="32"/>
          <w:szCs w:val="32"/>
        </w:rPr>
        <w:t>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7389"/>
      <w:docPartObj>
        <w:docPartGallery w:val="autotext"/>
      </w:docPartObj>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00700"/>
    <w:multiLevelType w:val="multilevel"/>
    <w:tmpl w:val="32800700"/>
    <w:lvl w:ilvl="0" w:tentative="0">
      <w:start w:val="4"/>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diYmU2Y2MzODY1MjU3ZGY0MDZmNzhlM2U3ZDZjYzAifQ=="/>
  </w:docVars>
  <w:rsids>
    <w:rsidRoot w:val="00272FB7"/>
    <w:rsid w:val="00003047"/>
    <w:rsid w:val="00005C35"/>
    <w:rsid w:val="00027AB3"/>
    <w:rsid w:val="0007110B"/>
    <w:rsid w:val="000A407D"/>
    <w:rsid w:val="000C1948"/>
    <w:rsid w:val="001012AD"/>
    <w:rsid w:val="00107394"/>
    <w:rsid w:val="00110CDA"/>
    <w:rsid w:val="00137162"/>
    <w:rsid w:val="0014755E"/>
    <w:rsid w:val="001626AB"/>
    <w:rsid w:val="0018205D"/>
    <w:rsid w:val="001B740B"/>
    <w:rsid w:val="001E4C84"/>
    <w:rsid w:val="00202E8F"/>
    <w:rsid w:val="00227D0C"/>
    <w:rsid w:val="00243616"/>
    <w:rsid w:val="00272FB7"/>
    <w:rsid w:val="002827C3"/>
    <w:rsid w:val="00286723"/>
    <w:rsid w:val="00286CA7"/>
    <w:rsid w:val="00287D3F"/>
    <w:rsid w:val="002937FE"/>
    <w:rsid w:val="002945A7"/>
    <w:rsid w:val="002E385D"/>
    <w:rsid w:val="003076D2"/>
    <w:rsid w:val="00313B01"/>
    <w:rsid w:val="003160D1"/>
    <w:rsid w:val="00320384"/>
    <w:rsid w:val="00325767"/>
    <w:rsid w:val="003601C4"/>
    <w:rsid w:val="003B0653"/>
    <w:rsid w:val="003C6383"/>
    <w:rsid w:val="003D2E63"/>
    <w:rsid w:val="003D6C02"/>
    <w:rsid w:val="003E0730"/>
    <w:rsid w:val="00422154"/>
    <w:rsid w:val="0042730C"/>
    <w:rsid w:val="00444F3B"/>
    <w:rsid w:val="00447E09"/>
    <w:rsid w:val="004D390F"/>
    <w:rsid w:val="004E15C7"/>
    <w:rsid w:val="004E71D4"/>
    <w:rsid w:val="00507D72"/>
    <w:rsid w:val="00526C1E"/>
    <w:rsid w:val="00526DBF"/>
    <w:rsid w:val="00582F52"/>
    <w:rsid w:val="005B1AEC"/>
    <w:rsid w:val="005C088A"/>
    <w:rsid w:val="005D2286"/>
    <w:rsid w:val="005D7408"/>
    <w:rsid w:val="005F6031"/>
    <w:rsid w:val="00603C98"/>
    <w:rsid w:val="00625CC8"/>
    <w:rsid w:val="006552E9"/>
    <w:rsid w:val="0065750B"/>
    <w:rsid w:val="006719AC"/>
    <w:rsid w:val="00683E91"/>
    <w:rsid w:val="006A3233"/>
    <w:rsid w:val="006B1C45"/>
    <w:rsid w:val="006D0E8F"/>
    <w:rsid w:val="006E240A"/>
    <w:rsid w:val="007243E6"/>
    <w:rsid w:val="00746EC1"/>
    <w:rsid w:val="00790816"/>
    <w:rsid w:val="00796646"/>
    <w:rsid w:val="007D29FF"/>
    <w:rsid w:val="007F5F20"/>
    <w:rsid w:val="008246B0"/>
    <w:rsid w:val="0084126B"/>
    <w:rsid w:val="008412E9"/>
    <w:rsid w:val="00845747"/>
    <w:rsid w:val="00855A62"/>
    <w:rsid w:val="00871C41"/>
    <w:rsid w:val="00872BF7"/>
    <w:rsid w:val="00886E3A"/>
    <w:rsid w:val="008B58BF"/>
    <w:rsid w:val="008C06BF"/>
    <w:rsid w:val="008E2FFE"/>
    <w:rsid w:val="00912057"/>
    <w:rsid w:val="00942ECD"/>
    <w:rsid w:val="00964283"/>
    <w:rsid w:val="009723D1"/>
    <w:rsid w:val="00982ED7"/>
    <w:rsid w:val="009A5996"/>
    <w:rsid w:val="009C3198"/>
    <w:rsid w:val="009D5B6B"/>
    <w:rsid w:val="009F2867"/>
    <w:rsid w:val="009F4BE0"/>
    <w:rsid w:val="00A02095"/>
    <w:rsid w:val="00A06D12"/>
    <w:rsid w:val="00A25BD7"/>
    <w:rsid w:val="00A33601"/>
    <w:rsid w:val="00A71FA2"/>
    <w:rsid w:val="00A94A8E"/>
    <w:rsid w:val="00AA059C"/>
    <w:rsid w:val="00AA0725"/>
    <w:rsid w:val="00AA4876"/>
    <w:rsid w:val="00AB661E"/>
    <w:rsid w:val="00AC6790"/>
    <w:rsid w:val="00B12664"/>
    <w:rsid w:val="00B13425"/>
    <w:rsid w:val="00B325A4"/>
    <w:rsid w:val="00B661E2"/>
    <w:rsid w:val="00BE0B17"/>
    <w:rsid w:val="00BF50C0"/>
    <w:rsid w:val="00C50B3F"/>
    <w:rsid w:val="00C54E5F"/>
    <w:rsid w:val="00C71404"/>
    <w:rsid w:val="00C856F5"/>
    <w:rsid w:val="00CE0F6C"/>
    <w:rsid w:val="00CE7026"/>
    <w:rsid w:val="00CE7530"/>
    <w:rsid w:val="00CE7FFE"/>
    <w:rsid w:val="00D13230"/>
    <w:rsid w:val="00D71E5E"/>
    <w:rsid w:val="00D85E2C"/>
    <w:rsid w:val="00D93597"/>
    <w:rsid w:val="00DA4B70"/>
    <w:rsid w:val="00DE1991"/>
    <w:rsid w:val="00DF5758"/>
    <w:rsid w:val="00E000B6"/>
    <w:rsid w:val="00E25539"/>
    <w:rsid w:val="00E36246"/>
    <w:rsid w:val="00E42251"/>
    <w:rsid w:val="00E43B73"/>
    <w:rsid w:val="00E71181"/>
    <w:rsid w:val="00EA1BB8"/>
    <w:rsid w:val="00EA5F03"/>
    <w:rsid w:val="00EC5CB9"/>
    <w:rsid w:val="00ED3282"/>
    <w:rsid w:val="00ED37A0"/>
    <w:rsid w:val="00F07CD6"/>
    <w:rsid w:val="00F37439"/>
    <w:rsid w:val="00F409D3"/>
    <w:rsid w:val="00FA0BA5"/>
    <w:rsid w:val="00FC352D"/>
    <w:rsid w:val="00FD4C67"/>
    <w:rsid w:val="12524368"/>
    <w:rsid w:val="13914F28"/>
    <w:rsid w:val="1BBB7C53"/>
    <w:rsid w:val="238C0846"/>
    <w:rsid w:val="2F691B3C"/>
    <w:rsid w:val="53453FCA"/>
    <w:rsid w:val="7378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Normal Indent"/>
    <w:basedOn w:val="1"/>
    <w:unhideWhenUsed/>
    <w:qFormat/>
    <w:uiPriority w:val="99"/>
    <w:pPr>
      <w:ind w:firstLine="420" w:firstLineChars="200"/>
    </w:pPr>
    <w:rPr>
      <w:rFonts w:ascii="Times New Roman" w:hAnsi="Times New Roman" w:eastAsia="宋体" w:cs="Times New Roman"/>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unhideWhenUsed/>
    <w:qFormat/>
    <w:uiPriority w:val="99"/>
    <w:pPr>
      <w:ind w:firstLine="420" w:firstLineChars="200"/>
    </w:pPr>
    <w:rPr>
      <w:rFonts w:ascii="Times" w:hAnsi="Times" w:eastAsia="仿宋_GB2312"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C434-E9DA-4860-83CE-4D2B5FC514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4138</Words>
  <Characters>4318</Characters>
  <Lines>27</Lines>
  <Paragraphs>7</Paragraphs>
  <TotalTime>0</TotalTime>
  <ScaleCrop>false</ScaleCrop>
  <LinksUpToDate>false</LinksUpToDate>
  <CharactersWithSpaces>4465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2020-05-14T03:19:00Z</dcterms:created>
  <dc:creator>User</dc:creator>
  <cp:lastModifiedBy>张素勤</cp:lastModifiedBy>
  <cp:lastPrinted>2022-04-08T03:08:00Z</cp:lastPrinted>
  <dcterms:modified xsi:type="dcterms:W3CDTF">2023-09-18T02:56:55Z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39265E0FD4004524B5F762A7FC87440F</vt:lpwstr>
  </property>
</Properties>
</file>