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  <w:r>
        <w:rPr>
          <w:rFonts w:eastAsia="黑体"/>
          <w:color w:val="000000"/>
          <w:sz w:val="32"/>
          <w:szCs w:val="32"/>
        </w:rPr>
        <w:tab/>
      </w:r>
    </w:p>
    <w:p>
      <w:pPr>
        <w:spacing w:line="576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部门整体支出绩效</w:t>
      </w:r>
      <w:r>
        <w:rPr>
          <w:rFonts w:hint="eastAsia" w:eastAsia="方正小标宋简体"/>
          <w:color w:val="000000"/>
          <w:kern w:val="0"/>
          <w:sz w:val="44"/>
          <w:szCs w:val="44"/>
        </w:rPr>
        <w:t>自评</w:t>
      </w:r>
      <w:r>
        <w:rPr>
          <w:rFonts w:eastAsia="方正小标宋简体"/>
          <w:color w:val="000000"/>
          <w:kern w:val="0"/>
          <w:sz w:val="44"/>
          <w:szCs w:val="44"/>
        </w:rPr>
        <w:t>基础数据表</w:t>
      </w: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60" w:lineRule="exact"/>
        <w:rPr>
          <w:rFonts w:eastAsia="仿宋_GB2312"/>
          <w:color w:val="000000"/>
          <w:kern w:val="0"/>
          <w:sz w:val="24"/>
        </w:rPr>
      </w:pP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填报单位：</w:t>
      </w:r>
      <w:r>
        <w:rPr>
          <w:rFonts w:hint="eastAsia" w:eastAsia="仿宋_GB2312"/>
          <w:color w:val="000000"/>
          <w:kern w:val="0"/>
          <w:sz w:val="24"/>
        </w:rPr>
        <w:t>浏阳市</w:t>
      </w:r>
      <w:r>
        <w:rPr>
          <w:rFonts w:hint="eastAsia" w:eastAsia="仿宋_GB2312"/>
          <w:color w:val="000000"/>
          <w:kern w:val="0"/>
          <w:sz w:val="24"/>
          <w:lang w:eastAsia="zh-CN"/>
        </w:rPr>
        <w:t>工业和信息化局</w:t>
      </w:r>
      <w:r>
        <w:rPr>
          <w:rFonts w:eastAsia="仿宋_GB2312"/>
          <w:color w:val="000000"/>
          <w:kern w:val="0"/>
          <w:sz w:val="24"/>
        </w:rPr>
        <w:tab/>
      </w:r>
      <w:r>
        <w:rPr>
          <w:rFonts w:eastAsia="仿宋_GB2312"/>
          <w:color w:val="000000"/>
          <w:kern w:val="0"/>
          <w:sz w:val="24"/>
        </w:rPr>
        <w:tab/>
      </w:r>
      <w:r>
        <w:rPr>
          <w:rFonts w:eastAsia="仿宋_GB2312"/>
          <w:color w:val="000000"/>
          <w:kern w:val="0"/>
          <w:sz w:val="24"/>
        </w:rPr>
        <w:tab/>
      </w:r>
      <w:r>
        <w:rPr>
          <w:rFonts w:eastAsia="仿宋_GB2312"/>
          <w:color w:val="000000"/>
          <w:kern w:val="0"/>
          <w:sz w:val="24"/>
        </w:rPr>
        <w:tab/>
      </w:r>
      <w:r>
        <w:rPr>
          <w:rFonts w:eastAsia="仿宋_GB2312"/>
          <w:color w:val="000000"/>
          <w:kern w:val="0"/>
          <w:sz w:val="24"/>
        </w:rPr>
        <w:tab/>
      </w:r>
      <w:r>
        <w:rPr>
          <w:rFonts w:eastAsia="仿宋_GB2312"/>
          <w:color w:val="000000"/>
          <w:kern w:val="0"/>
          <w:sz w:val="24"/>
        </w:rPr>
        <w:tab/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1727"/>
        <w:gridCol w:w="206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年实际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108.33%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8.13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1、公务用车购置和维护经费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其中：公车购置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公车运行维护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2、出国经费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3、公务接待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8.13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1410.5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204.03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889.65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1、业务工作专项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564.2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81.61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355.86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2、运行维护专项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352.63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51.01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222.41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3、其他类项目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493.67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71.41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311.38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68.94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其中：办公经费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4"/>
              </w:tabs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水费、电费、差旅费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会议费、培训费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44.17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部门整体支出预算调整 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943.63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我单位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严格执行上级“八项规定”和相关厉行节约政策，相应制定了公务接待、公务用车、差旅、会议、培训等制度，并汇编成册。</w:t>
            </w:r>
          </w:p>
        </w:tc>
      </w:tr>
    </w:tbl>
    <w:p>
      <w:pPr>
        <w:spacing w:line="360" w:lineRule="exac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说明：“项目支出”需要填报除</w:t>
      </w:r>
      <w:r>
        <w:rPr>
          <w:rFonts w:hint="eastAsia" w:eastAsia="仿宋_GB2312"/>
          <w:color w:val="000000"/>
          <w:kern w:val="0"/>
          <w:sz w:val="24"/>
        </w:rPr>
        <w:t>公共</w:t>
      </w:r>
      <w:r>
        <w:rPr>
          <w:rFonts w:eastAsia="仿宋_GB2312"/>
          <w:color w:val="000000"/>
          <w:kern w:val="0"/>
          <w:sz w:val="24"/>
        </w:rPr>
        <w:t>专项资金和基本支出以外的所有项目情况，包括业务工作项目、运行维护项目等；“公用经费”填报基本支出中的一般商品和服务支出。</w:t>
      </w: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36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年</w:t>
      </w:r>
      <w:r>
        <w:rPr>
          <w:rFonts w:eastAsia="方正小标宋简体"/>
          <w:color w:val="000000"/>
          <w:kern w:val="0"/>
          <w:sz w:val="44"/>
          <w:szCs w:val="44"/>
        </w:rPr>
        <w:t>部门整体支出绩效自评表</w:t>
      </w:r>
    </w:p>
    <w:tbl>
      <w:tblPr>
        <w:tblStyle w:val="9"/>
        <w:tblW w:w="98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92"/>
        <w:gridCol w:w="2160"/>
        <w:gridCol w:w="1911"/>
        <w:gridCol w:w="967"/>
        <w:gridCol w:w="173"/>
        <w:gridCol w:w="750"/>
        <w:gridCol w:w="700"/>
        <w:gridCol w:w="14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8118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浏阳市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工业和信息化局</w:t>
            </w: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  <w:tc>
          <w:tcPr>
            <w:tcW w:w="28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62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28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1052.59</w:t>
            </w:r>
          </w:p>
        </w:tc>
        <w:tc>
          <w:tcPr>
            <w:tcW w:w="162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1943.63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184.65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（2）其他资金</w:t>
            </w:r>
          </w:p>
        </w:tc>
        <w:tc>
          <w:tcPr>
            <w:tcW w:w="28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0　</w:t>
            </w:r>
          </w:p>
        </w:tc>
        <w:tc>
          <w:tcPr>
            <w:tcW w:w="162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0　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28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848.56</w:t>
            </w:r>
          </w:p>
        </w:tc>
        <w:tc>
          <w:tcPr>
            <w:tcW w:w="162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1053.98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124.21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（2）项目支出</w:t>
            </w:r>
          </w:p>
        </w:tc>
        <w:tc>
          <w:tcPr>
            <w:tcW w:w="28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204.03</w:t>
            </w:r>
          </w:p>
        </w:tc>
        <w:tc>
          <w:tcPr>
            <w:tcW w:w="162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889.65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436.04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466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404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spacing w:after="0" w:line="600" w:lineRule="exact"/>
              <w:ind w:left="0" w:firstLine="344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  <w:t>坚持党建引领，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主推产业链建设、主攻智能化升级、主导降成本行动、主抓现代化配套，致力打好产业基础高级化、产业链现代化攻坚战，不断推动工业经济高质量发展。</w:t>
            </w:r>
          </w:p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47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梳理各级惠企政策132条，编印《2021年惠企政策汇编》1000册送达企业，帮助535家企业争取上级奖补资金1.89亿元。牵头推进清欠和实体经济降成本工作，上年欠款全部清零，无新增拖欠民营企业中小企业账款问题。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年度已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减税降费5.9亿元，留抵退税17.9亿元。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07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91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140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75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年</w:t>
            </w:r>
          </w:p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45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预算编审管理</w:t>
            </w:r>
            <w:r>
              <w:rPr>
                <w:rFonts w:hint="eastAsia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3051" w:type="dxa"/>
            <w:gridSpan w:val="3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根据财政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管理工作绩效考核</w:t>
            </w:r>
          </w:p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相</w:t>
            </w:r>
            <w:r>
              <w:rPr>
                <w:color w:val="000000"/>
                <w:kern w:val="0"/>
                <w:sz w:val="18"/>
                <w:szCs w:val="18"/>
              </w:rPr>
              <w:t>关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办法规定</w:t>
            </w:r>
            <w:r>
              <w:rPr>
                <w:color w:val="000000"/>
                <w:kern w:val="0"/>
                <w:sz w:val="18"/>
                <w:szCs w:val="18"/>
              </w:rPr>
              <w:t>填报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预算编制科学性有待加强</w:t>
            </w: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预算执行管理</w:t>
            </w:r>
            <w:r>
              <w:rPr>
                <w:rFonts w:hint="eastAsia"/>
                <w:color w:val="000000"/>
                <w:sz w:val="18"/>
                <w:szCs w:val="18"/>
              </w:rPr>
              <w:t>（4）</w:t>
            </w:r>
          </w:p>
        </w:tc>
        <w:tc>
          <w:tcPr>
            <w:tcW w:w="3051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部门结转结余资金管理</w:t>
            </w:r>
            <w:r>
              <w:rPr>
                <w:rFonts w:hint="eastAsia"/>
                <w:color w:val="000000"/>
                <w:sz w:val="18"/>
                <w:szCs w:val="18"/>
              </w:rPr>
              <w:t>（4）</w:t>
            </w:r>
          </w:p>
        </w:tc>
        <w:tc>
          <w:tcPr>
            <w:tcW w:w="3051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预算绩效管理</w:t>
            </w:r>
            <w:r>
              <w:rPr>
                <w:rFonts w:hint="eastAsia"/>
                <w:color w:val="000000"/>
                <w:sz w:val="18"/>
                <w:szCs w:val="18"/>
              </w:rPr>
              <w:t>（5）</w:t>
            </w:r>
          </w:p>
        </w:tc>
        <w:tc>
          <w:tcPr>
            <w:tcW w:w="3051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预决算信息公开管理</w:t>
            </w:r>
            <w:r>
              <w:rPr>
                <w:rFonts w:hint="eastAsia"/>
                <w:color w:val="000000"/>
                <w:sz w:val="18"/>
                <w:szCs w:val="18"/>
              </w:rPr>
              <w:t>（4）</w:t>
            </w:r>
          </w:p>
        </w:tc>
        <w:tc>
          <w:tcPr>
            <w:tcW w:w="3051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财政监督管理</w:t>
            </w:r>
            <w:r>
              <w:rPr>
                <w:rFonts w:hint="eastAsia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3051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政府采购管理</w:t>
            </w:r>
            <w:r>
              <w:rPr>
                <w:rFonts w:hint="eastAsia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3051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资产管理</w:t>
            </w:r>
            <w:r>
              <w:rPr>
                <w:rFonts w:hint="eastAsia"/>
                <w:color w:val="000000"/>
                <w:sz w:val="18"/>
                <w:szCs w:val="18"/>
              </w:rPr>
              <w:t>（4）</w:t>
            </w:r>
          </w:p>
        </w:tc>
        <w:tc>
          <w:tcPr>
            <w:tcW w:w="3051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数量指标</w:t>
            </w:r>
            <w:r>
              <w:rPr>
                <w:rFonts w:hint="eastAsia"/>
                <w:color w:val="000000"/>
                <w:sz w:val="18"/>
                <w:szCs w:val="18"/>
              </w:rPr>
              <w:t>（15）</w:t>
            </w: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年度工作任务完成率</w:t>
            </w:r>
          </w:p>
        </w:tc>
        <w:tc>
          <w:tcPr>
            <w:tcW w:w="11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09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11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135.65</w:t>
            </w:r>
            <w:r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有超预算情况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质量指标</w:t>
            </w:r>
            <w:r>
              <w:rPr>
                <w:rFonts w:hint="eastAsia"/>
                <w:color w:val="000000"/>
                <w:sz w:val="18"/>
                <w:szCs w:val="18"/>
              </w:rPr>
              <w:t>（15）</w:t>
            </w: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固定资产利用率</w:t>
            </w:r>
          </w:p>
        </w:tc>
        <w:tc>
          <w:tcPr>
            <w:tcW w:w="11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资金使用率</w:t>
            </w:r>
          </w:p>
        </w:tc>
        <w:tc>
          <w:tcPr>
            <w:tcW w:w="11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时效指标</w:t>
            </w:r>
            <w:r>
              <w:rPr>
                <w:rFonts w:hint="eastAsia"/>
                <w:color w:val="000000"/>
                <w:sz w:val="18"/>
                <w:szCs w:val="18"/>
              </w:rPr>
              <w:t>（5）</w:t>
            </w: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重点工作办结率</w:t>
            </w:r>
          </w:p>
        </w:tc>
        <w:tc>
          <w:tcPr>
            <w:tcW w:w="11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效</w:t>
            </w:r>
            <w:r>
              <w:rPr>
                <w:rFonts w:hint="eastAsia"/>
                <w:color w:val="000000"/>
                <w:sz w:val="18"/>
                <w:szCs w:val="18"/>
              </w:rPr>
              <w:t>益</w:t>
            </w:r>
            <w:r>
              <w:rPr>
                <w:color w:val="000000"/>
                <w:sz w:val="18"/>
                <w:szCs w:val="18"/>
              </w:rPr>
              <w:t>指标</w:t>
            </w:r>
          </w:p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经济效益指标</w:t>
            </w:r>
            <w:r>
              <w:rPr>
                <w:rFonts w:hint="eastAsia"/>
                <w:color w:val="000000"/>
                <w:sz w:val="18"/>
                <w:szCs w:val="18"/>
              </w:rPr>
              <w:t>（15）</w:t>
            </w: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工业经济高质量发展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企业技改率、社会就业率、税收增量率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社会效益指标</w:t>
            </w:r>
            <w:r>
              <w:rPr>
                <w:rFonts w:hint="eastAsia"/>
                <w:color w:val="000000"/>
                <w:sz w:val="18"/>
                <w:szCs w:val="18"/>
              </w:rPr>
              <w:t>（10）</w:t>
            </w: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社会人均可支配收入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生态效益指标</w:t>
            </w:r>
            <w:r>
              <w:rPr>
                <w:rFonts w:hint="eastAsia"/>
                <w:color w:val="000000"/>
                <w:sz w:val="18"/>
                <w:szCs w:val="18"/>
              </w:rPr>
              <w:t>（5）</w:t>
            </w: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企业发展环境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满意度指标</w:t>
            </w:r>
            <w:r>
              <w:rPr>
                <w:rFonts w:hint="eastAsia"/>
                <w:color w:val="000000"/>
                <w:sz w:val="18"/>
                <w:szCs w:val="18"/>
              </w:rPr>
              <w:t>（5）</w:t>
            </w:r>
          </w:p>
        </w:tc>
        <w:tc>
          <w:tcPr>
            <w:tcW w:w="19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所服务单位满意度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49" w:type="dxa"/>
            <w:gridSpan w:val="3"/>
            <w:noWrap w:val="0"/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380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5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eastAsia="楷体_GB2312"/>
          <w:spacing w:val="-4"/>
          <w:kern w:val="0"/>
          <w:sz w:val="18"/>
          <w:szCs w:val="18"/>
        </w:rPr>
      </w:pPr>
    </w:p>
    <w:p>
      <w:pPr>
        <w:rPr>
          <w:rFonts w:eastAsia="楷体_GB2312"/>
          <w:spacing w:val="-4"/>
          <w:kern w:val="0"/>
          <w:sz w:val="18"/>
          <w:szCs w:val="18"/>
        </w:rPr>
      </w:pPr>
    </w:p>
    <w:p>
      <w:pPr>
        <w:pStyle w:val="2"/>
      </w:pPr>
    </w:p>
    <w:p>
      <w:pPr>
        <w:adjustRightInd w:val="0"/>
        <w:snapToGrid w:val="0"/>
        <w:spacing w:line="600" w:lineRule="exact"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年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项目支出绩效自评表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66"/>
        <w:gridCol w:w="1194"/>
        <w:gridCol w:w="1454"/>
        <w:gridCol w:w="1035"/>
        <w:gridCol w:w="1065"/>
        <w:gridCol w:w="780"/>
        <w:gridCol w:w="85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pStyle w:val="4"/>
              <w:spacing w:after="0" w:line="600" w:lineRule="exact"/>
              <w:ind w:left="0" w:firstLine="42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产业链建设经费、“优化营商环境”专项行动经费、工业经济运行调度费用、“5G”建设推进经费、中小企业服务中心平台建设经费。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64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浏阳市人民政府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浏阳市工业和信息化局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年度资金总额　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204.03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889.65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889.65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436.04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其中：当年财政拨款　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204.03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889.65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889.65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上年结转资金　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4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一是力促工业稳增长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二是纾困增效保企业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三是千企帮扶助发展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1"/>
                <w:szCs w:val="21"/>
                <w:lang w:eastAsia="zh-CN"/>
              </w:rPr>
              <w:t>；四是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抓实项目壮产业，加速建设提质量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；五是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拓展服务精培育，减负惠企优环境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；六是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通信基建强保障，数字赋能促融合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。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工业经济运行实现稳中加固、稳中向好。其中规模工业增加值增长贡献率、工业技改投资、制造业占GDP的比重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业企业月度入规均位于四区县第一。出台《浏阳市全力打造智能制造强市三年行动计划（2021—2023年）》，聚焦实物量，抓实产业链，培育增长极，1-11月全市技术改造投资项目580个，投资总额445.2亿元，同比增长21.3%。新增智能制造试点企业42家（累计260家），拥有省级智能制造示范企业（车间）13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产出指标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50分）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质量指标（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确保单位正常运转，资产管理信息系统正常运转率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按质完成日常工作及市委市政府交办的其他工作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时效指标（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重点工作完结时间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2021.12.31前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2021.12.31前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成本指标（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年终决算≦预算批复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204.03万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889.65万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疫情防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物资储备资金未纳入预算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益指标（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工业经济指标完成居长沙市区县前列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服务对象满意度指标（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所服务单位满意度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79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  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107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OWE0MTA4ODgzMWVkOWIxOWQxMWYyMDI4MzNjZmYifQ=="/>
  </w:docVars>
  <w:rsids>
    <w:rsidRoot w:val="005141BF"/>
    <w:rsid w:val="0000313C"/>
    <w:rsid w:val="00006422"/>
    <w:rsid w:val="00022547"/>
    <w:rsid w:val="00035ADF"/>
    <w:rsid w:val="00044119"/>
    <w:rsid w:val="000450F5"/>
    <w:rsid w:val="0005644A"/>
    <w:rsid w:val="00071905"/>
    <w:rsid w:val="00072BEF"/>
    <w:rsid w:val="000866F6"/>
    <w:rsid w:val="00093904"/>
    <w:rsid w:val="000A1D62"/>
    <w:rsid w:val="000F6907"/>
    <w:rsid w:val="00142137"/>
    <w:rsid w:val="00163DB3"/>
    <w:rsid w:val="00185575"/>
    <w:rsid w:val="00192F15"/>
    <w:rsid w:val="001A6DEE"/>
    <w:rsid w:val="001B1F40"/>
    <w:rsid w:val="001D11CD"/>
    <w:rsid w:val="002030DB"/>
    <w:rsid w:val="002163F4"/>
    <w:rsid w:val="00225836"/>
    <w:rsid w:val="00235947"/>
    <w:rsid w:val="0024499B"/>
    <w:rsid w:val="002A657A"/>
    <w:rsid w:val="002C7D6F"/>
    <w:rsid w:val="002E7131"/>
    <w:rsid w:val="002F59CD"/>
    <w:rsid w:val="00301010"/>
    <w:rsid w:val="00303419"/>
    <w:rsid w:val="00326A68"/>
    <w:rsid w:val="00341915"/>
    <w:rsid w:val="003528FF"/>
    <w:rsid w:val="00360FF1"/>
    <w:rsid w:val="003719E3"/>
    <w:rsid w:val="00395F50"/>
    <w:rsid w:val="00397E31"/>
    <w:rsid w:val="003A07B3"/>
    <w:rsid w:val="003A47A3"/>
    <w:rsid w:val="003A7218"/>
    <w:rsid w:val="003D0D3E"/>
    <w:rsid w:val="003E785C"/>
    <w:rsid w:val="003F1BC1"/>
    <w:rsid w:val="003F2DAC"/>
    <w:rsid w:val="003F6395"/>
    <w:rsid w:val="00407B57"/>
    <w:rsid w:val="004372D5"/>
    <w:rsid w:val="0044009D"/>
    <w:rsid w:val="00451496"/>
    <w:rsid w:val="0049045F"/>
    <w:rsid w:val="004A1399"/>
    <w:rsid w:val="004A7EA6"/>
    <w:rsid w:val="004C789F"/>
    <w:rsid w:val="004E4DDE"/>
    <w:rsid w:val="00513728"/>
    <w:rsid w:val="005141BF"/>
    <w:rsid w:val="00517CB1"/>
    <w:rsid w:val="00537D76"/>
    <w:rsid w:val="005430FE"/>
    <w:rsid w:val="00547B1D"/>
    <w:rsid w:val="00550CB0"/>
    <w:rsid w:val="00557E56"/>
    <w:rsid w:val="00567C61"/>
    <w:rsid w:val="0057058E"/>
    <w:rsid w:val="00587EBB"/>
    <w:rsid w:val="005C5564"/>
    <w:rsid w:val="005D654D"/>
    <w:rsid w:val="005E34D5"/>
    <w:rsid w:val="0061357D"/>
    <w:rsid w:val="00622BF5"/>
    <w:rsid w:val="00680727"/>
    <w:rsid w:val="00684E4B"/>
    <w:rsid w:val="006B0454"/>
    <w:rsid w:val="006B6F11"/>
    <w:rsid w:val="006B7F82"/>
    <w:rsid w:val="00714396"/>
    <w:rsid w:val="00725F62"/>
    <w:rsid w:val="007333EE"/>
    <w:rsid w:val="00756F00"/>
    <w:rsid w:val="007A2F09"/>
    <w:rsid w:val="007C0D7C"/>
    <w:rsid w:val="007C77A3"/>
    <w:rsid w:val="007E4BC4"/>
    <w:rsid w:val="007F7753"/>
    <w:rsid w:val="00811AC7"/>
    <w:rsid w:val="0082209E"/>
    <w:rsid w:val="008263D4"/>
    <w:rsid w:val="008305E7"/>
    <w:rsid w:val="00840290"/>
    <w:rsid w:val="008404E0"/>
    <w:rsid w:val="00855246"/>
    <w:rsid w:val="00863E8E"/>
    <w:rsid w:val="00865861"/>
    <w:rsid w:val="008663F6"/>
    <w:rsid w:val="00882B5E"/>
    <w:rsid w:val="008924E5"/>
    <w:rsid w:val="00897DBE"/>
    <w:rsid w:val="008A1863"/>
    <w:rsid w:val="008C55DD"/>
    <w:rsid w:val="008D5188"/>
    <w:rsid w:val="008D6A7C"/>
    <w:rsid w:val="00903E14"/>
    <w:rsid w:val="0090699A"/>
    <w:rsid w:val="00931EF8"/>
    <w:rsid w:val="00961BCC"/>
    <w:rsid w:val="0096393C"/>
    <w:rsid w:val="009A4535"/>
    <w:rsid w:val="009B1748"/>
    <w:rsid w:val="009B289E"/>
    <w:rsid w:val="009E3245"/>
    <w:rsid w:val="009E4515"/>
    <w:rsid w:val="00A01A60"/>
    <w:rsid w:val="00A41049"/>
    <w:rsid w:val="00A42584"/>
    <w:rsid w:val="00A62057"/>
    <w:rsid w:val="00A91499"/>
    <w:rsid w:val="00A95876"/>
    <w:rsid w:val="00AA5031"/>
    <w:rsid w:val="00AD2380"/>
    <w:rsid w:val="00AF643F"/>
    <w:rsid w:val="00B01EEA"/>
    <w:rsid w:val="00B021D7"/>
    <w:rsid w:val="00B47FF3"/>
    <w:rsid w:val="00B607E1"/>
    <w:rsid w:val="00B61B7D"/>
    <w:rsid w:val="00B640CF"/>
    <w:rsid w:val="00B65D1A"/>
    <w:rsid w:val="00BA4131"/>
    <w:rsid w:val="00BD4986"/>
    <w:rsid w:val="00BD544C"/>
    <w:rsid w:val="00C127A1"/>
    <w:rsid w:val="00C24D99"/>
    <w:rsid w:val="00C34F4A"/>
    <w:rsid w:val="00C36462"/>
    <w:rsid w:val="00C65217"/>
    <w:rsid w:val="00C72853"/>
    <w:rsid w:val="00C8570A"/>
    <w:rsid w:val="00CB45C9"/>
    <w:rsid w:val="00CB6797"/>
    <w:rsid w:val="00CB7E60"/>
    <w:rsid w:val="00CC10F6"/>
    <w:rsid w:val="00D217A3"/>
    <w:rsid w:val="00D2495D"/>
    <w:rsid w:val="00D36134"/>
    <w:rsid w:val="00D602E8"/>
    <w:rsid w:val="00D72B9A"/>
    <w:rsid w:val="00D85381"/>
    <w:rsid w:val="00DA5197"/>
    <w:rsid w:val="00DC4E04"/>
    <w:rsid w:val="00DC5C09"/>
    <w:rsid w:val="00DD5967"/>
    <w:rsid w:val="00E179B4"/>
    <w:rsid w:val="00E17F0E"/>
    <w:rsid w:val="00E27870"/>
    <w:rsid w:val="00E44F72"/>
    <w:rsid w:val="00E52B4A"/>
    <w:rsid w:val="00E620B1"/>
    <w:rsid w:val="00E64940"/>
    <w:rsid w:val="00E76B13"/>
    <w:rsid w:val="00E9025F"/>
    <w:rsid w:val="00EB24C0"/>
    <w:rsid w:val="00EC40D5"/>
    <w:rsid w:val="00EE04D7"/>
    <w:rsid w:val="00EE2FC5"/>
    <w:rsid w:val="00EE635B"/>
    <w:rsid w:val="00F07548"/>
    <w:rsid w:val="00F330C2"/>
    <w:rsid w:val="00F57BD4"/>
    <w:rsid w:val="00F70EAE"/>
    <w:rsid w:val="00FA320C"/>
    <w:rsid w:val="00FB1170"/>
    <w:rsid w:val="00FC20EF"/>
    <w:rsid w:val="00FC2834"/>
    <w:rsid w:val="00FD0192"/>
    <w:rsid w:val="00FE3972"/>
    <w:rsid w:val="00FE6A14"/>
    <w:rsid w:val="022A1596"/>
    <w:rsid w:val="024E4A45"/>
    <w:rsid w:val="02F45356"/>
    <w:rsid w:val="03371E43"/>
    <w:rsid w:val="064C7AFB"/>
    <w:rsid w:val="07084320"/>
    <w:rsid w:val="0A695B89"/>
    <w:rsid w:val="0A9F32EE"/>
    <w:rsid w:val="0B7B1DC4"/>
    <w:rsid w:val="0ECA7804"/>
    <w:rsid w:val="116F545D"/>
    <w:rsid w:val="12A632BF"/>
    <w:rsid w:val="12F04710"/>
    <w:rsid w:val="13730A9B"/>
    <w:rsid w:val="16981D1B"/>
    <w:rsid w:val="16C316F0"/>
    <w:rsid w:val="16C60577"/>
    <w:rsid w:val="16D233F9"/>
    <w:rsid w:val="16D47374"/>
    <w:rsid w:val="187C116F"/>
    <w:rsid w:val="1BE52B93"/>
    <w:rsid w:val="1C8A6E09"/>
    <w:rsid w:val="1CB44B46"/>
    <w:rsid w:val="1D0D2BBA"/>
    <w:rsid w:val="1E544321"/>
    <w:rsid w:val="1EBA024F"/>
    <w:rsid w:val="1EC0290B"/>
    <w:rsid w:val="1FCC4349"/>
    <w:rsid w:val="21521328"/>
    <w:rsid w:val="222C0FD3"/>
    <w:rsid w:val="23DB3682"/>
    <w:rsid w:val="23FD1C4B"/>
    <w:rsid w:val="247777FD"/>
    <w:rsid w:val="24BC3DCE"/>
    <w:rsid w:val="25852AA9"/>
    <w:rsid w:val="258A0C15"/>
    <w:rsid w:val="260A22A5"/>
    <w:rsid w:val="26BD0099"/>
    <w:rsid w:val="27164E0C"/>
    <w:rsid w:val="28D5232F"/>
    <w:rsid w:val="29205734"/>
    <w:rsid w:val="2A9D45F2"/>
    <w:rsid w:val="2B3337A0"/>
    <w:rsid w:val="2CC55B03"/>
    <w:rsid w:val="2D3574C2"/>
    <w:rsid w:val="2DF41FA0"/>
    <w:rsid w:val="2E3A63B7"/>
    <w:rsid w:val="2E4D6FBF"/>
    <w:rsid w:val="30261B59"/>
    <w:rsid w:val="32120CBB"/>
    <w:rsid w:val="326B2F33"/>
    <w:rsid w:val="3326675B"/>
    <w:rsid w:val="33FB6C54"/>
    <w:rsid w:val="34D14823"/>
    <w:rsid w:val="35032F5F"/>
    <w:rsid w:val="35CC59E5"/>
    <w:rsid w:val="35D349C5"/>
    <w:rsid w:val="37E46E27"/>
    <w:rsid w:val="382B66D3"/>
    <w:rsid w:val="38330A73"/>
    <w:rsid w:val="38C13A4E"/>
    <w:rsid w:val="38F23CB7"/>
    <w:rsid w:val="3AC964CA"/>
    <w:rsid w:val="3B0C0DF9"/>
    <w:rsid w:val="3B400B26"/>
    <w:rsid w:val="3C264750"/>
    <w:rsid w:val="3C296FAB"/>
    <w:rsid w:val="3DD44327"/>
    <w:rsid w:val="3E4D448A"/>
    <w:rsid w:val="3EA24B19"/>
    <w:rsid w:val="3EB0467C"/>
    <w:rsid w:val="3EED7D10"/>
    <w:rsid w:val="3F0C40DF"/>
    <w:rsid w:val="3FA60442"/>
    <w:rsid w:val="43C6277E"/>
    <w:rsid w:val="45255F8D"/>
    <w:rsid w:val="465825F0"/>
    <w:rsid w:val="471E1499"/>
    <w:rsid w:val="48263F33"/>
    <w:rsid w:val="485B723C"/>
    <w:rsid w:val="49123DD3"/>
    <w:rsid w:val="491626AA"/>
    <w:rsid w:val="49AD31D7"/>
    <w:rsid w:val="4B253191"/>
    <w:rsid w:val="4B64722E"/>
    <w:rsid w:val="4BF04874"/>
    <w:rsid w:val="4C355264"/>
    <w:rsid w:val="4C4F7A78"/>
    <w:rsid w:val="4C5E432F"/>
    <w:rsid w:val="4CAF7C6B"/>
    <w:rsid w:val="4D0146E6"/>
    <w:rsid w:val="4DFB24E2"/>
    <w:rsid w:val="4F0C5F63"/>
    <w:rsid w:val="4FF76E22"/>
    <w:rsid w:val="50E95B92"/>
    <w:rsid w:val="51C341DA"/>
    <w:rsid w:val="529C253B"/>
    <w:rsid w:val="53E01B7E"/>
    <w:rsid w:val="53FF39B2"/>
    <w:rsid w:val="54397317"/>
    <w:rsid w:val="544860A9"/>
    <w:rsid w:val="54F97A01"/>
    <w:rsid w:val="565E3099"/>
    <w:rsid w:val="56E66C4A"/>
    <w:rsid w:val="578F6BAD"/>
    <w:rsid w:val="57BF5BF2"/>
    <w:rsid w:val="592C42A0"/>
    <w:rsid w:val="59524120"/>
    <w:rsid w:val="5A3323A5"/>
    <w:rsid w:val="5A504FFB"/>
    <w:rsid w:val="5B375A25"/>
    <w:rsid w:val="5C500DC9"/>
    <w:rsid w:val="5C7743CB"/>
    <w:rsid w:val="5CFB01CE"/>
    <w:rsid w:val="5D19531E"/>
    <w:rsid w:val="5DAA75E3"/>
    <w:rsid w:val="5E034B94"/>
    <w:rsid w:val="5F1C25EF"/>
    <w:rsid w:val="5F7524C3"/>
    <w:rsid w:val="5FDF1B9F"/>
    <w:rsid w:val="62622841"/>
    <w:rsid w:val="62956AD1"/>
    <w:rsid w:val="63702BF9"/>
    <w:rsid w:val="641531F7"/>
    <w:rsid w:val="64712A47"/>
    <w:rsid w:val="654356F7"/>
    <w:rsid w:val="6555334C"/>
    <w:rsid w:val="65F22A72"/>
    <w:rsid w:val="66A543CE"/>
    <w:rsid w:val="67626210"/>
    <w:rsid w:val="68DE20C0"/>
    <w:rsid w:val="6975013B"/>
    <w:rsid w:val="69F8665A"/>
    <w:rsid w:val="6A1D3AE7"/>
    <w:rsid w:val="6A8C4D14"/>
    <w:rsid w:val="6C3B674B"/>
    <w:rsid w:val="6C504FBE"/>
    <w:rsid w:val="6E006493"/>
    <w:rsid w:val="6E441DEA"/>
    <w:rsid w:val="6F1A4F73"/>
    <w:rsid w:val="6F5F1197"/>
    <w:rsid w:val="7127604A"/>
    <w:rsid w:val="71C43727"/>
    <w:rsid w:val="731F210A"/>
    <w:rsid w:val="740205B6"/>
    <w:rsid w:val="74C3478A"/>
    <w:rsid w:val="756D5274"/>
    <w:rsid w:val="764628EA"/>
    <w:rsid w:val="7688207F"/>
    <w:rsid w:val="76A448E5"/>
    <w:rsid w:val="76DD70AC"/>
    <w:rsid w:val="775F1D22"/>
    <w:rsid w:val="77C771F6"/>
    <w:rsid w:val="77D03839"/>
    <w:rsid w:val="78495379"/>
    <w:rsid w:val="79665812"/>
    <w:rsid w:val="7B605045"/>
    <w:rsid w:val="7C2347A4"/>
    <w:rsid w:val="7D2912B1"/>
    <w:rsid w:val="7D3019AF"/>
    <w:rsid w:val="7D59177D"/>
    <w:rsid w:val="7D696640"/>
    <w:rsid w:val="7EAA3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cs="Calibr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4">
    <w:name w:val="Body Text Indent"/>
    <w:basedOn w:val="1"/>
    <w:link w:val="14"/>
    <w:qFormat/>
    <w:uiPriority w:val="0"/>
    <w:pPr>
      <w:spacing w:line="620" w:lineRule="exact"/>
      <w:ind w:firstLine="640" w:firstLineChars="20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闻政正文"/>
    <w:basedOn w:val="1"/>
    <w:qFormat/>
    <w:uiPriority w:val="99"/>
    <w:pPr>
      <w:spacing w:line="500" w:lineRule="exact"/>
      <w:ind w:firstLine="560" w:firstLineChars="200"/>
    </w:pPr>
    <w:rPr>
      <w:rFonts w:eastAsia="仿宋_GB2312"/>
      <w:kern w:val="0"/>
      <w:sz w:val="28"/>
      <w:szCs w:val="28"/>
    </w:rPr>
  </w:style>
  <w:style w:type="character" w:customStyle="1" w:styleId="13">
    <w:name w:val="Heading 3 Char"/>
    <w:basedOn w:val="10"/>
    <w:link w:val="3"/>
    <w:qFormat/>
    <w:locked/>
    <w:uiPriority w:val="0"/>
    <w:rPr>
      <w:rFonts w:ascii="Calibri" w:hAnsi="Calibri" w:eastAsia="宋体" w:cs="Calibri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 Char Char"/>
    <w:basedOn w:val="10"/>
    <w:link w:val="4"/>
    <w:qFormat/>
    <w:uiPriority w:val="0"/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530la.com</Company>
  <Pages>4</Pages>
  <Words>1714</Words>
  <Characters>2126</Characters>
  <Lines>43</Lines>
  <Paragraphs>12</Paragraphs>
  <TotalTime>40</TotalTime>
  <ScaleCrop>false</ScaleCrop>
  <LinksUpToDate>false</LinksUpToDate>
  <CharactersWithSpaces>2265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2018-03-28T03:39:00Z</dcterms:created>
  <dc:creator>530la</dc:creator>
  <cp:lastModifiedBy>Administrator</cp:lastModifiedBy>
  <cp:lastPrinted>2020-04-07T06:25:00Z</cp:lastPrinted>
  <dcterms:modified xsi:type="dcterms:W3CDTF">2022-07-18T01:45:41Z</dcterms:modified>
  <dc:title>浏阳市经信局绩效自评报告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5580019071CE4A28AF0F7A9F6569191E</vt:lpwstr>
  </property>
</Properties>
</file>