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方正小标宋简体" w:hAnsi="方正小标宋简体" w:eastAsia="方正小标宋简体" w:cs="方正小标宋简体"/>
          <w:color w:val="000000"/>
          <w:sz w:val="84"/>
          <w:szCs w:val="84"/>
        </w:rPr>
      </w:pPr>
    </w:p>
    <w:p>
      <w:pPr>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2020年部门整体支出绩效</w:t>
      </w:r>
    </w:p>
    <w:p>
      <w:pPr>
        <w:spacing w:line="600" w:lineRule="exact"/>
        <w:jc w:val="center"/>
        <w:rPr>
          <w:rFonts w:ascii="方正小标宋简体" w:hAnsi="方正小标宋简体" w:eastAsia="方正小标宋简体" w:cs="方正小标宋简体"/>
          <w:color w:val="000000"/>
          <w:sz w:val="52"/>
          <w:szCs w:val="52"/>
        </w:rPr>
      </w:pPr>
    </w:p>
    <w:p>
      <w:pPr>
        <w:spacing w:line="2000" w:lineRule="exact"/>
        <w:jc w:val="center"/>
        <w:rPr>
          <w:rFonts w:ascii="隶书" w:hAnsi="隶书" w:eastAsia="隶书" w:cs="隶书"/>
          <w:color w:val="000000"/>
          <w:sz w:val="112"/>
          <w:szCs w:val="112"/>
        </w:rPr>
      </w:pPr>
      <w:r>
        <w:rPr>
          <w:rFonts w:hint="eastAsia" w:ascii="隶书" w:hAnsi="隶书" w:eastAsia="隶书" w:cs="隶书"/>
          <w:color w:val="000000"/>
          <w:sz w:val="112"/>
          <w:szCs w:val="112"/>
        </w:rPr>
        <w:t>自</w:t>
      </w:r>
    </w:p>
    <w:p>
      <w:pPr>
        <w:spacing w:line="2000" w:lineRule="exact"/>
        <w:jc w:val="center"/>
        <w:rPr>
          <w:rFonts w:ascii="隶书" w:hAnsi="隶书" w:eastAsia="隶书" w:cs="隶书"/>
          <w:color w:val="000000"/>
          <w:sz w:val="112"/>
          <w:szCs w:val="112"/>
        </w:rPr>
      </w:pPr>
      <w:r>
        <w:rPr>
          <w:rFonts w:hint="eastAsia" w:ascii="隶书" w:hAnsi="隶书" w:eastAsia="隶书" w:cs="隶书"/>
          <w:color w:val="000000"/>
          <w:sz w:val="112"/>
          <w:szCs w:val="112"/>
        </w:rPr>
        <w:t>评</w:t>
      </w:r>
    </w:p>
    <w:p>
      <w:pPr>
        <w:spacing w:line="2000" w:lineRule="exact"/>
        <w:jc w:val="center"/>
        <w:rPr>
          <w:rFonts w:ascii="隶书" w:hAnsi="隶书" w:eastAsia="隶书" w:cs="隶书"/>
          <w:color w:val="000000"/>
          <w:sz w:val="112"/>
          <w:szCs w:val="112"/>
        </w:rPr>
      </w:pPr>
      <w:r>
        <w:rPr>
          <w:rFonts w:hint="eastAsia" w:ascii="隶书" w:hAnsi="隶书" w:eastAsia="隶书" w:cs="隶书"/>
          <w:color w:val="000000"/>
          <w:sz w:val="112"/>
          <w:szCs w:val="112"/>
        </w:rPr>
        <w:t>报</w:t>
      </w:r>
    </w:p>
    <w:p>
      <w:pPr>
        <w:spacing w:line="2000" w:lineRule="exact"/>
        <w:jc w:val="center"/>
        <w:rPr>
          <w:rFonts w:ascii="隶书" w:hAnsi="隶书" w:eastAsia="隶书" w:cs="隶书"/>
          <w:color w:val="000000"/>
          <w:sz w:val="112"/>
          <w:szCs w:val="112"/>
        </w:rPr>
      </w:pPr>
      <w:r>
        <w:rPr>
          <w:rFonts w:hint="eastAsia" w:ascii="隶书" w:hAnsi="隶书" w:eastAsia="隶书" w:cs="隶书"/>
          <w:color w:val="000000"/>
          <w:sz w:val="112"/>
          <w:szCs w:val="112"/>
        </w:rPr>
        <w:t>告</w:t>
      </w:r>
    </w:p>
    <w:p>
      <w:pPr>
        <w:spacing w:line="600" w:lineRule="exact"/>
        <w:jc w:val="center"/>
        <w:rPr>
          <w:rFonts w:ascii="Times New Roman" w:hAnsi="Times New Roman" w:eastAsia="黑体"/>
          <w:color w:val="000000"/>
          <w:sz w:val="32"/>
          <w:szCs w:val="32"/>
        </w:rPr>
      </w:pPr>
    </w:p>
    <w:p>
      <w:pPr>
        <w:pStyle w:val="2"/>
        <w:spacing w:after="0" w:line="240" w:lineRule="exact"/>
        <w:ind w:left="1470" w:right="1470"/>
        <w:rPr>
          <w:rFonts w:ascii="Times New Roman" w:hAnsi="Times New Roman" w:eastAsia="黑体"/>
          <w:color w:val="000000"/>
          <w:sz w:val="32"/>
          <w:szCs w:val="32"/>
        </w:rPr>
      </w:pPr>
    </w:p>
    <w:p>
      <w:pPr>
        <w:pStyle w:val="2"/>
        <w:spacing w:after="0" w:line="240" w:lineRule="exact"/>
        <w:ind w:left="1470" w:right="1470"/>
        <w:rPr>
          <w:rFonts w:ascii="Times New Roman" w:hAnsi="Times New Roman" w:eastAsia="黑体"/>
          <w:color w:val="000000"/>
          <w:sz w:val="32"/>
          <w:szCs w:val="32"/>
        </w:rPr>
      </w:pPr>
    </w:p>
    <w:p>
      <w:pPr>
        <w:pStyle w:val="2"/>
        <w:spacing w:after="0" w:line="240" w:lineRule="exact"/>
        <w:ind w:left="1470" w:right="1470"/>
        <w:rPr>
          <w:rFonts w:ascii="Times New Roman" w:hAnsi="Times New Roman" w:eastAsia="黑体"/>
          <w:color w:val="000000"/>
          <w:sz w:val="32"/>
          <w:szCs w:val="32"/>
        </w:rPr>
      </w:pPr>
    </w:p>
    <w:p>
      <w:pPr>
        <w:pStyle w:val="2"/>
        <w:spacing w:after="0" w:line="240" w:lineRule="exact"/>
        <w:ind w:left="1470" w:right="1470"/>
        <w:rPr>
          <w:rFonts w:ascii="Times New Roman" w:hAnsi="Times New Roman" w:eastAsia="黑体"/>
          <w:color w:val="000000"/>
          <w:sz w:val="32"/>
          <w:szCs w:val="32"/>
        </w:rPr>
      </w:pPr>
    </w:p>
    <w:p>
      <w:pPr>
        <w:spacing w:line="60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单位名称（盖章）：浏阳市金融事务中心</w:t>
      </w:r>
    </w:p>
    <w:p>
      <w:pPr>
        <w:spacing w:line="600" w:lineRule="exact"/>
        <w:jc w:val="center"/>
        <w:rPr>
          <w:rFonts w:ascii="黑体" w:hAnsi="黑体" w:eastAsia="黑体" w:cs="黑体"/>
          <w:color w:val="000000"/>
          <w:sz w:val="36"/>
          <w:szCs w:val="36"/>
        </w:rPr>
        <w:sectPr>
          <w:headerReference r:id="rId3" w:type="default"/>
          <w:footerReference r:id="rId4" w:type="default"/>
          <w:pgSz w:w="11906" w:h="16838"/>
          <w:pgMar w:top="1701" w:right="1417" w:bottom="1417" w:left="1701" w:header="851" w:footer="1417" w:gutter="0"/>
          <w:cols w:space="0" w:num="1"/>
          <w:docGrid w:type="lines" w:linePitch="312" w:charSpace="0"/>
        </w:sectPr>
      </w:pPr>
      <w:r>
        <w:rPr>
          <w:rFonts w:hint="eastAsia" w:ascii="黑体" w:hAnsi="黑体" w:eastAsia="黑体" w:cs="黑体"/>
          <w:color w:val="000000"/>
          <w:sz w:val="36"/>
          <w:szCs w:val="36"/>
        </w:rPr>
        <w:t>二</w:t>
      </w:r>
      <w:r>
        <w:rPr>
          <w:rFonts w:hint="eastAsia" w:ascii="微软雅黑" w:hAnsi="微软雅黑" w:eastAsia="微软雅黑" w:cs="微软雅黑"/>
          <w:color w:val="000000"/>
          <w:sz w:val="36"/>
          <w:szCs w:val="36"/>
        </w:rPr>
        <w:t>〇</w:t>
      </w:r>
      <w:r>
        <w:rPr>
          <w:rFonts w:hint="eastAsia" w:ascii="黑体" w:hAnsi="黑体" w:eastAsia="黑体" w:cs="黑体"/>
          <w:color w:val="000000"/>
          <w:sz w:val="36"/>
          <w:szCs w:val="36"/>
        </w:rPr>
        <w:t>二一年六月三日</w:t>
      </w:r>
    </w:p>
    <w:p>
      <w:pPr>
        <w:pStyle w:val="18"/>
        <w:spacing w:line="600" w:lineRule="exact"/>
        <w:ind w:firstLine="640"/>
        <w:rPr>
          <w:rFonts w:ascii="Times New Roman" w:hAnsi="Times New Roman" w:eastAsia="仿宋_GB2312" w:cs="仿宋_GB2312"/>
          <w:b/>
          <w:bCs/>
          <w:color w:val="000000"/>
          <w:kern w:val="0"/>
          <w:sz w:val="32"/>
          <w:szCs w:val="32"/>
        </w:rPr>
      </w:pPr>
      <w:r>
        <w:rPr>
          <w:rFonts w:hint="eastAsia" w:ascii="黑体" w:hAnsi="黑体" w:eastAsia="黑体" w:cs="黑体"/>
          <w:color w:val="000000"/>
          <w:kern w:val="0"/>
          <w:sz w:val="32"/>
          <w:szCs w:val="32"/>
        </w:rPr>
        <w:t>一、部门概况</w:t>
      </w:r>
    </w:p>
    <w:p>
      <w:pPr>
        <w:spacing w:line="60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（一）部门职能概述</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浏阳市金融事务中心（以下简称市金融事务中心）是市人民政府直属公益类事业单位，为正科级，归口市人民政府办公室管理。主要职责是：</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（1）贯彻执行国家有关金融工作的法律法规和方针、政策；落实市委、市人民政府关于金融工作的决策部署。</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（2）拟订并组织实施全市金融业发展规划，拟订加强全市金融行业服务和促进金融行业发展的政策措施，参与开展区域金融合作。</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（3）牵头建立全市金融工作联系协调机制和考核机制。</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（4）指导地方金融机构深化改革和发展，协调推进全市农村金融改革与发展。</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（5）协助有关部门促进金融中介服务业发展，引导和推动地方金融行业自律组织发展。</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（6）协助有关部门推动全市保险公司、小额贷款公司、融资担保公司等规范发展。</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（7）负责全市企业上市工作的统筹规划和组织协调，研究拟定推进企业上市的政策措施并组织实施;负责培育区域性资本市场。</w:t>
      </w:r>
    </w:p>
    <w:p>
      <w:pPr>
        <w:spacing w:line="600" w:lineRule="exact"/>
        <w:ind w:firstLine="640" w:firstLineChars="200"/>
        <w:rPr>
          <w:rFonts w:ascii="Times New Roman" w:hAnsi="Times New Roman" w:eastAsia="仿宋_GB2312" w:cs="仿宋_GB2312"/>
          <w:color w:val="000000"/>
          <w:spacing w:val="-11"/>
          <w:sz w:val="32"/>
          <w:szCs w:val="32"/>
          <w:lang w:val="zh-CN"/>
        </w:rPr>
      </w:pPr>
      <w:r>
        <w:rPr>
          <w:rFonts w:hint="eastAsia" w:ascii="Times New Roman" w:hAnsi="Times New Roman" w:eastAsia="仿宋_GB2312" w:cs="仿宋_GB2312"/>
          <w:color w:val="000000"/>
          <w:sz w:val="32"/>
          <w:szCs w:val="32"/>
          <w:lang w:val="zh-CN"/>
        </w:rPr>
        <w:t>（8）牵</w:t>
      </w:r>
      <w:r>
        <w:rPr>
          <w:rFonts w:hint="eastAsia" w:ascii="Times New Roman" w:hAnsi="Times New Roman" w:eastAsia="仿宋_GB2312" w:cs="仿宋_GB2312"/>
          <w:color w:val="000000"/>
          <w:spacing w:val="-11"/>
          <w:sz w:val="32"/>
          <w:szCs w:val="32"/>
          <w:lang w:val="zh-CN"/>
        </w:rPr>
        <w:t>头推进政府产业投资基金的规范发展和制度建设工作。</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（9）会同有关部门防范金融风险、维护辖区内金融秩序和金融稳定，推进金融安全区建设；参与信用乡镇和信用村建设工作，优化金融生态环境。</w:t>
      </w:r>
    </w:p>
    <w:p>
      <w:pPr>
        <w:spacing w:line="600" w:lineRule="exact"/>
        <w:ind w:firstLine="640" w:firstLineChars="200"/>
        <w:rPr>
          <w:rFonts w:ascii="Times New Roman" w:hAnsi="Times New Roman" w:eastAsia="仿宋_GB2312" w:cs="仿宋_GB2312"/>
          <w:color w:val="000000"/>
          <w:spacing w:val="-6"/>
          <w:sz w:val="32"/>
          <w:szCs w:val="32"/>
          <w:lang w:val="zh-CN"/>
        </w:rPr>
      </w:pPr>
      <w:r>
        <w:rPr>
          <w:rFonts w:hint="eastAsia" w:ascii="Times New Roman" w:hAnsi="Times New Roman" w:eastAsia="仿宋_GB2312" w:cs="仿宋_GB2312"/>
          <w:color w:val="000000"/>
          <w:sz w:val="32"/>
          <w:szCs w:val="32"/>
          <w:lang w:val="zh-CN"/>
        </w:rPr>
        <w:t>（10）负</w:t>
      </w:r>
      <w:r>
        <w:rPr>
          <w:rFonts w:hint="eastAsia" w:ascii="Times New Roman" w:hAnsi="Times New Roman" w:eastAsia="仿宋_GB2312" w:cs="仿宋_GB2312"/>
          <w:color w:val="000000"/>
          <w:spacing w:val="-6"/>
          <w:sz w:val="32"/>
          <w:szCs w:val="32"/>
          <w:lang w:val="zh-CN"/>
        </w:rPr>
        <w:t>责全市金融政策、金融知识的宣传和相关培训工作。</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zh-CN"/>
        </w:rPr>
        <w:t>（11）完成市委、市人民政府交办的其他任务</w:t>
      </w:r>
      <w:r>
        <w:rPr>
          <w:rFonts w:hint="eastAsia" w:ascii="Times New Roman" w:hAnsi="Times New Roman" w:eastAsia="仿宋_GB2312" w:cs="仿宋_GB2312"/>
          <w:color w:val="000000"/>
          <w:sz w:val="32"/>
          <w:szCs w:val="32"/>
        </w:rPr>
        <w:t>。</w:t>
      </w:r>
    </w:p>
    <w:p>
      <w:pPr>
        <w:spacing w:line="60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（二）部门组织机构及人员情况</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rPr>
        <w:t>1．</w:t>
      </w:r>
      <w:r>
        <w:rPr>
          <w:rFonts w:hint="eastAsia" w:ascii="Times New Roman" w:hAnsi="Times New Roman" w:eastAsia="仿宋_GB2312" w:cs="仿宋_GB2312"/>
          <w:color w:val="000000"/>
          <w:sz w:val="32"/>
          <w:szCs w:val="32"/>
          <w:lang w:val="zh-CN"/>
        </w:rPr>
        <w:t>机构情况。2020年本单位由办公室、金融服务部、资本市场部三个部室组成。</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lang w:val="zh-CN"/>
        </w:rPr>
        <w:t>人员情况。2020年本单位年末实有人数10人，比上年增加</w:t>
      </w:r>
      <w:r>
        <w:rPr>
          <w:rFonts w:hint="eastAsia" w:ascii="Times New Roman" w:hAnsi="Times New Roman" w:eastAsia="仿宋_GB2312" w:cs="仿宋_GB2312"/>
          <w:color w:val="000000"/>
          <w:sz w:val="32"/>
          <w:szCs w:val="32"/>
        </w:rPr>
        <w:t>2人。人员变化的主要原因是正常调入2人。</w:t>
      </w:r>
    </w:p>
    <w:p>
      <w:pPr>
        <w:spacing w:line="60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（三）年度重点工作计划</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全力服务实体经济，提升金融服务质效。坚持以服务实体经济为根本，引导金融机构加大产品创新力度，推动贷款投放扩面增量。一是提高金企对接成效。继续常态化开展金企对接服务，办好办实金企对接活动，推动金融资源更广范围、更深层次、更大程度地融入实体经济，降低中小企业融资难度和融资成本，促推中小微企业加快发展。二是推动金融改革创新。继续申报国家财政支持深化民营和小微企业金融服务综合改革试点城市，发挥财政资金引导撬动作用，推动我市民营和小微企业金融服务</w:t>
      </w:r>
      <w:r>
        <w:fldChar w:fldCharType="begin"/>
      </w:r>
      <w:r>
        <w:instrText xml:space="preserve"> HYPERLINK "https://baike.sogou.com/lemma/ShowInnerLink.htm?lemmaId=167514856&amp;ss_c=ssc.citiao.link" \t "_blank" </w:instrText>
      </w:r>
      <w:r>
        <w:fldChar w:fldCharType="separate"/>
      </w:r>
      <w:r>
        <w:rPr>
          <w:rFonts w:hint="eastAsia" w:ascii="Times New Roman" w:hAnsi="Times New Roman" w:eastAsia="仿宋_GB2312" w:cs="仿宋_GB2312"/>
          <w:sz w:val="32"/>
          <w:szCs w:val="32"/>
        </w:rPr>
        <w:t>高质量发展</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t>。加大对银行金融创新考核力度，引导银行根据不同行业、生命周期阶段的企业特点，推出差异化信贷产品，满足企业多样化融资需求。三是充分发挥基金作用。支持中小企业转贷（浏阳）引导基金加快开展业务，降低企业融资成本，缓解资金周转压力；着力推动工业发展基金和乡村振兴基金尽快落地，力争到2020年实现投资2—3个项目，投资1亿元以上。四是完善融资担保体系。培育地方国有担保机构，推动恒信担保公司转型升级，支持金信担保和恒信担保公司加入省再担保体系。五是建立多层次资本市场体系。加快推进产业投资基金落地，聚焦15个工业新兴及优势产业链，与国内外优秀的私募股权投资机构加强合作，引导一批基金管理公司在浏阳注册，加大对风投、私募机构的扶持力度，促进更多的民营企业得到创投资金支持。</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全力推动企业上市，提升直接融资水平。以资本市场县域工程试点工作为载体，持续做好促企上市工作，充分调动企业进入资本市场寻求发展的积极性和主动性，力争实现1家企业科创板上市。一是强化政策支持。推动各部门认真落实《浏阳市促进企业上市工作实施办法》等上市支持政策，帮助企业争取各项上级政策支持，对企业上市过程中的土地、资金、人才等要素方面全力予以支持，推动政策资源向拟上市企业汇聚。二是优化企业服务。扎实做好“上市服务在一线”系列活动，进一步落实联企帮扶、绿色通道、一线服务等制度，加强部门联动，形成工作合力，帮助企业解决上市障碍，为企业上市提供更加良好的政务服务环境。三是加强培训指导。按照“四个一批”工作思路，对拟上市企业实施分类化、差异化的培训指导，进一步做好专题培训、培育储备等工作，引导企业规范内部管理，提高盈利能力，增强上市潜力。</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全力防控金融风险，助力经济行稳致远。一是强化地方金融机构监管。加大对融担、小贷及P2P互联网金融企业的检查力度，推动重点领域风险的监测与排查工作常态化，维护金融秩序持续健康稳定。二是强力整顿非法金融活动。依法严厉打击逃废金融债务、非法集资、金融领域涉黑涉恶等行为，切实维护金融秩序，畅通企业正常的融资渠道，为企业营造稳定良好的融资环境，切实维护广大企业利益。三是加大金融政策宣传力度。以深化金融创安、推动金融改革为龙头，以金融宣讲活动为抓手，进一步加大诚信建设、防非处非的宣传力度，提升广大市民和企业的信用意识和风险防范意识。</w:t>
      </w:r>
    </w:p>
    <w:p>
      <w:pPr>
        <w:spacing w:line="600" w:lineRule="exact"/>
        <w:ind w:firstLine="643" w:firstLineChars="200"/>
        <w:rPr>
          <w:rFonts w:ascii="楷体_GB2312" w:hAnsi="楷体_GB2312" w:eastAsia="楷体_GB2312" w:cs="楷体_GB2312"/>
          <w:b/>
          <w:bCs/>
          <w:color w:val="000000"/>
          <w:spacing w:val="-6"/>
          <w:kern w:val="0"/>
          <w:sz w:val="32"/>
          <w:szCs w:val="32"/>
        </w:rPr>
      </w:pPr>
      <w:r>
        <w:rPr>
          <w:rFonts w:hint="eastAsia" w:ascii="楷体_GB2312" w:hAnsi="楷体_GB2312" w:eastAsia="楷体_GB2312" w:cs="楷体_GB2312"/>
          <w:b/>
          <w:bCs/>
          <w:color w:val="000000"/>
          <w:kern w:val="0"/>
          <w:sz w:val="32"/>
          <w:szCs w:val="32"/>
        </w:rPr>
        <w:t>（四）部</w:t>
      </w:r>
      <w:r>
        <w:rPr>
          <w:rFonts w:hint="eastAsia" w:ascii="楷体_GB2312" w:hAnsi="楷体_GB2312" w:eastAsia="楷体_GB2312" w:cs="楷体_GB2312"/>
          <w:b/>
          <w:bCs/>
          <w:color w:val="000000"/>
          <w:spacing w:val="-6"/>
          <w:kern w:val="0"/>
          <w:sz w:val="32"/>
          <w:szCs w:val="32"/>
        </w:rPr>
        <w:t>门整体支出规模、使用方向、主要内容和涉及范围</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2020年度总收入1526.23万元，其中一般公共预算财政拨款收入1150.68万元，占总收入的75.39%，其他收入375.55万元，占总收入的24.61</w:t>
      </w:r>
      <w:r>
        <w:rPr>
          <w:rFonts w:hint="eastAsia" w:ascii="Times New Roman" w:hAnsi="Times New Roman" w:eastAsia="仿宋_GB2312" w:cs="仿宋_GB2312"/>
          <w:sz w:val="32"/>
          <w:szCs w:val="32"/>
        </w:rPr>
        <w:t>%。全年总支出1526.23万元，其中基本支出145.95万元，占总支出的9.56%，项目支出1380.28万元，占总支出的90.44%。</w:t>
      </w:r>
    </w:p>
    <w:p>
      <w:pPr>
        <w:spacing w:line="60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二、部门整体支出资金管理及使用情况</w:t>
      </w:r>
    </w:p>
    <w:p>
      <w:pPr>
        <w:spacing w:line="60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（一）基本支出</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sz w:val="32"/>
          <w:szCs w:val="32"/>
        </w:rPr>
        <w:t>1</w:t>
      </w:r>
      <w:r>
        <w:rPr>
          <w:rFonts w:hint="eastAsia" w:ascii="Times New Roman" w:hAnsi="Times New Roman" w:eastAsia="仿宋_GB2312" w:cs="仿宋_GB2312"/>
          <w:b/>
          <w:bCs/>
          <w:color w:val="000000"/>
          <w:sz w:val="32"/>
          <w:szCs w:val="32"/>
        </w:rPr>
        <w:t>．</w:t>
      </w:r>
      <w:r>
        <w:rPr>
          <w:rFonts w:hint="eastAsia" w:ascii="Times New Roman" w:hAnsi="Times New Roman" w:eastAsia="仿宋_GB2312" w:cs="仿宋_GB2312"/>
          <w:b/>
          <w:bCs/>
          <w:sz w:val="32"/>
          <w:szCs w:val="32"/>
        </w:rPr>
        <w:t>实</w:t>
      </w:r>
      <w:r>
        <w:rPr>
          <w:rFonts w:hint="eastAsia" w:ascii="Times New Roman" w:hAnsi="Times New Roman" w:eastAsia="仿宋_GB2312" w:cs="仿宋_GB2312"/>
          <w:b/>
          <w:bCs/>
          <w:color w:val="000000"/>
          <w:sz w:val="32"/>
          <w:szCs w:val="32"/>
        </w:rPr>
        <w:t>际整体收支情况。</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2020年收入合计为1526.23万元，支出合计为1526.23万元，收支平衡。2019年总收入支出为2027.70万元，本年度减少了501.46万元，减少了24.73%。原因主要是省、市等上级经费拨款减少。</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2020年度财政拨款基本支出145.95万元，其中：人员经费138.09万元，占基本支出的94.61%，主要包括基本工资、津贴补贴、奖金、机关事业单位基本养老保险缴费、其他工资福利支出、退休费、住房公积金、其他对个人和家庭的补助支出；公用经费7.87万元，占基本支出的5.39%，主要包括劳务费、工</w:t>
      </w:r>
      <w:r>
        <w:rPr>
          <w:rFonts w:hint="eastAsia" w:ascii="Times New Roman" w:hAnsi="Times New Roman" w:eastAsia="仿宋_GB2312" w:cs="仿宋_GB2312"/>
          <w:color w:val="000000"/>
          <w:spacing w:val="-6"/>
          <w:sz w:val="32"/>
          <w:szCs w:val="32"/>
        </w:rPr>
        <w:t>会经费、福利费、其他商品和服务支出以及其他机关运行费用。</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2．“三公” 经费总支出情况。</w:t>
      </w:r>
    </w:p>
    <w:p>
      <w:pPr>
        <w:spacing w:line="600" w:lineRule="exact"/>
        <w:ind w:firstLine="640" w:firstLineChars="200"/>
        <w:rPr>
          <w:rFonts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rPr>
        <w:t>“三公”经费支出情况：2020年，“三公”经费完成12,246元，比上年增加9,371元，增加325.95%，增加的主要原因是：公务接待活动较上年增加，总体实现厉行节约</w:t>
      </w:r>
      <w:r>
        <w:rPr>
          <w:rFonts w:hint="eastAsia" w:ascii="Times New Roman" w:hAnsi="Times New Roman" w:eastAsia="仿宋_GB2312" w:cs="仿宋_GB2312"/>
          <w:color w:val="000000"/>
          <w:sz w:val="32"/>
          <w:szCs w:val="32"/>
          <w:lang w:val="zh-CN"/>
        </w:rPr>
        <w:t>。其中：因公出国（境）费</w:t>
      </w:r>
      <w:r>
        <w:rPr>
          <w:rFonts w:hint="eastAsia" w:ascii="Times New Roman" w:hAnsi="Times New Roman" w:eastAsia="仿宋_GB2312" w:cs="仿宋_GB2312"/>
          <w:color w:val="000000"/>
          <w:sz w:val="32"/>
          <w:szCs w:val="32"/>
        </w:rPr>
        <w:t>完成0元，比上年增减0元，增加（下降）0%</w:t>
      </w:r>
      <w:r>
        <w:rPr>
          <w:rFonts w:hint="eastAsia" w:ascii="Times New Roman" w:hAnsi="Times New Roman" w:eastAsia="仿宋_GB2312" w:cs="仿宋_GB2312"/>
          <w:color w:val="000000"/>
          <w:sz w:val="32"/>
          <w:szCs w:val="32"/>
          <w:lang w:val="zh-CN"/>
        </w:rPr>
        <w:t>；公务接待费</w:t>
      </w:r>
      <w:r>
        <w:rPr>
          <w:rFonts w:hint="eastAsia" w:ascii="Times New Roman" w:hAnsi="Times New Roman" w:eastAsia="仿宋_GB2312" w:cs="仿宋_GB2312"/>
          <w:color w:val="000000"/>
          <w:sz w:val="32"/>
          <w:szCs w:val="32"/>
        </w:rPr>
        <w:t>完成12,246元，比上年增加9,371元，增长325.95%，增加的主要原因是：接待费增加</w:t>
      </w:r>
      <w:r>
        <w:rPr>
          <w:rFonts w:hint="eastAsia" w:ascii="Times New Roman" w:hAnsi="Times New Roman" w:eastAsia="仿宋_GB2312" w:cs="仿宋_GB2312"/>
          <w:color w:val="000000"/>
          <w:sz w:val="32"/>
          <w:szCs w:val="32"/>
          <w:lang w:val="zh-CN"/>
        </w:rPr>
        <w:t>；公务用车购置及运行维护费</w:t>
      </w:r>
      <w:r>
        <w:rPr>
          <w:rFonts w:hint="eastAsia" w:ascii="Times New Roman" w:hAnsi="Times New Roman" w:eastAsia="仿宋_GB2312" w:cs="仿宋_GB2312"/>
          <w:color w:val="000000"/>
          <w:sz w:val="32"/>
          <w:szCs w:val="32"/>
        </w:rPr>
        <w:t>完成0元，比上年增减0元，增加（下降）0%</w:t>
      </w:r>
      <w:r>
        <w:rPr>
          <w:rFonts w:hint="eastAsia" w:ascii="Times New Roman" w:hAnsi="Times New Roman" w:eastAsia="仿宋_GB2312" w:cs="仿宋_GB2312"/>
          <w:color w:val="000000"/>
          <w:sz w:val="32"/>
          <w:szCs w:val="32"/>
          <w:lang w:val="zh-CN"/>
        </w:rPr>
        <w:t>。</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3．因公出国（境）费用支出和公务用车（购置）情况。</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2020年参加出国（境）团组0个，因公出国（境）费用零支出。购置新车0台。</w:t>
      </w:r>
    </w:p>
    <w:p>
      <w:pPr>
        <w:spacing w:line="60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（二）项目支出</w:t>
      </w:r>
    </w:p>
    <w:p>
      <w:pPr>
        <w:pStyle w:val="20"/>
        <w:spacing w:line="600" w:lineRule="exact"/>
        <w:ind w:firstLine="643" w:firstLineChars="200"/>
        <w:jc w:val="both"/>
        <w:rPr>
          <w:rFonts w:ascii="Times New Roman" w:hAnsi="Times New Roman" w:eastAsia="仿宋_GB2312" w:cs="仿宋_GB2312"/>
          <w:b/>
          <w:bCs/>
          <w:kern w:val="2"/>
          <w:sz w:val="32"/>
          <w:szCs w:val="32"/>
        </w:rPr>
      </w:pPr>
      <w:r>
        <w:rPr>
          <w:rFonts w:hint="eastAsia" w:ascii="Times New Roman" w:hAnsi="Times New Roman" w:eastAsia="仿宋_GB2312" w:cs="仿宋_GB2312"/>
          <w:b/>
          <w:bCs/>
          <w:sz w:val="32"/>
          <w:szCs w:val="32"/>
        </w:rPr>
        <w:t>1．</w:t>
      </w:r>
      <w:r>
        <w:rPr>
          <w:rFonts w:hint="eastAsia" w:ascii="Times New Roman" w:hAnsi="Times New Roman" w:eastAsia="仿宋_GB2312" w:cs="仿宋_GB2312"/>
          <w:b/>
          <w:bCs/>
          <w:kern w:val="2"/>
          <w:sz w:val="32"/>
          <w:szCs w:val="32"/>
        </w:rPr>
        <w:t>项目资金安排落实、总投入等情况分析</w:t>
      </w:r>
    </w:p>
    <w:p>
      <w:pPr>
        <w:pStyle w:val="20"/>
        <w:spacing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kern w:val="2"/>
          <w:sz w:val="32"/>
          <w:szCs w:val="32"/>
        </w:rPr>
        <w:t>2020年度项目支出</w:t>
      </w:r>
      <w:r>
        <w:rPr>
          <w:rFonts w:hint="eastAsia" w:ascii="Times New Roman" w:hAnsi="Times New Roman" w:eastAsia="仿宋_GB2312" w:cs="仿宋_GB2312"/>
          <w:color w:val="auto"/>
          <w:sz w:val="32"/>
          <w:szCs w:val="32"/>
        </w:rPr>
        <w:t>1380.28</w:t>
      </w:r>
      <w:r>
        <w:rPr>
          <w:rFonts w:hint="eastAsia" w:ascii="Times New Roman" w:hAnsi="Times New Roman" w:eastAsia="仿宋_GB2312" w:cs="仿宋_GB2312"/>
          <w:sz w:val="32"/>
          <w:szCs w:val="32"/>
        </w:rPr>
        <w:t>万元（财政拨款</w:t>
      </w:r>
      <w:r>
        <w:rPr>
          <w:rFonts w:hint="eastAsia" w:ascii="Times New Roman" w:hAnsi="Times New Roman" w:eastAsia="仿宋_GB2312" w:cs="仿宋_GB2312"/>
          <w:color w:val="auto"/>
          <w:sz w:val="32"/>
          <w:szCs w:val="32"/>
        </w:rPr>
        <w:t>1004.73</w:t>
      </w:r>
      <w:r>
        <w:rPr>
          <w:rFonts w:hint="eastAsia" w:ascii="Times New Roman" w:hAnsi="Times New Roman" w:eastAsia="仿宋_GB2312" w:cs="仿宋_GB2312"/>
          <w:sz w:val="32"/>
          <w:szCs w:val="32"/>
        </w:rPr>
        <w:t>万元），资金到位率100%，</w:t>
      </w:r>
      <w:r>
        <w:rPr>
          <w:rFonts w:hint="eastAsia" w:ascii="Times New Roman" w:hAnsi="Times New Roman" w:eastAsia="仿宋_GB2312" w:cs="仿宋_GB2312"/>
          <w:color w:val="auto"/>
          <w:sz w:val="32"/>
          <w:szCs w:val="32"/>
        </w:rPr>
        <w:t>其中工资福利支出2.82万元、商品和服务支出172.32万元、对个人和家庭的补助80.09万元、资本性支出1.19万元、对企业补助1123.86万元。</w:t>
      </w:r>
    </w:p>
    <w:p>
      <w:pPr>
        <w:pStyle w:val="20"/>
        <w:spacing w:line="600" w:lineRule="exact"/>
        <w:ind w:firstLine="643" w:firstLineChars="200"/>
        <w:jc w:val="both"/>
        <w:rPr>
          <w:rFonts w:ascii="Times New Roman" w:hAnsi="Times New Roman" w:eastAsia="仿宋_GB2312" w:cs="仿宋_GB2312"/>
          <w:b/>
          <w:bCs/>
          <w:sz w:val="32"/>
          <w:szCs w:val="32"/>
        </w:rPr>
      </w:pPr>
      <w:r>
        <w:rPr>
          <w:rFonts w:hint="eastAsia" w:ascii="Times New Roman" w:hAnsi="Times New Roman" w:eastAsia="仿宋_GB2312" w:cs="仿宋_GB2312"/>
          <w:b/>
          <w:bCs/>
          <w:color w:val="auto"/>
          <w:sz w:val="32"/>
          <w:szCs w:val="32"/>
        </w:rPr>
        <w:t>2．项目资金实际</w:t>
      </w:r>
      <w:r>
        <w:rPr>
          <w:rFonts w:hint="eastAsia" w:ascii="Times New Roman" w:hAnsi="Times New Roman" w:eastAsia="仿宋_GB2312" w:cs="仿宋_GB2312"/>
          <w:b/>
          <w:bCs/>
          <w:sz w:val="32"/>
          <w:szCs w:val="32"/>
        </w:rPr>
        <w:t>使用情况分析</w:t>
      </w:r>
    </w:p>
    <w:p>
      <w:pPr>
        <w:pStyle w:val="20"/>
        <w:spacing w:line="60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项目资金支出</w:t>
      </w:r>
      <w:r>
        <w:rPr>
          <w:rFonts w:hint="eastAsia" w:ascii="Times New Roman" w:hAnsi="Times New Roman" w:eastAsia="仿宋_GB2312" w:cs="仿宋_GB2312"/>
          <w:color w:val="auto"/>
          <w:sz w:val="32"/>
          <w:szCs w:val="32"/>
        </w:rPr>
        <w:t>1380.28</w:t>
      </w:r>
      <w:r>
        <w:rPr>
          <w:rFonts w:hint="eastAsia" w:ascii="Times New Roman" w:hAnsi="Times New Roman" w:eastAsia="仿宋_GB2312" w:cs="仿宋_GB2312"/>
          <w:sz w:val="32"/>
          <w:szCs w:val="32"/>
        </w:rPr>
        <w:t>万元，其中一般公共服务支出254.42万元、农林水支出2.00万元、资源勘探工业信息等支出100.01万元、金融支出1023.85万元。</w:t>
      </w:r>
    </w:p>
    <w:p>
      <w:pPr>
        <w:pStyle w:val="20"/>
        <w:spacing w:line="600" w:lineRule="exact"/>
        <w:ind w:firstLine="643" w:firstLineChars="200"/>
        <w:jc w:val="both"/>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3</w:t>
      </w:r>
      <w:r>
        <w:rPr>
          <w:rFonts w:hint="eastAsia" w:ascii="Times New Roman" w:hAnsi="Times New Roman" w:eastAsia="仿宋_GB2312" w:cs="仿宋_GB2312"/>
          <w:b/>
          <w:bCs/>
          <w:color w:val="auto"/>
          <w:sz w:val="32"/>
          <w:szCs w:val="32"/>
        </w:rPr>
        <w:t>．</w:t>
      </w:r>
      <w:r>
        <w:rPr>
          <w:rFonts w:hint="eastAsia" w:ascii="Times New Roman" w:hAnsi="Times New Roman" w:eastAsia="仿宋_GB2312" w:cs="仿宋_GB2312"/>
          <w:b/>
          <w:bCs/>
          <w:sz w:val="32"/>
          <w:szCs w:val="32"/>
        </w:rPr>
        <w:t>项目资金管理情况分析</w:t>
      </w:r>
    </w:p>
    <w:p>
      <w:pPr>
        <w:pStyle w:val="20"/>
        <w:spacing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sz w:val="32"/>
          <w:szCs w:val="32"/>
        </w:rPr>
        <w:t>市金融事务中心针对项目资金管理制定了《机关管理制度》，</w:t>
      </w:r>
      <w:r>
        <w:rPr>
          <w:rFonts w:hint="eastAsia" w:ascii="Times New Roman" w:hAnsi="Times New Roman" w:eastAsia="仿宋_GB2312" w:cs="仿宋_GB2312"/>
          <w:color w:val="auto"/>
          <w:sz w:val="32"/>
          <w:szCs w:val="32"/>
        </w:rPr>
        <w:t>包含资金、资产、财务等方面具体的细节要求，结合相关政策、规定予以落实，总体执行情况良好。</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三、部门项目组织实施情况</w:t>
      </w:r>
    </w:p>
    <w:p>
      <w:pPr>
        <w:pStyle w:val="20"/>
        <w:spacing w:line="600" w:lineRule="exact"/>
        <w:ind w:firstLine="643" w:firstLineChars="200"/>
        <w:jc w:val="both"/>
        <w:rPr>
          <w:rFonts w:ascii="楷体_GB2312" w:hAnsi="楷体_GB2312" w:eastAsia="楷体_GB2312" w:cs="楷体_GB2312"/>
          <w:sz w:val="32"/>
          <w:szCs w:val="32"/>
        </w:rPr>
      </w:pPr>
      <w:r>
        <w:rPr>
          <w:rFonts w:hint="eastAsia" w:ascii="楷体_GB2312" w:hAnsi="楷体_GB2312" w:eastAsia="楷体_GB2312" w:cs="楷体_GB2312"/>
          <w:b/>
          <w:bCs/>
          <w:color w:val="auto"/>
          <w:sz w:val="32"/>
          <w:szCs w:val="32"/>
        </w:rPr>
        <w:t>（一）项目组织情况分析</w:t>
      </w:r>
    </w:p>
    <w:p>
      <w:pPr>
        <w:pStyle w:val="20"/>
        <w:spacing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项目实施单位市金融事务中心财务管理制度健全，部门整体支出合法依规，资金拨付、项目管理都有完整的审批程序和手续，限额以上所需物资和服务全部使用政府采购形式，无截留、挤占、挪用、虚列支出资金等情况。</w:t>
      </w:r>
    </w:p>
    <w:p>
      <w:pPr>
        <w:pStyle w:val="20"/>
        <w:spacing w:line="600" w:lineRule="exact"/>
        <w:ind w:firstLine="643"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（二）项目管理情况分析</w:t>
      </w:r>
    </w:p>
    <w:p>
      <w:pPr>
        <w:pStyle w:val="20"/>
        <w:spacing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金融事务中心成立了财经领导小组，由刘双辉主任任顾问，分管领导陈虎主任任组长，中层干部为成员，负责金融事务中心部门整体支出的日常工作，严格执行财经纪律，严格执行中央八项规定，反对四风、厉行节约，确保财政资金的安全有效支出。</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四、资产管理情况</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kern w:val="0"/>
          <w:sz w:val="32"/>
          <w:szCs w:val="32"/>
        </w:rPr>
        <w:t>市金融事务中心制定了《固定资产及在用财产管理制度》，严格按照制度管理和使用各类资产，按时报表、按程序购置、处置资产。2020年末资产合计数17.56万元，其中固定资产资产原值40.59万元，固定资产累计折旧23.21万元，固定资产净值17.38万元，占资产合计比例98.97%；无形资产资产原值0</w:t>
      </w:r>
      <w:r>
        <w:rPr>
          <w:rFonts w:hint="eastAsia" w:ascii="Times New Roman" w:hAnsi="Times New Roman" w:eastAsia="仿宋_GB2312" w:cs="仿宋_GB2312"/>
          <w:color w:val="000000"/>
          <w:sz w:val="32"/>
          <w:szCs w:val="32"/>
        </w:rPr>
        <w:t>万元；负债合计数为0.18万元。</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五、部门整体支出绩效情况</w:t>
      </w:r>
    </w:p>
    <w:p>
      <w:pPr>
        <w:pStyle w:val="20"/>
        <w:spacing w:line="600" w:lineRule="exact"/>
        <w:ind w:firstLine="643"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（一）单位总支出情况的绩效分析</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2020年度支出总额1526.23万元，其中基本支出145.95万元，项目支出1380.28万元，资金到位率100%，三保保障到位率100%，绩效情况良好。</w:t>
      </w:r>
    </w:p>
    <w:p>
      <w:pPr>
        <w:pStyle w:val="20"/>
        <w:spacing w:line="600" w:lineRule="exact"/>
        <w:ind w:firstLine="643"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（二）单位项目资金绩效分析</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1．项目基本情况简介</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2020年年初预算数为100万元，是指单位为完成金融事业发展目标而发生的支出，包括有关事业发展专项、专项业务费、资本性支出等。其中金融工作专项经费支出32.12万元，主要用于保障金融工作正常运转、服务全市金融机构、推进金融改革创新等方面；信用体系建设支出10万元，主要用于构建良好的信用体系，维护健康的金融生态环境等方面；打击非法集资专项活动30万元，主要用于防范和处置非法集资活动，打好防范化解重大风险攻坚战等方面；湘赣边区域金融协作5万元，主要用于加强湘赣边区域的金融协作等方面；市级重点工作专项2.88万元，主要用于市级重点工作专项业务开展；资本市场县域工程建设经费20万元，主要用于建设全省资本市场县域工程试点城市，构建多层次资本市场体系和梯次培育等方面。</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2．项目资金使用及管理情况</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项目资金收入1380.28万元，支出1380.28万元，其中财政资金</w:t>
      </w:r>
      <w:r>
        <w:rPr>
          <w:rFonts w:hint="eastAsia" w:ascii="Times New Roman" w:hAnsi="Times New Roman" w:eastAsia="仿宋_GB2312" w:cs="仿宋_GB2312"/>
          <w:sz w:val="32"/>
          <w:szCs w:val="32"/>
        </w:rPr>
        <w:t>1004.73</w:t>
      </w:r>
      <w:r>
        <w:rPr>
          <w:rFonts w:hint="eastAsia" w:ascii="Times New Roman" w:hAnsi="Times New Roman" w:eastAsia="仿宋_GB2312" w:cs="仿宋_GB2312"/>
          <w:color w:val="000000"/>
          <w:sz w:val="32"/>
          <w:szCs w:val="32"/>
        </w:rPr>
        <w:t>万元，资金到位率100%，实际使用率100%，严格按照资金计划使用管理情况，大额资金支付和重要事项决策均通过班子会议研究，集体部署安排，取得较好的社会效益和经济效益。</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3．项目组织实施情况</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市金融事务中心成立了财经领导小组，由刘双辉主任任顾问，分管领导陈虎主任任组长，中层干部为成员，负责金融事务中心部门整体支出的日常工作，严格执行财经纪律，严格执行中央八项规定，反对四风、厉行节约，确保财政资金的安全有效支出。</w:t>
      </w:r>
    </w:p>
    <w:p>
      <w:pPr>
        <w:spacing w:line="60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4．项目绩效情况</w:t>
      </w:r>
    </w:p>
    <w:p>
      <w:pPr>
        <w:spacing w:line="58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整体来看，市金融事务中心2020年项目预算控制较好，特别是一般性支出节约程度较高，“三公经费”支出明显降低，进一步做到厉行节约，发挥了财政资金的最大经济效益；本年度所取得了一系列成绩和荣誉，离不开财政项目资金的保障性作用，财政项目资金也通过工作实绩的展现具体化；一般行政管理事务资金类项目主要是支持和保障单位正常运转、维护金融事业均衡发展，其他项目资金为鼓励地方经济发展、金融工作向更高目标迈进助力加油，为政府和金融相关行业搭建桥梁，进一步优化浏阳金融生态环境；下阶段市金融事务中心将进一步完善单位各项制度，继续做好财政预决算、项目铺排、项目资金使用安排、项目成效跟踪等与绩效挂钩的各项流程，充分酝酿、严格把关，保障项目可持续发展。</w:t>
      </w:r>
    </w:p>
    <w:p>
      <w:pPr>
        <w:spacing w:line="580" w:lineRule="exact"/>
        <w:ind w:firstLine="643" w:firstLineChars="200"/>
        <w:rPr>
          <w:rFonts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5．综合评价情况及评价结论</w:t>
      </w:r>
    </w:p>
    <w:p>
      <w:pPr>
        <w:spacing w:line="58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color w:val="000000"/>
          <w:sz w:val="32"/>
          <w:szCs w:val="32"/>
        </w:rPr>
        <w:t>市金融事务中心202</w:t>
      </w:r>
      <w:r>
        <w:rPr>
          <w:rFonts w:hint="eastAsia" w:ascii="Times New Roman" w:hAnsi="Times New Roman" w:eastAsia="仿宋_GB2312" w:cs="仿宋_GB2312"/>
          <w:kern w:val="0"/>
          <w:sz w:val="32"/>
          <w:szCs w:val="32"/>
        </w:rPr>
        <w:t>0年度项目资金绩效自评综合得分为96分，具体自评情况见附表。</w:t>
      </w:r>
    </w:p>
    <w:p>
      <w:pPr>
        <w:spacing w:line="580" w:lineRule="exact"/>
        <w:ind w:firstLine="643" w:firstLineChars="200"/>
        <w:rPr>
          <w:rFonts w:ascii="Times New Roman" w:hAnsi="Times New Roman" w:eastAsia="仿宋_GB2312" w:cs="仿宋_GB2312"/>
          <w:b/>
          <w:bCs/>
          <w:kern w:val="0"/>
          <w:sz w:val="32"/>
          <w:szCs w:val="32"/>
        </w:rPr>
      </w:pPr>
      <w:r>
        <w:rPr>
          <w:rFonts w:hint="eastAsia" w:ascii="Times New Roman" w:hAnsi="Times New Roman" w:eastAsia="仿宋_GB2312" w:cs="仿宋_GB2312"/>
          <w:b/>
          <w:bCs/>
          <w:kern w:val="0"/>
          <w:sz w:val="32"/>
          <w:szCs w:val="32"/>
        </w:rPr>
        <w:t>6．绩效评价结果应用建议</w:t>
      </w:r>
    </w:p>
    <w:p>
      <w:pPr>
        <w:spacing w:line="58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（1）年初足额安排预算资金，提高财政资金使用率，减少年中预算追加。</w:t>
      </w:r>
    </w:p>
    <w:p>
      <w:pPr>
        <w:spacing w:line="58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（2）上级资金尽量在年度内安排支付，避免跨年度导致的资金变化幅度大、数量不均衡现象。</w:t>
      </w:r>
    </w:p>
    <w:p>
      <w:pPr>
        <w:spacing w:line="580" w:lineRule="exact"/>
        <w:ind w:firstLine="643" w:firstLineChars="200"/>
        <w:rPr>
          <w:rFonts w:ascii="Times New Roman" w:hAnsi="Times New Roman" w:eastAsia="仿宋_GB2312" w:cs="仿宋_GB2312"/>
          <w:b/>
          <w:bCs/>
          <w:kern w:val="0"/>
          <w:sz w:val="32"/>
          <w:szCs w:val="32"/>
        </w:rPr>
      </w:pPr>
      <w:r>
        <w:rPr>
          <w:rFonts w:hint="eastAsia" w:ascii="Times New Roman" w:hAnsi="Times New Roman" w:eastAsia="仿宋_GB2312" w:cs="仿宋_GB2312"/>
          <w:b/>
          <w:bCs/>
          <w:kern w:val="0"/>
          <w:sz w:val="32"/>
          <w:szCs w:val="32"/>
        </w:rPr>
        <w:t>7．主要经验及做法</w:t>
      </w:r>
    </w:p>
    <w:p>
      <w:pPr>
        <w:spacing w:line="58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加强对项目资金管理使用的监督检查及自查自纠行动，有效杜绝挤占挪用项目资金的违法违纪行为,充分发挥财政资金的最大效益。</w:t>
      </w:r>
    </w:p>
    <w:p>
      <w:pPr>
        <w:spacing w:line="58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六、存在的主要问题</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在年初预算资金安排、使用和项目设定上，市金融事务中心能量入为出、精心铺排，由于事业发展需要和上级部门政策支持需要，年中追加资金数额较大，加上部门预算基数小，导致部门年初预算数与调整预算数、决算数经常存在较大差异。</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七、改进措施和有关建议</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1．年初足额安排预算资金，提高财政资金使用率，减少年中预算追加。</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2．上级资金尽量在年度内安排支付，避免跨年度导致的资金变化幅度大、数量不均衡现象。</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八、单位在资金管理、项目管理等方面的先进经验及做法</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市金融事务中心在项目管理、资金安排、资产管理、绩效评价等方面一直严格按照相关政策要求执行，对于重要项目、重要资金、重要资产的安排、使用、采购，做到有计划、有程序、有跟踪、有效益，切实加强对财政资金的监管，充分发挥财政资金的最大效益。</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九、部门整体支出绩效评价等级</w:t>
      </w:r>
    </w:p>
    <w:p>
      <w:pPr>
        <w:spacing w:line="600" w:lineRule="exact"/>
        <w:ind w:firstLine="640" w:firstLineChars="200"/>
        <w:rPr>
          <w:rFonts w:ascii="Times New Roman" w:hAnsi="Times New Roman" w:eastAsia="仿宋_GB2312" w:cs="仿宋_GB2312"/>
          <w:kern w:val="0"/>
          <w:sz w:val="32"/>
          <w:szCs w:val="32"/>
        </w:rPr>
        <w:sectPr>
          <w:footerReference r:id="rId5" w:type="default"/>
          <w:pgSz w:w="11906" w:h="16838"/>
          <w:pgMar w:top="1701" w:right="1417" w:bottom="1417" w:left="1701" w:header="851" w:footer="1417" w:gutter="0"/>
          <w:pgNumType w:start="1"/>
          <w:cols w:space="0" w:num="1"/>
          <w:docGrid w:type="lines" w:linePitch="312" w:charSpace="0"/>
        </w:sectPr>
      </w:pPr>
      <w:r>
        <w:rPr>
          <w:rFonts w:hint="eastAsia" w:ascii="Times New Roman" w:hAnsi="Times New Roman" w:eastAsia="仿宋_GB2312" w:cs="仿宋_GB2312"/>
          <w:kern w:val="0"/>
          <w:sz w:val="32"/>
          <w:szCs w:val="32"/>
        </w:rPr>
        <w:t>市金融事务中心自成立以来，在资金管理、项目管理、资产管理等方面一直坚持思想重视、制度健全、责任明晰、跟踪验收原则，严格按照相关政策要求执行，对于重要项目、重要资金的安排使用做到事前计划、事中监管、事后评估。根据部门整体支出绩效评价指标体系，我单位2020年度评分得分97分，部门整体支出绩效情况见附表。</w:t>
      </w:r>
    </w:p>
    <w:p>
      <w:pPr>
        <w:pStyle w:val="2"/>
        <w:spacing w:after="0" w:line="600" w:lineRule="exact"/>
        <w:ind w:left="0" w:leftChars="0" w:right="1470"/>
        <w:rPr>
          <w:rFonts w:ascii="Times New Roman" w:hAnsi="Times New Roman" w:eastAsia="黑体"/>
          <w:sz w:val="32"/>
          <w:szCs w:val="32"/>
        </w:rPr>
      </w:pPr>
      <w:r>
        <w:rPr>
          <w:rFonts w:ascii="Times New Roman" w:hAnsi="Times New Roman" w:eastAsia="黑体"/>
          <w:sz w:val="32"/>
          <w:szCs w:val="32"/>
        </w:rPr>
        <w:t>附件1</w:t>
      </w:r>
    </w:p>
    <w:p>
      <w:pPr>
        <w:pStyle w:val="2"/>
        <w:spacing w:after="0" w:line="600" w:lineRule="exact"/>
        <w:ind w:left="0" w:leftChars="0" w:right="147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部门整体支出绩效自评基础数据表</w:t>
      </w:r>
    </w:p>
    <w:p>
      <w:pPr>
        <w:pStyle w:val="2"/>
        <w:spacing w:after="0" w:line="500" w:lineRule="exact"/>
        <w:ind w:left="0" w:leftChars="0" w:right="1470"/>
        <w:rPr>
          <w:rFonts w:ascii="仿宋_GB2312" w:hAnsi="仿宋_GB2312" w:eastAsia="仿宋_GB2312" w:cs="仿宋_GB2312"/>
          <w:sz w:val="30"/>
          <w:szCs w:val="30"/>
        </w:rPr>
      </w:pPr>
    </w:p>
    <w:p>
      <w:pPr>
        <w:pStyle w:val="2"/>
        <w:spacing w:after="0" w:line="500" w:lineRule="exact"/>
        <w:ind w:left="0" w:leftChars="0" w:right="1470"/>
        <w:rPr>
          <w:rFonts w:ascii="仿宋_GB2312" w:hAnsi="仿宋_GB2312" w:eastAsia="仿宋_GB2312" w:cs="仿宋_GB2312"/>
          <w:sz w:val="30"/>
          <w:szCs w:val="30"/>
        </w:rPr>
      </w:pPr>
      <w:r>
        <w:rPr>
          <w:rFonts w:hint="eastAsia" w:ascii="仿宋_GB2312" w:hAnsi="仿宋_GB2312" w:eastAsia="仿宋_GB2312" w:cs="仿宋_GB2312"/>
          <w:sz w:val="30"/>
          <w:szCs w:val="30"/>
        </w:rPr>
        <w:t>填报单位：浏阳市金融事务中心</w:t>
      </w:r>
    </w:p>
    <w:tbl>
      <w:tblPr>
        <w:tblStyle w:val="13"/>
        <w:tblW w:w="13750" w:type="dxa"/>
        <w:jc w:val="center"/>
        <w:tblLayout w:type="fixed"/>
        <w:tblCellMar>
          <w:top w:w="15" w:type="dxa"/>
          <w:left w:w="15" w:type="dxa"/>
          <w:bottom w:w="15" w:type="dxa"/>
          <w:right w:w="15" w:type="dxa"/>
        </w:tblCellMar>
      </w:tblPr>
      <w:tblGrid>
        <w:gridCol w:w="5175"/>
        <w:gridCol w:w="2866"/>
        <w:gridCol w:w="2843"/>
        <w:gridCol w:w="2866"/>
      </w:tblGrid>
      <w:tr>
        <w:tblPrEx>
          <w:tblCellMar>
            <w:top w:w="15" w:type="dxa"/>
            <w:left w:w="15" w:type="dxa"/>
            <w:bottom w:w="15" w:type="dxa"/>
            <w:right w:w="15" w:type="dxa"/>
          </w:tblCellMar>
        </w:tblPrEx>
        <w:trPr>
          <w:trHeight w:val="560" w:hRule="atLeast"/>
          <w:tblHeader/>
          <w:jc w:val="center"/>
        </w:trPr>
        <w:tc>
          <w:tcPr>
            <w:tcW w:w="5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财政供养人员情况</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编制数</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2020</w:t>
            </w:r>
            <w:r>
              <w:rPr>
                <w:rStyle w:val="21"/>
                <w:rFonts w:hint="eastAsia" w:ascii="Times New Roman" w:hAnsi="Times New Roman"/>
                <w:sz w:val="28"/>
                <w:szCs w:val="28"/>
              </w:rPr>
              <w:t>年实际在职人数</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控制率</w:t>
            </w:r>
          </w:p>
        </w:tc>
      </w:tr>
      <w:tr>
        <w:tblPrEx>
          <w:tblCellMar>
            <w:top w:w="15" w:type="dxa"/>
            <w:left w:w="15" w:type="dxa"/>
            <w:bottom w:w="15" w:type="dxa"/>
            <w:right w:w="15" w:type="dxa"/>
          </w:tblCellMar>
        </w:tblPrEx>
        <w:trPr>
          <w:trHeight w:val="480" w:hRule="atLeast"/>
          <w:tblHeader/>
          <w:jc w:val="center"/>
        </w:trPr>
        <w:tc>
          <w:tcPr>
            <w:tcW w:w="5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仿宋_GB2312" w:cs="仿宋_GB2312"/>
                <w:color w:val="000000"/>
                <w:sz w:val="28"/>
                <w:szCs w:val="28"/>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r>
      <w:tr>
        <w:tblPrEx>
          <w:tblCellMar>
            <w:top w:w="15" w:type="dxa"/>
            <w:left w:w="15" w:type="dxa"/>
            <w:bottom w:w="15" w:type="dxa"/>
            <w:right w:w="15" w:type="dxa"/>
          </w:tblCellMar>
        </w:tblPrEx>
        <w:trPr>
          <w:trHeight w:val="480" w:hRule="atLeast"/>
          <w:tblHeader/>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经费控制情况</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2019</w:t>
            </w:r>
            <w:r>
              <w:rPr>
                <w:rStyle w:val="21"/>
                <w:rFonts w:hint="eastAsia" w:ascii="Times New Roman" w:hAnsi="Times New Roman"/>
                <w:sz w:val="28"/>
                <w:szCs w:val="28"/>
              </w:rPr>
              <w:t>年决算数</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2020</w:t>
            </w:r>
            <w:r>
              <w:rPr>
                <w:rStyle w:val="21"/>
                <w:rFonts w:hint="eastAsia" w:ascii="Times New Roman" w:hAnsi="Times New Roman"/>
                <w:sz w:val="28"/>
                <w:szCs w:val="28"/>
              </w:rPr>
              <w:t>年预算数</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2020</w:t>
            </w:r>
            <w:r>
              <w:rPr>
                <w:rStyle w:val="21"/>
                <w:rFonts w:hint="eastAsia" w:ascii="Times New Roman" w:hAnsi="Times New Roman"/>
                <w:sz w:val="28"/>
                <w:szCs w:val="28"/>
              </w:rPr>
              <w:t>年决算数</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三公经费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0.29</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5.60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1.22</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w:t>
            </w:r>
            <w:r>
              <w:rPr>
                <w:rStyle w:val="21"/>
                <w:rFonts w:hint="eastAsia" w:ascii="Times New Roman" w:hAnsi="Times New Roman"/>
                <w:sz w:val="28"/>
                <w:szCs w:val="28"/>
              </w:rPr>
              <w:t>、公务用车购置和维护经费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其中：公车购置</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公车运行维护</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w:t>
            </w:r>
            <w:r>
              <w:rPr>
                <w:rStyle w:val="21"/>
                <w:rFonts w:hint="eastAsia" w:ascii="Times New Roman" w:hAnsi="Times New Roman"/>
                <w:sz w:val="28"/>
                <w:szCs w:val="28"/>
              </w:rPr>
              <w:t>、出国经费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r>
              <w:rPr>
                <w:rStyle w:val="21"/>
                <w:rFonts w:hint="eastAsia" w:ascii="Times New Roman" w:hAnsi="Times New Roman"/>
                <w:sz w:val="28"/>
                <w:szCs w:val="28"/>
              </w:rPr>
              <w:t>、公务接待</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0.29</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5.60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1.22</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项目支出：</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1911.40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1380.28</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1、业务工作专项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1911.40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1380.28</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2、运行维护专项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公用经费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5.40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8.00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7.87</w:t>
            </w:r>
            <w:bookmarkStart w:id="0" w:name="_GoBack"/>
            <w:bookmarkEnd w:id="0"/>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其中：办公经费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水费、电费、差旅费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会议费、培训费</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政府采购金额</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仿宋_GB2312" w:cs="仿宋_GB2312"/>
                <w:color w:val="000000"/>
                <w:sz w:val="28"/>
                <w:szCs w:val="28"/>
              </w:rPr>
            </w:pP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仿宋_GB2312" w:cs="仿宋_GB2312"/>
                <w:color w:val="000000"/>
                <w:sz w:val="28"/>
                <w:szCs w:val="28"/>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部门整体支出预算调整</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2027.70</w:t>
            </w:r>
          </w:p>
        </w:tc>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213.68</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1526.23</w:t>
            </w:r>
          </w:p>
        </w:tc>
      </w:tr>
      <w:tr>
        <w:tblPrEx>
          <w:tblCellMar>
            <w:top w:w="15" w:type="dxa"/>
            <w:left w:w="15" w:type="dxa"/>
            <w:bottom w:w="15" w:type="dxa"/>
            <w:right w:w="15" w:type="dxa"/>
          </w:tblCellMar>
        </w:tblPrEx>
        <w:trPr>
          <w:trHeight w:val="476" w:hRule="atLeast"/>
          <w:jc w:val="center"/>
        </w:trPr>
        <w:tc>
          <w:tcPr>
            <w:tcW w:w="5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厉行节约保障措施</w:t>
            </w:r>
          </w:p>
        </w:tc>
        <w:tc>
          <w:tcPr>
            <w:tcW w:w="8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有</w:t>
            </w:r>
          </w:p>
        </w:tc>
      </w:tr>
    </w:tbl>
    <w:p>
      <w:pPr>
        <w:pStyle w:val="2"/>
        <w:spacing w:after="0" w:line="500" w:lineRule="exact"/>
        <w:ind w:left="0" w:leftChars="0" w:right="0" w:rightChars="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说明：“项目支出”需要填报除公共专项资金和基本支出以外的所有项目情况，包括业务工作项目、运行维护项目等；“公用经费”填报基本支出中的一般商品和服务支出。</w:t>
      </w:r>
    </w:p>
    <w:p>
      <w:pPr>
        <w:pStyle w:val="2"/>
        <w:spacing w:after="0" w:line="500" w:lineRule="exact"/>
        <w:ind w:left="0" w:leftChars="0" w:right="0" w:rightChars="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2"/>
        <w:spacing w:after="0" w:line="600" w:lineRule="exact"/>
        <w:ind w:left="0" w:leftChars="0" w:right="1470"/>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pStyle w:val="2"/>
        <w:spacing w:after="156" w:afterLines="50" w:line="500" w:lineRule="exact"/>
        <w:ind w:left="0" w:leftChars="0" w:right="147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2020年部门整体支出绩效自评表</w:t>
      </w:r>
    </w:p>
    <w:tbl>
      <w:tblPr>
        <w:tblStyle w:val="13"/>
        <w:tblW w:w="13750" w:type="dxa"/>
        <w:jc w:val="center"/>
        <w:tblLayout w:type="fixed"/>
        <w:tblCellMar>
          <w:top w:w="15" w:type="dxa"/>
          <w:left w:w="15" w:type="dxa"/>
          <w:bottom w:w="15" w:type="dxa"/>
          <w:right w:w="15" w:type="dxa"/>
        </w:tblCellMar>
      </w:tblPr>
      <w:tblGrid>
        <w:gridCol w:w="848"/>
        <w:gridCol w:w="849"/>
        <w:gridCol w:w="884"/>
        <w:gridCol w:w="2588"/>
        <w:gridCol w:w="11"/>
        <w:gridCol w:w="1076"/>
        <w:gridCol w:w="201"/>
        <w:gridCol w:w="89"/>
        <w:gridCol w:w="2411"/>
        <w:gridCol w:w="112"/>
        <w:gridCol w:w="1932"/>
        <w:gridCol w:w="1030"/>
        <w:gridCol w:w="357"/>
        <w:gridCol w:w="1362"/>
      </w:tblGrid>
      <w:tr>
        <w:tblPrEx>
          <w:tblCellMar>
            <w:top w:w="15" w:type="dxa"/>
            <w:left w:w="15" w:type="dxa"/>
            <w:bottom w:w="15" w:type="dxa"/>
            <w:right w:w="15" w:type="dxa"/>
          </w:tblCellMar>
        </w:tblPrEx>
        <w:trPr>
          <w:trHeight w:val="480" w:hRule="atLeast"/>
          <w:tblHeader/>
          <w:jc w:val="center"/>
        </w:trPr>
        <w:tc>
          <w:tcPr>
            <w:tcW w:w="25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部门（单位）名称</w:t>
            </w:r>
          </w:p>
        </w:tc>
        <w:tc>
          <w:tcPr>
            <w:tcW w:w="111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浏阳市金融事务中心</w:t>
            </w:r>
          </w:p>
        </w:tc>
      </w:tr>
      <w:tr>
        <w:tblPrEx>
          <w:tblCellMar>
            <w:top w:w="15" w:type="dxa"/>
            <w:left w:w="15" w:type="dxa"/>
            <w:bottom w:w="15" w:type="dxa"/>
            <w:right w:w="15" w:type="dxa"/>
          </w:tblCellMar>
        </w:tblPrEx>
        <w:trPr>
          <w:trHeight w:val="480" w:hRule="atLeast"/>
          <w:tblHeader/>
          <w:jc w:val="center"/>
        </w:trPr>
        <w:tc>
          <w:tcPr>
            <w:tcW w:w="25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整体支出规模</w:t>
            </w: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全年预算数</w:t>
            </w:r>
          </w:p>
        </w:tc>
        <w:tc>
          <w:tcPr>
            <w:tcW w:w="2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全年执行数</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执行率</w:t>
            </w:r>
          </w:p>
        </w:tc>
      </w:tr>
      <w:tr>
        <w:tblPrEx>
          <w:tblCellMar>
            <w:top w:w="15" w:type="dxa"/>
            <w:left w:w="15" w:type="dxa"/>
            <w:bottom w:w="15" w:type="dxa"/>
            <w:right w:w="15" w:type="dxa"/>
          </w:tblCellMar>
        </w:tblPrEx>
        <w:trPr>
          <w:trHeight w:val="480" w:hRule="atLeast"/>
          <w:tblHeader/>
          <w:jc w:val="center"/>
        </w:trPr>
        <w:tc>
          <w:tcPr>
            <w:tcW w:w="25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资金来源：（1）财政拨款</w:t>
            </w: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2,136,800.00</w:t>
            </w:r>
          </w:p>
        </w:tc>
        <w:tc>
          <w:tcPr>
            <w:tcW w:w="2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11,506,822.40</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538.51%</w:t>
            </w:r>
          </w:p>
        </w:tc>
      </w:tr>
      <w:tr>
        <w:tblPrEx>
          <w:tblCellMar>
            <w:top w:w="15" w:type="dxa"/>
            <w:left w:w="15" w:type="dxa"/>
            <w:bottom w:w="15" w:type="dxa"/>
            <w:right w:w="15" w:type="dxa"/>
          </w:tblCellMar>
        </w:tblPrEx>
        <w:trPr>
          <w:trHeight w:val="480" w:hRule="atLeast"/>
          <w:tblHeader/>
          <w:jc w:val="center"/>
        </w:trPr>
        <w:tc>
          <w:tcPr>
            <w:tcW w:w="25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w:t>
            </w:r>
            <w:r>
              <w:rPr>
                <w:rStyle w:val="22"/>
                <w:rFonts w:hint="eastAsia" w:eastAsia="仿宋_GB2312" w:cs="仿宋_GB2312"/>
                <w:sz w:val="28"/>
                <w:szCs w:val="28"/>
              </w:rPr>
              <w:t>2</w:t>
            </w:r>
            <w:r>
              <w:rPr>
                <w:rStyle w:val="23"/>
                <w:rFonts w:hint="default" w:ascii="Times New Roman" w:hAnsi="Times New Roman"/>
                <w:sz w:val="28"/>
                <w:szCs w:val="28"/>
              </w:rPr>
              <w:t>）其他资金</w:t>
            </w: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3,755,500.00</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r>
      <w:tr>
        <w:tblPrEx>
          <w:tblCellMar>
            <w:top w:w="15" w:type="dxa"/>
            <w:left w:w="15" w:type="dxa"/>
            <w:bottom w:w="15" w:type="dxa"/>
            <w:right w:w="15" w:type="dxa"/>
          </w:tblCellMar>
        </w:tblPrEx>
        <w:trPr>
          <w:trHeight w:val="480" w:hRule="atLeast"/>
          <w:tblHeader/>
          <w:jc w:val="center"/>
        </w:trPr>
        <w:tc>
          <w:tcPr>
            <w:tcW w:w="25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资金结构：（1）基本支出</w:t>
            </w: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1,136,800.00</w:t>
            </w:r>
          </w:p>
        </w:tc>
        <w:tc>
          <w:tcPr>
            <w:tcW w:w="2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1,459,529.74</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128.39%</w:t>
            </w:r>
          </w:p>
        </w:tc>
      </w:tr>
      <w:tr>
        <w:tblPrEx>
          <w:tblCellMar>
            <w:top w:w="15" w:type="dxa"/>
            <w:left w:w="15" w:type="dxa"/>
            <w:bottom w:w="15" w:type="dxa"/>
            <w:right w:w="15" w:type="dxa"/>
          </w:tblCellMar>
        </w:tblPrEx>
        <w:trPr>
          <w:trHeight w:val="480" w:hRule="atLeast"/>
          <w:tblHeader/>
          <w:jc w:val="center"/>
        </w:trPr>
        <w:tc>
          <w:tcPr>
            <w:tcW w:w="25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w:t>
            </w:r>
            <w:r>
              <w:rPr>
                <w:rStyle w:val="22"/>
                <w:rFonts w:hint="eastAsia" w:eastAsia="仿宋_GB2312" w:cs="仿宋_GB2312"/>
                <w:sz w:val="28"/>
                <w:szCs w:val="28"/>
              </w:rPr>
              <w:t>2</w:t>
            </w:r>
            <w:r>
              <w:rPr>
                <w:rStyle w:val="23"/>
                <w:rFonts w:hint="default" w:ascii="Times New Roman" w:hAnsi="Times New Roman"/>
                <w:sz w:val="28"/>
                <w:szCs w:val="28"/>
              </w:rPr>
              <w:t>）项目支出</w:t>
            </w: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1,000,000.00</w:t>
            </w:r>
          </w:p>
        </w:tc>
        <w:tc>
          <w:tcPr>
            <w:tcW w:w="2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13,802,792.66</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1380.28%</w:t>
            </w:r>
          </w:p>
        </w:tc>
      </w:tr>
      <w:tr>
        <w:tblPrEx>
          <w:tblCellMar>
            <w:top w:w="15" w:type="dxa"/>
            <w:left w:w="15" w:type="dxa"/>
            <w:bottom w:w="15" w:type="dxa"/>
            <w:right w:w="15" w:type="dxa"/>
          </w:tblCellMar>
        </w:tblPrEx>
        <w:trPr>
          <w:trHeight w:val="480" w:hRule="atLeast"/>
          <w:tblHeader/>
          <w:jc w:val="center"/>
        </w:trPr>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年度总体目标</w:t>
            </w:r>
          </w:p>
        </w:tc>
        <w:tc>
          <w:tcPr>
            <w:tcW w:w="4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年初设定目标</w:t>
            </w:r>
          </w:p>
        </w:tc>
        <w:tc>
          <w:tcPr>
            <w:tcW w:w="85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全年完成情况</w:t>
            </w:r>
          </w:p>
        </w:tc>
      </w:tr>
      <w:tr>
        <w:tblPrEx>
          <w:tblCellMar>
            <w:top w:w="15" w:type="dxa"/>
            <w:left w:w="15" w:type="dxa"/>
            <w:bottom w:w="15" w:type="dxa"/>
            <w:right w:w="15" w:type="dxa"/>
          </w:tblCellMar>
        </w:tblPrEx>
        <w:trPr>
          <w:trHeight w:val="162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4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充分保障部门正常运转。2、提高金融服务水平，建立健全现代金融市场信用体系。3、坚决打好防范重大风险攻坚战，深化金融创安工作。4、打好打赢精准脱贫攻坚战，认真扎实做好金融扶贫、驻村帮扶、结对帮扶等相关工作。5、全面落实资本市场县域工程试点各项工作任务。6、全面完成年度各项工作任务。</w:t>
            </w:r>
          </w:p>
        </w:tc>
        <w:tc>
          <w:tcPr>
            <w:tcW w:w="85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2020年以来，金融事务中心深入贯彻市委市政府关于金融工作的部署，紧扣服务实体经济、防范金融风险、深化金融改革三项基本任务，敢于担当，主动作为，加强前瞻布局和精准施策，加大金融支持实体经济力度，狠抓企业上市培植，有力克服了疫情不利影响，取得了良好成效。</w:t>
            </w:r>
          </w:p>
        </w:tc>
      </w:tr>
      <w:tr>
        <w:tblPrEx>
          <w:tblCellMar>
            <w:top w:w="15" w:type="dxa"/>
            <w:left w:w="15" w:type="dxa"/>
            <w:bottom w:w="15" w:type="dxa"/>
            <w:right w:w="15" w:type="dxa"/>
          </w:tblCellMar>
        </w:tblPrEx>
        <w:trPr>
          <w:trHeight w:val="510" w:hRule="atLeast"/>
          <w:tblHeader/>
          <w:jc w:val="center"/>
        </w:trPr>
        <w:tc>
          <w:tcPr>
            <w:tcW w:w="1375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b/>
                <w:bCs/>
                <w:color w:val="000000"/>
                <w:kern w:val="0"/>
                <w:sz w:val="28"/>
                <w:szCs w:val="28"/>
              </w:rPr>
              <w:t>分解目标自评</w:t>
            </w:r>
          </w:p>
        </w:tc>
      </w:tr>
      <w:tr>
        <w:tblPrEx>
          <w:tblCellMar>
            <w:top w:w="15" w:type="dxa"/>
            <w:left w:w="15" w:type="dxa"/>
            <w:bottom w:w="15" w:type="dxa"/>
            <w:right w:w="15" w:type="dxa"/>
          </w:tblCellMar>
        </w:tblPrEx>
        <w:trPr>
          <w:trHeight w:val="60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一级指标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权重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二级指标</w:t>
            </w:r>
          </w:p>
        </w:tc>
        <w:tc>
          <w:tcPr>
            <w:tcW w:w="13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三级指标</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年度指标值</w:t>
            </w:r>
          </w:p>
        </w:tc>
        <w:tc>
          <w:tcPr>
            <w:tcW w:w="2044" w:type="dxa"/>
            <w:gridSpan w:val="2"/>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全年完成值</w:t>
            </w:r>
          </w:p>
        </w:tc>
        <w:tc>
          <w:tcPr>
            <w:tcW w:w="1387" w:type="dxa"/>
            <w:gridSpan w:val="2"/>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自评得分</w:t>
            </w:r>
          </w:p>
        </w:tc>
        <w:tc>
          <w:tcPr>
            <w:tcW w:w="1362" w:type="dxa"/>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偏差及</w:t>
            </w:r>
          </w:p>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原因分析</w:t>
            </w:r>
          </w:p>
        </w:tc>
      </w:tr>
      <w:tr>
        <w:tblPrEx>
          <w:tblCellMar>
            <w:top w:w="15" w:type="dxa"/>
            <w:left w:w="15" w:type="dxa"/>
            <w:bottom w:w="15" w:type="dxa"/>
            <w:right w:w="15" w:type="dxa"/>
          </w:tblCellMar>
        </w:tblPrEx>
        <w:trPr>
          <w:trHeight w:val="480" w:hRule="atLeast"/>
          <w:tblHeader/>
          <w:jc w:val="center"/>
        </w:trPr>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投入管理</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30</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预算编审管理（3</w:t>
            </w:r>
            <w:r>
              <w:rPr>
                <w:rStyle w:val="24"/>
                <w:rFonts w:hint="default" w:ascii="Times New Roman" w:hAnsi="Times New Roman"/>
                <w:sz w:val="28"/>
                <w:szCs w:val="28"/>
              </w:rPr>
              <w:t>）</w:t>
            </w:r>
          </w:p>
        </w:tc>
        <w:tc>
          <w:tcPr>
            <w:tcW w:w="378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根据财政管理工作绩效考核相关办法规定填报</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预算执行管理（4</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部门结转结余资金管理（4</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预算绩效管理（5</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预决算信息公开管理（4</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财政监督管理（3</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政府采购管理（3</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资产管理（4</w:t>
            </w:r>
            <w:r>
              <w:rPr>
                <w:rStyle w:val="24"/>
                <w:rFonts w:hint="default" w:ascii="Times New Roman" w:hAnsi="Times New Roman"/>
                <w:sz w:val="28"/>
                <w:szCs w:val="28"/>
              </w:rPr>
              <w:t>）</w:t>
            </w:r>
          </w:p>
        </w:tc>
        <w:tc>
          <w:tcPr>
            <w:tcW w:w="378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产出指标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25</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数量指标（6</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反映部门履职核心项目的绩效指标完成情况</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实际完成率=（实际产出数/计划产出数）×100%。</w:t>
            </w:r>
          </w:p>
          <w:p>
            <w:pPr>
              <w:widowControl/>
              <w:spacing w:line="400" w:lineRule="exact"/>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实际产出数：当年实际实施的项目</w:t>
            </w:r>
          </w:p>
          <w:p>
            <w:pPr>
              <w:widowControl/>
              <w:spacing w:line="400" w:lineRule="exact"/>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计划产出数：当年下达的目标任务数。</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6</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80" w:hRule="atLeast"/>
          <w:tblHeader/>
          <w:jc w:val="center"/>
        </w:trPr>
        <w:tc>
          <w:tcPr>
            <w:tcW w:w="1375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b/>
                <w:bCs/>
                <w:color w:val="000000"/>
                <w:kern w:val="0"/>
                <w:sz w:val="28"/>
                <w:szCs w:val="28"/>
              </w:rPr>
              <w:t>分解目标自评</w:t>
            </w:r>
          </w:p>
        </w:tc>
      </w:tr>
      <w:tr>
        <w:tblPrEx>
          <w:tblCellMar>
            <w:top w:w="15" w:type="dxa"/>
            <w:left w:w="15" w:type="dxa"/>
            <w:bottom w:w="15" w:type="dxa"/>
            <w:right w:w="15" w:type="dxa"/>
          </w:tblCellMar>
        </w:tblPrEx>
        <w:trPr>
          <w:trHeight w:val="48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一级指标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权重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二级指标</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三级指标</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年度指标值</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全年完成值</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自评得分</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偏差及</w:t>
            </w:r>
          </w:p>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原因分析</w:t>
            </w:r>
          </w:p>
        </w:tc>
      </w:tr>
      <w:tr>
        <w:tblPrEx>
          <w:tblCellMar>
            <w:top w:w="15" w:type="dxa"/>
            <w:left w:w="15" w:type="dxa"/>
            <w:bottom w:w="15" w:type="dxa"/>
            <w:right w:w="15" w:type="dxa"/>
          </w:tblCellMar>
        </w:tblPrEx>
        <w:trPr>
          <w:trHeight w:val="6915"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产出指标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25</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质量指标（8</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反映部门履职核心项目的绩效指标完成情况</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质量达标率</w:t>
            </w:r>
            <w:r>
              <w:rPr>
                <w:rStyle w:val="25"/>
                <w:rFonts w:hint="eastAsia" w:eastAsia="仿宋_GB2312" w:cs="仿宋_GB2312"/>
                <w:sz w:val="28"/>
                <w:szCs w:val="28"/>
              </w:rPr>
              <w:t>=</w:t>
            </w:r>
            <w:r>
              <w:rPr>
                <w:rFonts w:hint="eastAsia" w:ascii="Times New Roman" w:hAnsi="Times New Roman" w:eastAsia="仿宋_GB2312" w:cs="仿宋_GB2312"/>
                <w:color w:val="000000"/>
                <w:kern w:val="0"/>
                <w:sz w:val="28"/>
                <w:szCs w:val="28"/>
              </w:rPr>
              <w:t>（质量达标产出数</w:t>
            </w:r>
            <w:r>
              <w:rPr>
                <w:rStyle w:val="25"/>
                <w:rFonts w:hint="eastAsia" w:eastAsia="仿宋_GB2312" w:cs="仿宋_GB2312"/>
                <w:sz w:val="28"/>
                <w:szCs w:val="28"/>
              </w:rPr>
              <w:t>/</w:t>
            </w:r>
            <w:r>
              <w:rPr>
                <w:rFonts w:hint="eastAsia" w:ascii="Times New Roman" w:hAnsi="Times New Roman" w:eastAsia="仿宋_GB2312" w:cs="仿宋_GB2312"/>
                <w:color w:val="000000"/>
                <w:kern w:val="0"/>
                <w:sz w:val="28"/>
                <w:szCs w:val="28"/>
              </w:rPr>
              <w:t>实际产出数）</w:t>
            </w:r>
            <w:r>
              <w:rPr>
                <w:rStyle w:val="25"/>
                <w:rFonts w:hint="eastAsia" w:eastAsia="仿宋_GB2312" w:cs="仿宋_GB2312"/>
                <w:sz w:val="28"/>
                <w:szCs w:val="28"/>
              </w:rPr>
              <w:t>×100%</w:t>
            </w:r>
            <w:r>
              <w:rPr>
                <w:rFonts w:hint="eastAsia" w:ascii="Times New Roman" w:hAnsi="Times New Roman" w:eastAsia="仿宋_GB2312" w:cs="仿宋_GB2312"/>
                <w:color w:val="000000"/>
                <w:kern w:val="0"/>
                <w:sz w:val="28"/>
                <w:szCs w:val="28"/>
              </w:rPr>
              <w:t>。</w:t>
            </w:r>
            <w:r>
              <w:rPr>
                <w:rStyle w:val="25"/>
                <w:rFonts w:hint="eastAsia" w:eastAsia="仿宋_GB2312" w:cs="仿宋_GB2312"/>
                <w:sz w:val="28"/>
                <w:szCs w:val="28"/>
              </w:rPr>
              <w:br w:type="textWrapping"/>
            </w:r>
            <w:r>
              <w:rPr>
                <w:rFonts w:hint="eastAsia" w:ascii="Times New Roman" w:hAnsi="Times New Roman" w:eastAsia="仿宋_GB2312" w:cs="仿宋_GB2312"/>
                <w:color w:val="000000"/>
                <w:kern w:val="0"/>
                <w:sz w:val="28"/>
                <w:szCs w:val="28"/>
              </w:rPr>
              <w:t>质量达标产出数：一定时期（本年度或项目期）内实际达到既定质量标准。</w:t>
            </w:r>
            <w:r>
              <w:rPr>
                <w:rStyle w:val="25"/>
                <w:rFonts w:hint="eastAsia" w:eastAsia="仿宋_GB2312" w:cs="仿宋_GB2312"/>
                <w:sz w:val="28"/>
                <w:szCs w:val="28"/>
              </w:rPr>
              <w:br w:type="textWrapping"/>
            </w:r>
            <w:r>
              <w:rPr>
                <w:rFonts w:hint="eastAsia" w:ascii="Times New Roman" w:hAnsi="Times New Roman" w:eastAsia="仿宋_GB2312" w:cs="仿宋_GB2312"/>
                <w:color w:val="000000"/>
                <w:kern w:val="0"/>
                <w:sz w:val="28"/>
                <w:szCs w:val="28"/>
              </w:rPr>
              <w:t>既定质量标准是指项目实施单位设立绩效目标时依据计划标准、行业标准、历史标准或其他标准而设定的绩效指标值。</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8</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75" w:hRule="atLeast"/>
          <w:tblHeader/>
          <w:jc w:val="center"/>
        </w:trPr>
        <w:tc>
          <w:tcPr>
            <w:tcW w:w="1375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b/>
                <w:bCs/>
                <w:color w:val="000000"/>
                <w:kern w:val="0"/>
                <w:sz w:val="28"/>
                <w:szCs w:val="28"/>
              </w:rPr>
              <w:t>分解目标自评</w:t>
            </w:r>
          </w:p>
        </w:tc>
      </w:tr>
      <w:tr>
        <w:tblPrEx>
          <w:tblCellMar>
            <w:top w:w="15" w:type="dxa"/>
            <w:left w:w="15" w:type="dxa"/>
            <w:bottom w:w="15" w:type="dxa"/>
            <w:right w:w="15" w:type="dxa"/>
          </w:tblCellMar>
        </w:tblPrEx>
        <w:trPr>
          <w:trHeight w:val="875"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一级指标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权重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二级指标</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三级指标</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年度指标值</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全年完成值</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自评得分</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偏差及</w:t>
            </w:r>
          </w:p>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原因分析</w:t>
            </w:r>
          </w:p>
        </w:tc>
      </w:tr>
      <w:tr>
        <w:tblPrEx>
          <w:tblCellMar>
            <w:top w:w="15" w:type="dxa"/>
            <w:left w:w="15" w:type="dxa"/>
            <w:bottom w:w="15" w:type="dxa"/>
            <w:right w:w="15" w:type="dxa"/>
          </w:tblCellMar>
        </w:tblPrEx>
        <w:trPr>
          <w:trHeight w:val="4410" w:hRule="atLeast"/>
          <w:tblHeader/>
          <w:jc w:val="center"/>
        </w:trPr>
        <w:tc>
          <w:tcPr>
            <w:tcW w:w="848" w:type="dxa"/>
            <w:vMerge w:val="restart"/>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产出指标</w:t>
            </w:r>
          </w:p>
        </w:tc>
        <w:tc>
          <w:tcPr>
            <w:tcW w:w="849" w:type="dxa"/>
            <w:vMerge w:val="restart"/>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25</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时效指标（5</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反映部门履职核心项目的绩效指标完成情况</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执行项目完成及时率</w:t>
            </w:r>
            <w:r>
              <w:rPr>
                <w:rStyle w:val="25"/>
                <w:rFonts w:hint="eastAsia" w:eastAsia="仿宋_GB2312" w:cs="仿宋_GB2312"/>
                <w:sz w:val="28"/>
                <w:szCs w:val="28"/>
              </w:rPr>
              <w:t>=</w:t>
            </w:r>
            <w:r>
              <w:rPr>
                <w:rFonts w:hint="eastAsia" w:ascii="Times New Roman" w:hAnsi="Times New Roman" w:eastAsia="仿宋_GB2312" w:cs="仿宋_GB2312"/>
                <w:color w:val="000000"/>
                <w:kern w:val="0"/>
                <w:sz w:val="28"/>
                <w:szCs w:val="28"/>
              </w:rPr>
              <w:t>（执行项目及时完成数</w:t>
            </w:r>
            <w:r>
              <w:rPr>
                <w:rStyle w:val="25"/>
                <w:rFonts w:hint="eastAsia" w:eastAsia="仿宋_GB2312" w:cs="仿宋_GB2312"/>
                <w:sz w:val="28"/>
                <w:szCs w:val="28"/>
              </w:rPr>
              <w:t>/</w:t>
            </w:r>
            <w:r>
              <w:rPr>
                <w:rFonts w:hint="eastAsia" w:ascii="Times New Roman" w:hAnsi="Times New Roman" w:eastAsia="仿宋_GB2312" w:cs="仿宋_GB2312"/>
                <w:color w:val="000000"/>
                <w:kern w:val="0"/>
                <w:sz w:val="28"/>
                <w:szCs w:val="28"/>
              </w:rPr>
              <w:t>计划执行数）</w:t>
            </w:r>
            <w:r>
              <w:rPr>
                <w:rStyle w:val="25"/>
                <w:rFonts w:hint="eastAsia" w:eastAsia="仿宋_GB2312" w:cs="仿宋_GB2312"/>
                <w:sz w:val="28"/>
                <w:szCs w:val="28"/>
              </w:rPr>
              <w:t>×100%</w:t>
            </w:r>
            <w:r>
              <w:rPr>
                <w:rFonts w:hint="eastAsia" w:ascii="Times New Roman" w:hAnsi="Times New Roman" w:eastAsia="仿宋_GB2312" w:cs="仿宋_GB2312"/>
                <w:color w:val="000000"/>
                <w:kern w:val="0"/>
                <w:sz w:val="28"/>
                <w:szCs w:val="28"/>
              </w:rPr>
              <w:t>。</w:t>
            </w:r>
            <w:r>
              <w:rPr>
                <w:rStyle w:val="25"/>
                <w:rFonts w:hint="eastAsia" w:eastAsia="仿宋_GB2312" w:cs="仿宋_GB2312"/>
                <w:sz w:val="28"/>
                <w:szCs w:val="28"/>
              </w:rPr>
              <w:br w:type="textWrapping"/>
            </w:r>
            <w:r>
              <w:rPr>
                <w:rFonts w:hint="eastAsia" w:ascii="Times New Roman" w:hAnsi="Times New Roman" w:eastAsia="仿宋_GB2312" w:cs="仿宋_GB2312"/>
                <w:color w:val="000000"/>
                <w:kern w:val="0"/>
                <w:sz w:val="28"/>
                <w:szCs w:val="28"/>
              </w:rPr>
              <w:t>执行项目及时完成数：部门按照整体绩效目标确定的时限及时完成的项目数量。</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66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成本指标（6</w:t>
            </w:r>
            <w:r>
              <w:rPr>
                <w:rStyle w:val="24"/>
                <w:rFonts w:hint="default" w:ascii="Times New Roman" w:hAnsi="Times New Roman"/>
                <w:sz w:val="28"/>
                <w:szCs w:val="28"/>
              </w:rPr>
              <w:t>分</w:t>
            </w:r>
            <w:r>
              <w:rPr>
                <w:rStyle w:val="25"/>
                <w:rFonts w:hint="eastAsia" w:eastAsia="仿宋_GB2312" w:cs="仿宋_GB2312"/>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反映部门履职核心项目的绩效指标完成情况</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执行项目成本控制率</w:t>
            </w:r>
            <w:r>
              <w:rPr>
                <w:rStyle w:val="25"/>
                <w:rFonts w:hint="eastAsia" w:eastAsia="仿宋_GB2312" w:cs="仿宋_GB2312"/>
                <w:sz w:val="28"/>
                <w:szCs w:val="28"/>
              </w:rPr>
              <w:t>=</w:t>
            </w:r>
            <w:r>
              <w:rPr>
                <w:rFonts w:hint="eastAsia" w:ascii="Times New Roman" w:hAnsi="Times New Roman" w:eastAsia="仿宋_GB2312" w:cs="仿宋_GB2312"/>
                <w:color w:val="000000"/>
                <w:kern w:val="0"/>
                <w:sz w:val="28"/>
                <w:szCs w:val="28"/>
              </w:rPr>
              <w:t>（执行项目资金支付</w:t>
            </w:r>
            <w:r>
              <w:rPr>
                <w:rStyle w:val="25"/>
                <w:rFonts w:hint="eastAsia" w:eastAsia="仿宋_GB2312" w:cs="仿宋_GB2312"/>
                <w:sz w:val="28"/>
                <w:szCs w:val="28"/>
              </w:rPr>
              <w:t>/</w:t>
            </w:r>
            <w:r>
              <w:rPr>
                <w:rFonts w:hint="eastAsia" w:ascii="Times New Roman" w:hAnsi="Times New Roman" w:eastAsia="仿宋_GB2312" w:cs="仿宋_GB2312"/>
                <w:color w:val="000000"/>
                <w:kern w:val="0"/>
                <w:sz w:val="28"/>
                <w:szCs w:val="28"/>
              </w:rPr>
              <w:t>执行项目资金下达）</w:t>
            </w:r>
            <w:r>
              <w:rPr>
                <w:rStyle w:val="25"/>
                <w:rFonts w:hint="eastAsia" w:eastAsia="仿宋_GB2312" w:cs="仿宋_GB2312"/>
                <w:sz w:val="28"/>
                <w:szCs w:val="28"/>
              </w:rPr>
              <w:t>×100%</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6</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660" w:hRule="atLeast"/>
          <w:tblHeader/>
          <w:jc w:val="center"/>
        </w:trPr>
        <w:tc>
          <w:tcPr>
            <w:tcW w:w="1375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b/>
                <w:bCs/>
                <w:color w:val="000000"/>
                <w:kern w:val="0"/>
                <w:sz w:val="28"/>
                <w:szCs w:val="28"/>
              </w:rPr>
              <w:t>分解目标自评</w:t>
            </w:r>
          </w:p>
        </w:tc>
      </w:tr>
      <w:tr>
        <w:tblPrEx>
          <w:tblCellMar>
            <w:top w:w="15" w:type="dxa"/>
            <w:left w:w="15" w:type="dxa"/>
            <w:bottom w:w="15" w:type="dxa"/>
            <w:right w:w="15" w:type="dxa"/>
          </w:tblCellMar>
        </w:tblPrEx>
        <w:trPr>
          <w:trHeight w:val="66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一级指标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权重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二级指标</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三级指标</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年度指标值</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全年完成值</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自评得分</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偏差及</w:t>
            </w:r>
          </w:p>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原因分析</w:t>
            </w:r>
          </w:p>
        </w:tc>
      </w:tr>
      <w:tr>
        <w:tblPrEx>
          <w:tblCellMar>
            <w:top w:w="15" w:type="dxa"/>
            <w:left w:w="15" w:type="dxa"/>
            <w:bottom w:w="15" w:type="dxa"/>
            <w:right w:w="15" w:type="dxa"/>
          </w:tblCellMar>
        </w:tblPrEx>
        <w:trPr>
          <w:trHeight w:val="3370" w:hRule="atLeast"/>
          <w:tblHeader/>
          <w:jc w:val="center"/>
        </w:trPr>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效益指标</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45</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经济效益指标（10</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部门（单位）履行职责对经济发展所带来的直接或间接影响。</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评价要点：</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是否按照部门职责完成相关工作并产生直接或间接的经济效益。</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9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社会效益指标（10</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部门（单位）履行职责对社会发展所带来的直接或间接影响。</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评价要点：</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是否按照部门职责完成相关工作并产生直接或间接的社会效益。</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45" w:hRule="atLeast"/>
          <w:tblHeader/>
          <w:jc w:val="center"/>
        </w:trPr>
        <w:tc>
          <w:tcPr>
            <w:tcW w:w="1375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b/>
                <w:bCs/>
                <w:color w:val="000000"/>
                <w:kern w:val="0"/>
                <w:sz w:val="28"/>
                <w:szCs w:val="28"/>
              </w:rPr>
              <w:t>分解目标自评</w:t>
            </w:r>
          </w:p>
        </w:tc>
      </w:tr>
      <w:tr>
        <w:tblPrEx>
          <w:tblCellMar>
            <w:top w:w="15" w:type="dxa"/>
            <w:left w:w="15" w:type="dxa"/>
            <w:bottom w:w="15" w:type="dxa"/>
            <w:right w:w="15" w:type="dxa"/>
          </w:tblCellMar>
        </w:tblPrEx>
        <w:trPr>
          <w:trHeight w:val="96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一级指标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权重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二级指标</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三级指标</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年度指标值</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全年完成值</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自评得分</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偏差及</w:t>
            </w:r>
          </w:p>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原因分析</w:t>
            </w:r>
          </w:p>
        </w:tc>
      </w:tr>
      <w:tr>
        <w:tblPrEx>
          <w:tblCellMar>
            <w:top w:w="15" w:type="dxa"/>
            <w:left w:w="15" w:type="dxa"/>
            <w:bottom w:w="15" w:type="dxa"/>
            <w:right w:w="15" w:type="dxa"/>
          </w:tblCellMar>
        </w:tblPrEx>
        <w:trPr>
          <w:trHeight w:val="975" w:hRule="atLeast"/>
          <w:tblHeader/>
          <w:jc w:val="center"/>
        </w:trPr>
        <w:tc>
          <w:tcPr>
            <w:tcW w:w="848" w:type="dxa"/>
            <w:vMerge w:val="restart"/>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效益指标</w:t>
            </w:r>
          </w:p>
        </w:tc>
        <w:tc>
          <w:tcPr>
            <w:tcW w:w="849" w:type="dxa"/>
            <w:vMerge w:val="restart"/>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45</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生态效益指标（7</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部门（单位）履行职责所带来的直接或间接的生态效益或可持续影响。</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评价要点：</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是否按照部门职责完成相关工作并产生直接或间接的生态效益或可持续影响。</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7</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810"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可持续影响指标</w:t>
            </w:r>
            <w:r>
              <w:rPr>
                <w:rStyle w:val="25"/>
                <w:rFonts w:hint="eastAsia" w:eastAsia="仿宋_GB2312" w:cs="仿宋_GB2312"/>
                <w:sz w:val="28"/>
                <w:szCs w:val="28"/>
              </w:rPr>
              <w:t>（8）</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部门（单位）履行职责所带来的直接或间接的可持续影响。</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评价要点：</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是否按照部门职责完成相关工作并产生直接或间接的可持续影响。</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8</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642" w:hRule="atLeast"/>
          <w:tblHeader/>
          <w:jc w:val="center"/>
        </w:trPr>
        <w:tc>
          <w:tcPr>
            <w:tcW w:w="1375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b/>
                <w:bCs/>
                <w:color w:val="000000"/>
                <w:kern w:val="0"/>
                <w:sz w:val="28"/>
                <w:szCs w:val="28"/>
              </w:rPr>
              <w:t>分解目标自评</w:t>
            </w:r>
          </w:p>
        </w:tc>
      </w:tr>
      <w:tr>
        <w:tblPrEx>
          <w:tblCellMar>
            <w:top w:w="15" w:type="dxa"/>
            <w:left w:w="15" w:type="dxa"/>
            <w:bottom w:w="15" w:type="dxa"/>
            <w:right w:w="15" w:type="dxa"/>
          </w:tblCellMar>
        </w:tblPrEx>
        <w:trPr>
          <w:trHeight w:val="81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一级指标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权重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二级指标</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三级指标</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年度指标值</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全年完成值</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自评得分</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偏差及</w:t>
            </w:r>
          </w:p>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原因分析</w:t>
            </w:r>
          </w:p>
        </w:tc>
      </w:tr>
      <w:tr>
        <w:tblPrEx>
          <w:tblCellMar>
            <w:top w:w="15" w:type="dxa"/>
            <w:left w:w="15" w:type="dxa"/>
            <w:bottom w:w="15" w:type="dxa"/>
            <w:right w:w="15" w:type="dxa"/>
          </w:tblCellMar>
        </w:tblPrEx>
        <w:trPr>
          <w:trHeight w:val="1080" w:hRule="atLeast"/>
          <w:tblHeader/>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效益指标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45</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满意度指标（10</w:t>
            </w:r>
            <w:r>
              <w:rPr>
                <w:rStyle w:val="24"/>
                <w:rFonts w:hint="default" w:ascii="Times New Roman" w:hAnsi="Times New Roman"/>
                <w:sz w:val="28"/>
                <w:szCs w:val="28"/>
              </w:rPr>
              <w:t>）</w:t>
            </w:r>
          </w:p>
        </w:tc>
        <w:tc>
          <w:tcPr>
            <w:tcW w:w="12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社会公众或部门（单位）的服务对象对部门履职效果的满意程度。</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评价要点：</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采取社会调查的方式。</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社会公众或服务对象是指部门（单位）履行职责而影响到的部门、群体或个人。</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w:t>
            </w:r>
            <w:r>
              <w:rPr>
                <w:rStyle w:val="25"/>
                <w:rFonts w:hint="eastAsia" w:eastAsia="仿宋_GB2312" w:cs="仿宋_GB2312"/>
                <w:sz w:val="28"/>
                <w:szCs w:val="28"/>
              </w:rPr>
              <w:t>95.00%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10" w:hRule="atLeast"/>
          <w:tblHeader/>
          <w:jc w:val="center"/>
        </w:trPr>
        <w:tc>
          <w:tcPr>
            <w:tcW w:w="51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总  分</w:t>
            </w:r>
          </w:p>
        </w:tc>
        <w:tc>
          <w:tcPr>
            <w:tcW w:w="58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1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97</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Times New Roman" w:hAnsi="Times New Roman" w:eastAsia="仿宋_GB2312" w:cs="仿宋_GB2312"/>
                <w:color w:val="000000"/>
                <w:sz w:val="28"/>
                <w:szCs w:val="28"/>
              </w:rPr>
            </w:pPr>
          </w:p>
        </w:tc>
      </w:tr>
    </w:tbl>
    <w:p>
      <w:pPr>
        <w:pStyle w:val="2"/>
        <w:spacing w:after="0" w:line="500" w:lineRule="exact"/>
        <w:ind w:left="0" w:leftChars="0" w:right="0" w:rightChars="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注：上述产出指标和效益指标既可以按照重点任务完成情况分别填列，也可以依据所有重点任务归纳提炼综合指标。</w:t>
      </w:r>
      <w:r>
        <w:rPr>
          <w:rFonts w:hint="eastAsia" w:ascii="仿宋_GB2312" w:hAnsi="仿宋_GB2312" w:eastAsia="仿宋_GB2312" w:cs="仿宋_GB2312"/>
          <w:sz w:val="30"/>
          <w:szCs w:val="30"/>
        </w:rPr>
        <w:br w:type="page"/>
      </w:r>
    </w:p>
    <w:p>
      <w:pPr>
        <w:pStyle w:val="2"/>
        <w:spacing w:after="0" w:line="600" w:lineRule="exact"/>
        <w:ind w:left="0" w:leftChars="0" w:right="1470"/>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pStyle w:val="2"/>
        <w:spacing w:after="156" w:afterLines="50" w:line="500" w:lineRule="exact"/>
        <w:ind w:left="0" w:leftChars="0" w:right="147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2020年项目支出绩效自评表</w:t>
      </w:r>
    </w:p>
    <w:tbl>
      <w:tblPr>
        <w:tblStyle w:val="13"/>
        <w:tblW w:w="13750" w:type="dxa"/>
        <w:jc w:val="center"/>
        <w:tblLayout w:type="fixed"/>
        <w:tblCellMar>
          <w:top w:w="15" w:type="dxa"/>
          <w:left w:w="15" w:type="dxa"/>
          <w:bottom w:w="15" w:type="dxa"/>
          <w:right w:w="15" w:type="dxa"/>
        </w:tblCellMar>
      </w:tblPr>
      <w:tblGrid>
        <w:gridCol w:w="631"/>
        <w:gridCol w:w="1088"/>
        <w:gridCol w:w="281"/>
        <w:gridCol w:w="1444"/>
        <w:gridCol w:w="1275"/>
        <w:gridCol w:w="600"/>
        <w:gridCol w:w="863"/>
        <w:gridCol w:w="1594"/>
        <w:gridCol w:w="2080"/>
        <w:gridCol w:w="301"/>
        <w:gridCol w:w="749"/>
        <w:gridCol w:w="357"/>
        <w:gridCol w:w="318"/>
        <w:gridCol w:w="638"/>
        <w:gridCol w:w="207"/>
        <w:gridCol w:w="1324"/>
      </w:tblGrid>
      <w:tr>
        <w:tblPrEx>
          <w:tblCellMar>
            <w:top w:w="15" w:type="dxa"/>
            <w:left w:w="15" w:type="dxa"/>
            <w:bottom w:w="15" w:type="dxa"/>
            <w:right w:w="15" w:type="dxa"/>
          </w:tblCellMar>
        </w:tblPrEx>
        <w:trPr>
          <w:trHeight w:val="389"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项目支出名称</w:t>
            </w:r>
          </w:p>
        </w:tc>
        <w:tc>
          <w:tcPr>
            <w:tcW w:w="12031"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业务工作经费</w:t>
            </w:r>
          </w:p>
        </w:tc>
      </w:tr>
      <w:tr>
        <w:tblPrEx>
          <w:tblCellMar>
            <w:top w:w="15" w:type="dxa"/>
            <w:left w:w="15" w:type="dxa"/>
            <w:bottom w:w="15" w:type="dxa"/>
            <w:right w:w="15" w:type="dxa"/>
          </w:tblCellMar>
        </w:tblPrEx>
        <w:trPr>
          <w:trHeight w:val="389" w:hRule="atLeast"/>
          <w:jc w:val="center"/>
        </w:trPr>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主管部门</w:t>
            </w:r>
          </w:p>
        </w:tc>
        <w:tc>
          <w:tcPr>
            <w:tcW w:w="60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浏阳市金融事务中心</w:t>
            </w:r>
          </w:p>
        </w:tc>
        <w:tc>
          <w:tcPr>
            <w:tcW w:w="2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实施单位</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浏阳市金融事务中心</w:t>
            </w:r>
          </w:p>
        </w:tc>
      </w:tr>
      <w:tr>
        <w:tblPrEx>
          <w:tblCellMar>
            <w:top w:w="15" w:type="dxa"/>
            <w:left w:w="15" w:type="dxa"/>
            <w:bottom w:w="15" w:type="dxa"/>
            <w:right w:w="15" w:type="dxa"/>
          </w:tblCellMar>
        </w:tblPrEx>
        <w:trPr>
          <w:trHeight w:val="389" w:hRule="atLeast"/>
          <w:jc w:val="center"/>
        </w:trPr>
        <w:tc>
          <w:tcPr>
            <w:tcW w:w="17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项目资金（万元）</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年初预算数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全年预算数</w:t>
            </w:r>
          </w:p>
        </w:tc>
        <w:tc>
          <w:tcPr>
            <w:tcW w:w="2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全年执行数</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分值</w:t>
            </w:r>
          </w:p>
        </w:tc>
        <w:tc>
          <w:tcPr>
            <w:tcW w:w="11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执行率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得分</w:t>
            </w:r>
          </w:p>
        </w:tc>
      </w:tr>
      <w:tr>
        <w:tblPrEx>
          <w:tblCellMar>
            <w:top w:w="15" w:type="dxa"/>
            <w:left w:w="15" w:type="dxa"/>
            <w:bottom w:w="15" w:type="dxa"/>
            <w:right w:w="15" w:type="dxa"/>
          </w:tblCellMar>
        </w:tblPrEx>
        <w:trPr>
          <w:trHeight w:val="389" w:hRule="atLeast"/>
          <w:jc w:val="center"/>
        </w:trPr>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年度资金总额</w:t>
            </w:r>
          </w:p>
        </w:tc>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2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1380.28</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11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r>
      <w:tr>
        <w:tblPrEx>
          <w:tblCellMar>
            <w:top w:w="15" w:type="dxa"/>
            <w:left w:w="15" w:type="dxa"/>
            <w:bottom w:w="15" w:type="dxa"/>
            <w:right w:w="15" w:type="dxa"/>
          </w:tblCellMar>
        </w:tblPrEx>
        <w:trPr>
          <w:trHeight w:val="389" w:hRule="atLeast"/>
          <w:jc w:val="center"/>
        </w:trPr>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其中：当年财政拨款</w:t>
            </w:r>
          </w:p>
        </w:tc>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100.00</w:t>
            </w:r>
          </w:p>
        </w:tc>
        <w:tc>
          <w:tcPr>
            <w:tcW w:w="2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1004.73</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1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389" w:hRule="atLeast"/>
          <w:jc w:val="center"/>
        </w:trPr>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上年结转资金</w:t>
            </w:r>
          </w:p>
        </w:tc>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1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389" w:hRule="atLeast"/>
          <w:jc w:val="center"/>
        </w:trPr>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其他资金</w:t>
            </w:r>
          </w:p>
        </w:tc>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2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1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420" w:hRule="atLeast"/>
          <w:jc w:val="center"/>
        </w:trPr>
        <w:tc>
          <w:tcPr>
            <w:tcW w:w="17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年度总体目标</w:t>
            </w:r>
          </w:p>
        </w:tc>
        <w:tc>
          <w:tcPr>
            <w:tcW w:w="60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预期目标</w:t>
            </w:r>
          </w:p>
        </w:tc>
        <w:tc>
          <w:tcPr>
            <w:tcW w:w="59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实际完成情况</w:t>
            </w:r>
          </w:p>
        </w:tc>
      </w:tr>
      <w:tr>
        <w:tblPrEx>
          <w:tblCellMar>
            <w:top w:w="15" w:type="dxa"/>
            <w:left w:w="15" w:type="dxa"/>
            <w:bottom w:w="15" w:type="dxa"/>
            <w:right w:w="15" w:type="dxa"/>
          </w:tblCellMar>
        </w:tblPrEx>
        <w:trPr>
          <w:trHeight w:val="1950" w:hRule="atLeast"/>
          <w:jc w:val="center"/>
        </w:trPr>
        <w:tc>
          <w:tcPr>
            <w:tcW w:w="1719"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rPr>
                <w:rFonts w:ascii="Times New Roman" w:hAnsi="Times New Roman" w:eastAsia="仿宋_GB2312" w:cs="仿宋_GB2312"/>
                <w:color w:val="000000"/>
                <w:sz w:val="28"/>
                <w:szCs w:val="28"/>
              </w:rPr>
            </w:pPr>
          </w:p>
        </w:tc>
        <w:tc>
          <w:tcPr>
            <w:tcW w:w="6057"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金融工作专项经费支出32.12万元，主要用于保障金融工作正常运转、服务全市金融机构、推进金融改革创新等方面；信用体系建设支出10万元，主要用于构建良好的信用体系，维护健康的金融生态环境等方面；打击非法集资专项活动30万元，主要用于防范和处置非法集资活动，打好防范化解重大风险攻坚战等方面；湘赣边区域金融协作5万元，主要用于加强湘赣边区域的金融协作等方面；市级重点工作专项2.88万元，主要用于市级重点工作专项业务开展；资本市场县域工程建设经费20万元，主要用于建设全省资本市场县域工程试点</w:t>
            </w:r>
            <w:r>
              <w:rPr>
                <w:rFonts w:hint="eastAsia" w:ascii="Times New Roman" w:hAnsi="Times New Roman" w:eastAsia="仿宋_GB2312" w:cs="仿宋_GB2312"/>
                <w:color w:val="000000"/>
                <w:spacing w:val="-11"/>
                <w:kern w:val="0"/>
                <w:sz w:val="28"/>
                <w:szCs w:val="28"/>
              </w:rPr>
              <w:t>城市，构建多层次资本市场体系和梯次培育等方面。</w:t>
            </w:r>
          </w:p>
        </w:tc>
        <w:tc>
          <w:tcPr>
            <w:tcW w:w="5974" w:type="dxa"/>
            <w:gridSpan w:val="8"/>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2020年以来，金融事务中心深入贯彻市委市政府关于金融工作的部署，紧扣服务实体经济、防范金融风险、深化金融改革三项基本任务，敢于担当，主动作为，加强前瞻布局和精准施策，加大金融支持实体经济力度，狠抓企业上市培植，有力克服了疫情不利影响，取得了良好成效。</w:t>
            </w:r>
          </w:p>
        </w:tc>
      </w:tr>
      <w:tr>
        <w:tblPrEx>
          <w:tblCellMar>
            <w:top w:w="15" w:type="dxa"/>
            <w:left w:w="15" w:type="dxa"/>
            <w:bottom w:w="15" w:type="dxa"/>
            <w:right w:w="15" w:type="dxa"/>
          </w:tblCellMar>
        </w:tblPrEx>
        <w:trPr>
          <w:trHeight w:val="495" w:hRule="atLeast"/>
          <w:jc w:val="center"/>
        </w:trPr>
        <w:tc>
          <w:tcPr>
            <w:tcW w:w="631"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br w:type="page"/>
            </w:r>
            <w:r>
              <w:rPr>
                <w:rFonts w:hint="eastAsia" w:ascii="Times New Roman" w:hAnsi="Times New Roman" w:eastAsia="仿宋_GB2312" w:cs="仿宋_GB2312"/>
                <w:color w:val="000000"/>
                <w:kern w:val="0"/>
                <w:sz w:val="28"/>
                <w:szCs w:val="28"/>
              </w:rPr>
              <w:t>绩</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效</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指</w:t>
            </w:r>
            <w:r>
              <w:rPr>
                <w:rFonts w:hint="eastAsia" w:ascii="Times New Roman" w:hAnsi="Times New Roman" w:eastAsia="仿宋_GB2312" w:cs="仿宋_GB2312"/>
                <w:color w:val="000000"/>
                <w:kern w:val="0"/>
                <w:sz w:val="28"/>
                <w:szCs w:val="28"/>
              </w:rPr>
              <w:br w:type="textWrapping"/>
            </w:r>
            <w:r>
              <w:rPr>
                <w:rFonts w:hint="eastAsia" w:ascii="Times New Roman" w:hAnsi="Times New Roman" w:eastAsia="仿宋_GB2312" w:cs="仿宋_GB2312"/>
                <w:color w:val="000000"/>
                <w:kern w:val="0"/>
                <w:sz w:val="28"/>
                <w:szCs w:val="28"/>
              </w:rPr>
              <w:t>标</w:t>
            </w:r>
          </w:p>
        </w:tc>
        <w:tc>
          <w:tcPr>
            <w:tcW w:w="13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一级指标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二级指标</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三级指标</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年度指标值</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实际</w:t>
            </w:r>
          </w:p>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完成值</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分值</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得分</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pacing w:val="-17"/>
                <w:kern w:val="0"/>
                <w:sz w:val="28"/>
                <w:szCs w:val="28"/>
              </w:rPr>
              <w:t>偏差原因分析及改进措施</w:t>
            </w: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产出指标(50分)</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数量指标（</w:t>
            </w:r>
            <w:r>
              <w:rPr>
                <w:rStyle w:val="26"/>
                <w:rFonts w:hint="eastAsia" w:eastAsia="仿宋_GB2312" w:cs="仿宋_GB2312"/>
                <w:sz w:val="28"/>
                <w:szCs w:val="28"/>
              </w:rPr>
              <w:t>15</w:t>
            </w:r>
            <w:r>
              <w:rPr>
                <w:rFonts w:hint="eastAsia" w:ascii="Times New Roman" w:hAnsi="Times New Roman" w:eastAsia="仿宋_GB2312" w:cs="仿宋_GB2312"/>
                <w:color w:val="000000"/>
                <w:kern w:val="0"/>
                <w:sz w:val="28"/>
                <w:szCs w:val="28"/>
              </w:rPr>
              <w:t>）</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工作经费使用率</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工作经费使用率＝（实际发放口粮补贴金额/预算安排发放口粮补贴金额）*100%</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15</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15</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质量指标（</w:t>
            </w:r>
            <w:r>
              <w:rPr>
                <w:rStyle w:val="26"/>
                <w:rFonts w:hint="eastAsia" w:eastAsia="仿宋_GB2312" w:cs="仿宋_GB2312"/>
                <w:sz w:val="28"/>
                <w:szCs w:val="28"/>
              </w:rPr>
              <w:t>20</w:t>
            </w:r>
            <w:r>
              <w:rPr>
                <w:rFonts w:hint="eastAsia" w:ascii="Times New Roman" w:hAnsi="Times New Roman" w:eastAsia="仿宋_GB2312" w:cs="仿宋_GB2312"/>
                <w:color w:val="000000"/>
                <w:kern w:val="0"/>
                <w:sz w:val="28"/>
                <w:szCs w:val="28"/>
              </w:rPr>
              <w:t>）</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验收合格率</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验收合格率＝（实际项目验收合格数量/预算安排投入项目数量）*100%</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20</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时效指标（</w:t>
            </w:r>
            <w:r>
              <w:rPr>
                <w:rStyle w:val="26"/>
                <w:rFonts w:hint="eastAsia" w:eastAsia="仿宋_GB2312" w:cs="仿宋_GB2312"/>
                <w:sz w:val="28"/>
                <w:szCs w:val="28"/>
              </w:rPr>
              <w:t>5</w:t>
            </w:r>
            <w:r>
              <w:rPr>
                <w:rFonts w:hint="eastAsia" w:ascii="Times New Roman" w:hAnsi="Times New Roman" w:eastAsia="仿宋_GB2312" w:cs="仿宋_GB2312"/>
                <w:color w:val="000000"/>
                <w:kern w:val="0"/>
                <w:sz w:val="28"/>
                <w:szCs w:val="28"/>
              </w:rPr>
              <w:t>）</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目标完成及时率</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目标完成及时率＝（项目实际完成数/上级交办或下达数）*100%</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5</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成本指标（</w:t>
            </w:r>
            <w:r>
              <w:rPr>
                <w:rStyle w:val="26"/>
                <w:rFonts w:hint="eastAsia" w:eastAsia="仿宋_GB2312" w:cs="仿宋_GB2312"/>
                <w:sz w:val="28"/>
                <w:szCs w:val="28"/>
              </w:rPr>
              <w:t>10）</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项目预算控制率</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项目预算控制率=（实际项目支出金额/预算安排投入项目金额）*100%</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效益指标（40分）</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经济效益指标（10）</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防控金融风险，维护金融秩序</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取得促进作用</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社会效益指标（10）</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优化营商环境、持续激发市场活力</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取得促进作用</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生态效益指标（10）</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聚焦产业项目建设，加快经济转型升级</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取得促进作用</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left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可持续影响指标（</w:t>
            </w:r>
            <w:r>
              <w:rPr>
                <w:rStyle w:val="26"/>
                <w:rFonts w:hint="eastAsia" w:eastAsia="仿宋_GB2312" w:cs="仿宋_GB2312"/>
                <w:sz w:val="28"/>
                <w:szCs w:val="28"/>
              </w:rPr>
              <w:t>10</w:t>
            </w:r>
            <w:r>
              <w:rPr>
                <w:rFonts w:hint="eastAsia" w:ascii="Times New Roman" w:hAnsi="Times New Roman" w:eastAsia="仿宋_GB2312" w:cs="仿宋_GB2312"/>
                <w:color w:val="000000"/>
                <w:kern w:val="0"/>
                <w:sz w:val="28"/>
                <w:szCs w:val="28"/>
              </w:rPr>
              <w:t>）</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完善金融体系，发展壮大金融产业</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取得促进作用</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55" w:hRule="atLeast"/>
          <w:jc w:val="center"/>
        </w:trPr>
        <w:tc>
          <w:tcPr>
            <w:tcW w:w="631"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369"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仿宋_GB2312"/>
                <w:color w:val="000000"/>
                <w:sz w:val="28"/>
                <w:szCs w:val="2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服务对象满意度指标（</w:t>
            </w:r>
            <w:r>
              <w:rPr>
                <w:rStyle w:val="26"/>
                <w:rFonts w:hint="eastAsia" w:eastAsia="仿宋_GB2312" w:cs="仿宋_GB2312"/>
                <w:sz w:val="28"/>
                <w:szCs w:val="28"/>
              </w:rPr>
              <w:t>10</w:t>
            </w:r>
            <w:r>
              <w:rPr>
                <w:rFonts w:hint="eastAsia" w:ascii="Times New Roman" w:hAnsi="Times New Roman" w:eastAsia="仿宋_GB2312" w:cs="仿宋_GB2312"/>
                <w:color w:val="000000"/>
                <w:kern w:val="0"/>
                <w:sz w:val="28"/>
                <w:szCs w:val="28"/>
              </w:rPr>
              <w:t>）</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社会和人民群众满意度的评价</w:t>
            </w:r>
          </w:p>
        </w:tc>
        <w:tc>
          <w:tcPr>
            <w:tcW w:w="4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满意度达95</w:t>
            </w:r>
            <w:r>
              <w:rPr>
                <w:rStyle w:val="26"/>
                <w:rFonts w:hint="eastAsia" w:eastAsia="仿宋_GB2312" w:cs="仿宋_GB2312"/>
                <w:sz w:val="28"/>
                <w:szCs w:val="28"/>
              </w:rPr>
              <w:t>%</w:t>
            </w:r>
            <w:r>
              <w:rPr>
                <w:rFonts w:hint="eastAsia" w:ascii="Times New Roman" w:hAnsi="Times New Roman" w:eastAsia="仿宋_GB2312" w:cs="仿宋_GB2312"/>
                <w:color w:val="000000"/>
                <w:kern w:val="0"/>
                <w:sz w:val="28"/>
                <w:szCs w:val="28"/>
              </w:rPr>
              <w:t>及以上</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大于92%</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r>
        <w:tblPrEx>
          <w:tblCellMar>
            <w:top w:w="15" w:type="dxa"/>
            <w:left w:w="15" w:type="dxa"/>
            <w:bottom w:w="15" w:type="dxa"/>
            <w:right w:w="15" w:type="dxa"/>
          </w:tblCellMar>
        </w:tblPrEx>
        <w:trPr>
          <w:trHeight w:val="510" w:hRule="atLeast"/>
          <w:jc w:val="center"/>
        </w:trPr>
        <w:tc>
          <w:tcPr>
            <w:tcW w:w="1090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总分</w:t>
            </w:r>
          </w:p>
        </w:tc>
        <w:tc>
          <w:tcPr>
            <w:tcW w:w="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100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96</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仿宋_GB2312"/>
                <w:color w:val="000000"/>
                <w:sz w:val="28"/>
                <w:szCs w:val="28"/>
              </w:rPr>
            </w:pPr>
          </w:p>
        </w:tc>
      </w:tr>
    </w:tbl>
    <w:p>
      <w:pPr>
        <w:pStyle w:val="2"/>
        <w:spacing w:after="0" w:line="600" w:lineRule="exact"/>
        <w:ind w:left="0" w:leftChars="0" w:right="1470"/>
        <w:rPr>
          <w:rFonts w:ascii="Times New Roman" w:hAnsi="Times New Roman" w:eastAsia="黑体"/>
          <w:sz w:val="32"/>
          <w:szCs w:val="32"/>
        </w:rPr>
      </w:pPr>
      <w:r>
        <w:rPr>
          <w:rFonts w:ascii="Times New Roman" w:hAnsi="Times New Roman" w:eastAsia="黑体"/>
          <w:sz w:val="32"/>
          <w:szCs w:val="32"/>
        </w:rPr>
        <w:t>附件4</w:t>
      </w:r>
    </w:p>
    <w:p>
      <w:pPr>
        <w:pStyle w:val="2"/>
        <w:spacing w:after="156" w:afterLines="50" w:line="500" w:lineRule="exact"/>
        <w:ind w:left="0" w:leftChars="0" w:right="147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2021年项目支出绩效目标执行监控表</w:t>
      </w:r>
    </w:p>
    <w:tbl>
      <w:tblPr>
        <w:tblStyle w:val="13"/>
        <w:tblW w:w="13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2"/>
        <w:gridCol w:w="437"/>
        <w:gridCol w:w="718"/>
        <w:gridCol w:w="1808"/>
        <w:gridCol w:w="2443"/>
        <w:gridCol w:w="1298"/>
        <w:gridCol w:w="815"/>
        <w:gridCol w:w="654"/>
        <w:gridCol w:w="648"/>
        <w:gridCol w:w="432"/>
        <w:gridCol w:w="536"/>
        <w:gridCol w:w="430"/>
        <w:gridCol w:w="441"/>
        <w:gridCol w:w="585"/>
        <w:gridCol w:w="12"/>
        <w:gridCol w:w="579"/>
        <w:gridCol w:w="569"/>
        <w:gridCol w:w="177"/>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820"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项目名称</w:t>
            </w:r>
          </w:p>
        </w:tc>
        <w:tc>
          <w:tcPr>
            <w:tcW w:w="11914" w:type="dxa"/>
            <w:gridSpan w:val="16"/>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业务工作经费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1820"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主管部门及代码</w:t>
            </w:r>
          </w:p>
        </w:tc>
        <w:tc>
          <w:tcPr>
            <w:tcW w:w="5551"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浏阳市金融事务中心</w:t>
            </w:r>
          </w:p>
        </w:tc>
        <w:tc>
          <w:tcPr>
            <w:tcW w:w="1471" w:type="dxa"/>
            <w:gridSpan w:val="2"/>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实施单位</w:t>
            </w:r>
          </w:p>
        </w:tc>
        <w:tc>
          <w:tcPr>
            <w:tcW w:w="4892" w:type="dxa"/>
            <w:gridSpan w:val="11"/>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浏阳市金融事务中心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1820" w:type="dxa"/>
            <w:gridSpan w:val="3"/>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项目资金（万元）</w:t>
            </w:r>
          </w:p>
        </w:tc>
        <w:tc>
          <w:tcPr>
            <w:tcW w:w="5551"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2120"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年初预算数</w:t>
            </w:r>
          </w:p>
        </w:tc>
        <w:tc>
          <w:tcPr>
            <w:tcW w:w="1395"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1-6月执行数</w:t>
            </w:r>
          </w:p>
        </w:tc>
        <w:tc>
          <w:tcPr>
            <w:tcW w:w="1036"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1-6月执行率</w:t>
            </w:r>
          </w:p>
        </w:tc>
        <w:tc>
          <w:tcPr>
            <w:tcW w:w="579"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746" w:type="dxa"/>
            <w:gridSpan w:val="2"/>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87"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1820" w:type="dxa"/>
            <w:gridSpan w:val="3"/>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5551" w:type="dxa"/>
            <w:gridSpan w:val="3"/>
            <w:shd w:val="clear" w:color="auto" w:fill="auto"/>
            <w:vAlign w:val="center"/>
          </w:tcPr>
          <w:p>
            <w:pPr>
              <w:widowControl/>
              <w:spacing w:line="28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年度资金总额：</w:t>
            </w:r>
          </w:p>
        </w:tc>
        <w:tc>
          <w:tcPr>
            <w:tcW w:w="2120"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 xml:space="preserve">110.00 </w:t>
            </w:r>
          </w:p>
        </w:tc>
        <w:tc>
          <w:tcPr>
            <w:tcW w:w="1395"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1036"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579"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746" w:type="dxa"/>
            <w:gridSpan w:val="2"/>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87"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1820" w:type="dxa"/>
            <w:gridSpan w:val="3"/>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5551" w:type="dxa"/>
            <w:gridSpan w:val="3"/>
            <w:shd w:val="clear" w:color="auto" w:fill="auto"/>
            <w:vAlign w:val="center"/>
          </w:tcPr>
          <w:p>
            <w:pPr>
              <w:widowControl/>
              <w:spacing w:line="28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其中：本年一般公共预算拨款</w:t>
            </w:r>
          </w:p>
        </w:tc>
        <w:tc>
          <w:tcPr>
            <w:tcW w:w="2120"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 xml:space="preserve">110.00 </w:t>
            </w:r>
          </w:p>
        </w:tc>
        <w:tc>
          <w:tcPr>
            <w:tcW w:w="1395"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1036"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579"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746" w:type="dxa"/>
            <w:gridSpan w:val="2"/>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87"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1820" w:type="dxa"/>
            <w:gridSpan w:val="3"/>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5551" w:type="dxa"/>
            <w:gridSpan w:val="3"/>
            <w:shd w:val="clear" w:color="auto" w:fill="auto"/>
            <w:vAlign w:val="center"/>
          </w:tcPr>
          <w:p>
            <w:pPr>
              <w:widowControl/>
              <w:spacing w:line="28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其他资金</w:t>
            </w:r>
          </w:p>
        </w:tc>
        <w:tc>
          <w:tcPr>
            <w:tcW w:w="2120" w:type="dxa"/>
            <w:gridSpan w:val="3"/>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0</w:t>
            </w:r>
          </w:p>
        </w:tc>
        <w:tc>
          <w:tcPr>
            <w:tcW w:w="1395"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1036" w:type="dxa"/>
            <w:gridSpan w:val="3"/>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579"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746" w:type="dxa"/>
            <w:gridSpan w:val="2"/>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87" w:type="dxa"/>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64"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年度总体目标</w:t>
            </w:r>
          </w:p>
        </w:tc>
        <w:tc>
          <w:tcPr>
            <w:tcW w:w="13070" w:type="dxa"/>
            <w:gridSpan w:val="18"/>
            <w:shd w:val="clear" w:color="auto" w:fill="auto"/>
            <w:vAlign w:val="center"/>
          </w:tcPr>
          <w:p>
            <w:pPr>
              <w:widowControl/>
              <w:spacing w:line="28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1、充分保障部门正常运转。 2、提高金融服务水平，建立健全现代金融市场信用体系。3、坚决打好防范重大风险攻坚战，深化金融创安工作。 4、打好打赢精准脱贫攻坚战，认真扎实做好金融扶贫、驻村帮扶、结对帮扶等相关工作。5、全面落实资本市场县域工程试点各项工作任务。6、全面完成年度各项工作任务。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664"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绩效指标</w:t>
            </w:r>
          </w:p>
        </w:tc>
        <w:tc>
          <w:tcPr>
            <w:tcW w:w="437"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一级指标</w:t>
            </w:r>
          </w:p>
        </w:tc>
        <w:tc>
          <w:tcPr>
            <w:tcW w:w="719"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C</w:t>
            </w:r>
          </w:p>
        </w:tc>
        <w:tc>
          <w:tcPr>
            <w:tcW w:w="1807"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三级指标</w:t>
            </w:r>
          </w:p>
        </w:tc>
        <w:tc>
          <w:tcPr>
            <w:tcW w:w="2445"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年度指标值</w:t>
            </w:r>
          </w:p>
        </w:tc>
        <w:tc>
          <w:tcPr>
            <w:tcW w:w="1299"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1月</w:t>
            </w:r>
            <w:r>
              <w:rPr>
                <w:rStyle w:val="27"/>
                <w:rFonts w:hint="eastAsia" w:eastAsia="仿宋_GB2312" w:cs="仿宋_GB2312"/>
                <w:sz w:val="24"/>
                <w:szCs w:val="24"/>
              </w:rPr>
              <w:t>6</w:t>
            </w:r>
            <w:r>
              <w:rPr>
                <w:rFonts w:hint="eastAsia" w:ascii="Times New Roman" w:hAnsi="Times New Roman" w:eastAsia="仿宋_GB2312" w:cs="仿宋_GB2312"/>
                <w:color w:val="000000"/>
                <w:kern w:val="0"/>
                <w:sz w:val="24"/>
                <w:szCs w:val="24"/>
              </w:rPr>
              <w:t>日</w:t>
            </w:r>
          </w:p>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执行情况</w:t>
            </w:r>
          </w:p>
        </w:tc>
        <w:tc>
          <w:tcPr>
            <w:tcW w:w="816"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全年预计完成情况</w:t>
            </w:r>
          </w:p>
        </w:tc>
        <w:tc>
          <w:tcPr>
            <w:tcW w:w="3138" w:type="dxa"/>
            <w:gridSpan w:val="6"/>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偏差原因分析</w:t>
            </w:r>
          </w:p>
        </w:tc>
        <w:tc>
          <w:tcPr>
            <w:tcW w:w="1742" w:type="dxa"/>
            <w:gridSpan w:val="4"/>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完成目标可能性</w:t>
            </w:r>
          </w:p>
        </w:tc>
        <w:tc>
          <w:tcPr>
            <w:tcW w:w="667" w:type="dxa"/>
            <w:gridSpan w:val="2"/>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664"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719"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1807"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2445"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1299"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816"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655"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经费保障</w:t>
            </w:r>
          </w:p>
        </w:tc>
        <w:tc>
          <w:tcPr>
            <w:tcW w:w="64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制度保障</w:t>
            </w:r>
          </w:p>
        </w:tc>
        <w:tc>
          <w:tcPr>
            <w:tcW w:w="430"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人员保障</w:t>
            </w:r>
          </w:p>
        </w:tc>
        <w:tc>
          <w:tcPr>
            <w:tcW w:w="535"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硬件条件保障</w:t>
            </w:r>
          </w:p>
        </w:tc>
        <w:tc>
          <w:tcPr>
            <w:tcW w:w="430"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其他保障</w:t>
            </w:r>
          </w:p>
        </w:tc>
        <w:tc>
          <w:tcPr>
            <w:tcW w:w="43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原因说明</w:t>
            </w:r>
          </w:p>
        </w:tc>
        <w:tc>
          <w:tcPr>
            <w:tcW w:w="597" w:type="dxa"/>
            <w:gridSpan w:val="2"/>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确定能</w:t>
            </w:r>
          </w:p>
        </w:tc>
        <w:tc>
          <w:tcPr>
            <w:tcW w:w="57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有可能</w:t>
            </w:r>
          </w:p>
        </w:tc>
        <w:tc>
          <w:tcPr>
            <w:tcW w:w="566"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完全不可能</w:t>
            </w:r>
          </w:p>
        </w:tc>
        <w:tc>
          <w:tcPr>
            <w:tcW w:w="667" w:type="dxa"/>
            <w:gridSpan w:val="2"/>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37" w:type="dxa"/>
            <w:vMerge w:val="restart"/>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产出指标</w:t>
            </w:r>
          </w:p>
        </w:tc>
        <w:tc>
          <w:tcPr>
            <w:tcW w:w="71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数量指标</w:t>
            </w:r>
          </w:p>
        </w:tc>
        <w:tc>
          <w:tcPr>
            <w:tcW w:w="1807" w:type="dxa"/>
            <w:shd w:val="clear" w:color="auto" w:fill="auto"/>
            <w:vAlign w:val="center"/>
          </w:tcPr>
          <w:p>
            <w:pPr>
              <w:widowControl/>
              <w:spacing w:line="28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工作经费使用率</w:t>
            </w:r>
          </w:p>
        </w:tc>
        <w:tc>
          <w:tcPr>
            <w:tcW w:w="2445" w:type="dxa"/>
            <w:shd w:val="clear" w:color="auto" w:fill="auto"/>
            <w:vAlign w:val="center"/>
          </w:tcPr>
          <w:p>
            <w:pPr>
              <w:widowControl/>
              <w:spacing w:line="28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工作经费使用率＝（实际发放口粮补贴金额/预算安排发放口粮补贴金额）*100%</w:t>
            </w:r>
          </w:p>
        </w:tc>
        <w:tc>
          <w:tcPr>
            <w:tcW w:w="129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430"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535"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430"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439"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597" w:type="dxa"/>
            <w:gridSpan w:val="2"/>
            <w:shd w:val="clear" w:color="auto" w:fill="auto"/>
            <w:vAlign w:val="center"/>
          </w:tcPr>
          <w:p>
            <w:pPr>
              <w:widowControl/>
              <w:spacing w:line="28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79"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566"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trPr>
        <w:tc>
          <w:tcPr>
            <w:tcW w:w="664" w:type="dxa"/>
            <w:vMerge w:val="continue"/>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widowControl/>
              <w:spacing w:line="280" w:lineRule="exact"/>
              <w:jc w:val="center"/>
              <w:textAlignment w:val="center"/>
              <w:rPr>
                <w:rFonts w:ascii="Times New Roman" w:hAnsi="Times New Roman" w:eastAsia="仿宋_GB2312" w:cs="仿宋_GB2312"/>
                <w:color w:val="000000"/>
                <w:kern w:val="0"/>
                <w:sz w:val="24"/>
                <w:szCs w:val="24"/>
              </w:rPr>
            </w:pPr>
          </w:p>
        </w:tc>
        <w:tc>
          <w:tcPr>
            <w:tcW w:w="71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质量指标</w:t>
            </w:r>
          </w:p>
        </w:tc>
        <w:tc>
          <w:tcPr>
            <w:tcW w:w="1807" w:type="dxa"/>
            <w:shd w:val="clear" w:color="auto" w:fill="auto"/>
            <w:vAlign w:val="center"/>
          </w:tcPr>
          <w:p>
            <w:pPr>
              <w:widowControl/>
              <w:spacing w:line="280" w:lineRule="exact"/>
              <w:jc w:val="left"/>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验收合格率</w:t>
            </w:r>
          </w:p>
        </w:tc>
        <w:tc>
          <w:tcPr>
            <w:tcW w:w="2445" w:type="dxa"/>
            <w:shd w:val="clear" w:color="auto" w:fill="auto"/>
            <w:vAlign w:val="center"/>
          </w:tcPr>
          <w:p>
            <w:pPr>
              <w:widowControl/>
              <w:spacing w:line="280" w:lineRule="exact"/>
              <w:jc w:val="left"/>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验收合格率＝（实际项目验收合格数量/预算安排投入项目数量）*100%</w:t>
            </w:r>
          </w:p>
        </w:tc>
        <w:tc>
          <w:tcPr>
            <w:tcW w:w="1299"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28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430"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535"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430"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439"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597" w:type="dxa"/>
            <w:gridSpan w:val="2"/>
            <w:shd w:val="clear" w:color="auto" w:fill="auto"/>
            <w:vAlign w:val="center"/>
          </w:tcPr>
          <w:p>
            <w:pPr>
              <w:widowControl/>
              <w:spacing w:line="28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w:t>
            </w:r>
          </w:p>
        </w:tc>
        <w:tc>
          <w:tcPr>
            <w:tcW w:w="579"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566" w:type="dxa"/>
            <w:shd w:val="clear" w:color="auto" w:fill="auto"/>
            <w:vAlign w:val="center"/>
          </w:tcPr>
          <w:p>
            <w:pPr>
              <w:widowControl/>
              <w:spacing w:line="28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widowControl/>
              <w:spacing w:line="28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restart"/>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绩效指标</w:t>
            </w:r>
            <w:r>
              <w:rPr>
                <w:rFonts w:hint="eastAsia" w:ascii="Times New Roman" w:hAnsi="Times New Roman" w:eastAsia="仿宋_GB2312" w:cs="仿宋_GB2312"/>
                <w:color w:val="000000"/>
                <w:sz w:val="24"/>
                <w:szCs w:val="24"/>
              </w:rPr>
              <w:br w:type="page"/>
            </w:r>
          </w:p>
        </w:tc>
        <w:tc>
          <w:tcPr>
            <w:tcW w:w="437"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一级指标</w:t>
            </w:r>
          </w:p>
        </w:tc>
        <w:tc>
          <w:tcPr>
            <w:tcW w:w="719"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一级指标</w:t>
            </w:r>
          </w:p>
        </w:tc>
        <w:tc>
          <w:tcPr>
            <w:tcW w:w="1807"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三级指标</w:t>
            </w:r>
          </w:p>
        </w:tc>
        <w:tc>
          <w:tcPr>
            <w:tcW w:w="2445"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年度指标值</w:t>
            </w:r>
          </w:p>
        </w:tc>
        <w:tc>
          <w:tcPr>
            <w:tcW w:w="1299"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1月</w:t>
            </w:r>
            <w:r>
              <w:rPr>
                <w:rStyle w:val="27"/>
                <w:rFonts w:hint="eastAsia" w:eastAsia="仿宋_GB2312" w:cs="仿宋_GB2312"/>
                <w:sz w:val="24"/>
                <w:szCs w:val="24"/>
              </w:rPr>
              <w:t>6</w:t>
            </w:r>
            <w:r>
              <w:rPr>
                <w:rFonts w:hint="eastAsia" w:ascii="Times New Roman" w:hAnsi="Times New Roman" w:eastAsia="仿宋_GB2312" w:cs="仿宋_GB2312"/>
                <w:color w:val="000000"/>
                <w:kern w:val="0"/>
                <w:sz w:val="24"/>
                <w:szCs w:val="24"/>
              </w:rPr>
              <w:t>日</w:t>
            </w:r>
          </w:p>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执行情况</w:t>
            </w:r>
          </w:p>
        </w:tc>
        <w:tc>
          <w:tcPr>
            <w:tcW w:w="816"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全年预计完成情况</w:t>
            </w:r>
          </w:p>
        </w:tc>
        <w:tc>
          <w:tcPr>
            <w:tcW w:w="3138" w:type="dxa"/>
            <w:gridSpan w:val="6"/>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偏差原因分析</w:t>
            </w:r>
          </w:p>
        </w:tc>
        <w:tc>
          <w:tcPr>
            <w:tcW w:w="1742" w:type="dxa"/>
            <w:gridSpan w:val="4"/>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完成目标可能性</w:t>
            </w:r>
          </w:p>
        </w:tc>
        <w:tc>
          <w:tcPr>
            <w:tcW w:w="667" w:type="dxa"/>
            <w:gridSpan w:val="2"/>
            <w:vMerge w:val="restart"/>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719"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1807" w:type="dxa"/>
            <w:vMerge w:val="continue"/>
            <w:shd w:val="clear" w:color="auto" w:fill="auto"/>
            <w:vAlign w:val="center"/>
          </w:tcPr>
          <w:p>
            <w:pPr>
              <w:widowControl/>
              <w:spacing w:line="320" w:lineRule="exact"/>
              <w:jc w:val="left"/>
              <w:textAlignment w:val="center"/>
              <w:rPr>
                <w:rFonts w:ascii="Times New Roman" w:hAnsi="Times New Roman" w:eastAsia="仿宋_GB2312" w:cs="仿宋_GB2312"/>
                <w:color w:val="000000"/>
                <w:kern w:val="0"/>
                <w:sz w:val="24"/>
                <w:szCs w:val="24"/>
              </w:rPr>
            </w:pPr>
          </w:p>
        </w:tc>
        <w:tc>
          <w:tcPr>
            <w:tcW w:w="2445" w:type="dxa"/>
            <w:vMerge w:val="continue"/>
            <w:shd w:val="clear" w:color="auto" w:fill="auto"/>
            <w:vAlign w:val="center"/>
          </w:tcPr>
          <w:p>
            <w:pPr>
              <w:widowControl/>
              <w:spacing w:line="320" w:lineRule="exact"/>
              <w:jc w:val="left"/>
              <w:textAlignment w:val="center"/>
              <w:rPr>
                <w:rFonts w:ascii="Times New Roman" w:hAnsi="Times New Roman" w:eastAsia="仿宋_GB2312" w:cs="仿宋_GB2312"/>
                <w:color w:val="000000"/>
                <w:kern w:val="0"/>
                <w:sz w:val="24"/>
                <w:szCs w:val="24"/>
              </w:rPr>
            </w:pPr>
          </w:p>
        </w:tc>
        <w:tc>
          <w:tcPr>
            <w:tcW w:w="1299"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816"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65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经费保障</w:t>
            </w:r>
          </w:p>
        </w:tc>
        <w:tc>
          <w:tcPr>
            <w:tcW w:w="64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制度保障</w:t>
            </w:r>
          </w:p>
        </w:tc>
        <w:tc>
          <w:tcPr>
            <w:tcW w:w="430"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人员保障</w:t>
            </w:r>
          </w:p>
        </w:tc>
        <w:tc>
          <w:tcPr>
            <w:tcW w:w="53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硬件条件保障</w:t>
            </w:r>
          </w:p>
        </w:tc>
        <w:tc>
          <w:tcPr>
            <w:tcW w:w="430"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其他保障</w:t>
            </w:r>
          </w:p>
        </w:tc>
        <w:tc>
          <w:tcPr>
            <w:tcW w:w="43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原因说明</w:t>
            </w:r>
          </w:p>
        </w:tc>
        <w:tc>
          <w:tcPr>
            <w:tcW w:w="597"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确定能</w:t>
            </w:r>
          </w:p>
        </w:tc>
        <w:tc>
          <w:tcPr>
            <w:tcW w:w="57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有可能</w:t>
            </w:r>
          </w:p>
        </w:tc>
        <w:tc>
          <w:tcPr>
            <w:tcW w:w="56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完全不可能</w:t>
            </w:r>
          </w:p>
        </w:tc>
        <w:tc>
          <w:tcPr>
            <w:tcW w:w="667" w:type="dxa"/>
            <w:gridSpan w:val="2"/>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restart"/>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产出指标</w:t>
            </w: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时效指标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目标完成及时率</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目标完成及时率＝（项目实际完成数/上级交办或下达数）*100%</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成本指标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项目预算控制率</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项目预算控制率=（实际项目支出金额/预算安排投入项目金额）*100%</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效益指标</w:t>
            </w: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经济效益指标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防控金融风险，维护金融秩序</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取得促进作用</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6"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社会效益指标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pacing w:val="-6"/>
                <w:kern w:val="0"/>
                <w:sz w:val="24"/>
                <w:szCs w:val="24"/>
              </w:rPr>
              <w:t>优化营商环境、持续激发市场活力</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取得促进作用</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生态效益指标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聚焦产业项目建设，加快经济转型升级</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取得促进作用</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center"/>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可持续影响指标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pacing w:val="-6"/>
                <w:kern w:val="0"/>
                <w:sz w:val="24"/>
                <w:szCs w:val="24"/>
              </w:rPr>
              <w:t>完善金融体系，发展壮大金融产业</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取得促进作用</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100%</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left"/>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restart"/>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绩效指标</w:t>
            </w:r>
          </w:p>
        </w:tc>
        <w:tc>
          <w:tcPr>
            <w:tcW w:w="437"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一级指标</w:t>
            </w:r>
          </w:p>
        </w:tc>
        <w:tc>
          <w:tcPr>
            <w:tcW w:w="716"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一级指标</w:t>
            </w:r>
          </w:p>
        </w:tc>
        <w:tc>
          <w:tcPr>
            <w:tcW w:w="1810"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spacing w:val="-6"/>
                <w:kern w:val="0"/>
                <w:sz w:val="24"/>
                <w:szCs w:val="24"/>
              </w:rPr>
            </w:pPr>
            <w:r>
              <w:rPr>
                <w:rFonts w:hint="eastAsia" w:ascii="Times New Roman" w:hAnsi="Times New Roman" w:eastAsia="仿宋_GB2312" w:cs="仿宋_GB2312"/>
                <w:color w:val="000000"/>
                <w:kern w:val="0"/>
                <w:sz w:val="24"/>
                <w:szCs w:val="24"/>
              </w:rPr>
              <w:t>三级指标</w:t>
            </w:r>
          </w:p>
        </w:tc>
        <w:tc>
          <w:tcPr>
            <w:tcW w:w="2445"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年度指标值</w:t>
            </w:r>
          </w:p>
        </w:tc>
        <w:tc>
          <w:tcPr>
            <w:tcW w:w="1299"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1月</w:t>
            </w:r>
            <w:r>
              <w:rPr>
                <w:rStyle w:val="27"/>
                <w:rFonts w:hint="eastAsia" w:eastAsia="仿宋_GB2312" w:cs="仿宋_GB2312"/>
                <w:sz w:val="24"/>
                <w:szCs w:val="24"/>
              </w:rPr>
              <w:t>6</w:t>
            </w:r>
            <w:r>
              <w:rPr>
                <w:rFonts w:hint="eastAsia" w:ascii="Times New Roman" w:hAnsi="Times New Roman" w:eastAsia="仿宋_GB2312" w:cs="仿宋_GB2312"/>
                <w:color w:val="000000"/>
                <w:kern w:val="0"/>
                <w:sz w:val="24"/>
                <w:szCs w:val="24"/>
              </w:rPr>
              <w:t>日</w:t>
            </w:r>
          </w:p>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执行情况</w:t>
            </w:r>
          </w:p>
        </w:tc>
        <w:tc>
          <w:tcPr>
            <w:tcW w:w="816" w:type="dxa"/>
            <w:vMerge w:val="restart"/>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全年预计完成情况</w:t>
            </w:r>
          </w:p>
        </w:tc>
        <w:tc>
          <w:tcPr>
            <w:tcW w:w="3140" w:type="dxa"/>
            <w:gridSpan w:val="6"/>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偏差原因分析</w:t>
            </w:r>
          </w:p>
        </w:tc>
        <w:tc>
          <w:tcPr>
            <w:tcW w:w="1740" w:type="dxa"/>
            <w:gridSpan w:val="4"/>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完成目标可能性</w:t>
            </w:r>
          </w:p>
        </w:tc>
        <w:tc>
          <w:tcPr>
            <w:tcW w:w="667" w:type="dxa"/>
            <w:gridSpan w:val="2"/>
            <w:vMerge w:val="restart"/>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716"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1810" w:type="dxa"/>
            <w:vMerge w:val="continue"/>
            <w:shd w:val="clear" w:color="auto" w:fill="auto"/>
            <w:vAlign w:val="center"/>
          </w:tcPr>
          <w:p>
            <w:pPr>
              <w:widowControl/>
              <w:spacing w:line="320" w:lineRule="exact"/>
              <w:jc w:val="left"/>
              <w:textAlignment w:val="center"/>
              <w:rPr>
                <w:rFonts w:ascii="Times New Roman" w:hAnsi="Times New Roman" w:eastAsia="仿宋_GB2312" w:cs="仿宋_GB2312"/>
                <w:color w:val="000000"/>
                <w:spacing w:val="-6"/>
                <w:kern w:val="0"/>
                <w:sz w:val="24"/>
                <w:szCs w:val="24"/>
              </w:rPr>
            </w:pPr>
          </w:p>
        </w:tc>
        <w:tc>
          <w:tcPr>
            <w:tcW w:w="2445" w:type="dxa"/>
            <w:vMerge w:val="continue"/>
            <w:shd w:val="clear" w:color="auto" w:fill="auto"/>
            <w:vAlign w:val="center"/>
          </w:tcPr>
          <w:p>
            <w:pPr>
              <w:widowControl/>
              <w:spacing w:line="320" w:lineRule="exact"/>
              <w:jc w:val="left"/>
              <w:textAlignment w:val="center"/>
              <w:rPr>
                <w:rFonts w:ascii="Times New Roman" w:hAnsi="Times New Roman" w:eastAsia="仿宋_GB2312" w:cs="仿宋_GB2312"/>
                <w:color w:val="000000"/>
                <w:kern w:val="0"/>
                <w:sz w:val="24"/>
                <w:szCs w:val="24"/>
              </w:rPr>
            </w:pPr>
          </w:p>
        </w:tc>
        <w:tc>
          <w:tcPr>
            <w:tcW w:w="1299"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816" w:type="dxa"/>
            <w:vMerge w:val="continue"/>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65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经费保障</w:t>
            </w:r>
          </w:p>
        </w:tc>
        <w:tc>
          <w:tcPr>
            <w:tcW w:w="64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制度保障</w:t>
            </w:r>
          </w:p>
        </w:tc>
        <w:tc>
          <w:tcPr>
            <w:tcW w:w="432"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人员保障</w:t>
            </w:r>
          </w:p>
        </w:tc>
        <w:tc>
          <w:tcPr>
            <w:tcW w:w="53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硬件条件保障</w:t>
            </w:r>
          </w:p>
        </w:tc>
        <w:tc>
          <w:tcPr>
            <w:tcW w:w="427"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其他保障</w:t>
            </w:r>
          </w:p>
        </w:tc>
        <w:tc>
          <w:tcPr>
            <w:tcW w:w="441"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原因说明</w:t>
            </w: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确定能</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有可能</w:t>
            </w:r>
          </w:p>
        </w:tc>
        <w:tc>
          <w:tcPr>
            <w:tcW w:w="56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完全不可能</w:t>
            </w:r>
          </w:p>
        </w:tc>
        <w:tc>
          <w:tcPr>
            <w:tcW w:w="667" w:type="dxa"/>
            <w:gridSpan w:val="2"/>
            <w:vMerge w:val="continue"/>
            <w:shd w:val="clear" w:color="auto" w:fill="auto"/>
            <w:vAlign w:val="center"/>
          </w:tcPr>
          <w:p>
            <w:pPr>
              <w:spacing w:line="320" w:lineRule="exact"/>
              <w:jc w:val="left"/>
              <w:rPr>
                <w:rFonts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664" w:type="dxa"/>
            <w:vMerge w:val="continue"/>
            <w:shd w:val="clear" w:color="auto" w:fill="auto"/>
            <w:vAlign w:val="center"/>
          </w:tcPr>
          <w:p>
            <w:pPr>
              <w:spacing w:line="320" w:lineRule="exact"/>
              <w:jc w:val="center"/>
              <w:rPr>
                <w:rFonts w:ascii="Times New Roman" w:hAnsi="Times New Roman" w:eastAsia="仿宋_GB2312" w:cs="仿宋_GB2312"/>
                <w:color w:val="000000"/>
                <w:sz w:val="24"/>
                <w:szCs w:val="24"/>
              </w:rPr>
            </w:pPr>
          </w:p>
        </w:tc>
        <w:tc>
          <w:tcPr>
            <w:tcW w:w="437" w:type="dxa"/>
            <w:shd w:val="clear" w:color="auto" w:fill="auto"/>
            <w:vAlign w:val="center"/>
          </w:tcPr>
          <w:p>
            <w:pPr>
              <w:spacing w:line="320" w:lineRule="exact"/>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效益指标</w:t>
            </w:r>
          </w:p>
        </w:tc>
        <w:tc>
          <w:tcPr>
            <w:tcW w:w="7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服务对象满意度指标</w:t>
            </w:r>
          </w:p>
        </w:tc>
        <w:tc>
          <w:tcPr>
            <w:tcW w:w="1810"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社会和人民群众满意度的评价</w:t>
            </w:r>
          </w:p>
        </w:tc>
        <w:tc>
          <w:tcPr>
            <w:tcW w:w="2445" w:type="dxa"/>
            <w:shd w:val="clear" w:color="auto" w:fill="auto"/>
            <w:vAlign w:val="center"/>
          </w:tcPr>
          <w:p>
            <w:pPr>
              <w:widowControl/>
              <w:spacing w:line="320" w:lineRule="exact"/>
              <w:jc w:val="left"/>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满意度达95%及以上</w:t>
            </w:r>
          </w:p>
        </w:tc>
        <w:tc>
          <w:tcPr>
            <w:tcW w:w="1299"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≧95%</w:t>
            </w:r>
          </w:p>
        </w:tc>
        <w:tc>
          <w:tcPr>
            <w:tcW w:w="816"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≧95%</w:t>
            </w:r>
          </w:p>
        </w:tc>
        <w:tc>
          <w:tcPr>
            <w:tcW w:w="655"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4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32"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36"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27"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441"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585" w:type="dxa"/>
            <w:shd w:val="clear" w:color="auto" w:fill="auto"/>
            <w:vAlign w:val="center"/>
          </w:tcPr>
          <w:p>
            <w:pPr>
              <w:widowControl/>
              <w:spacing w:line="320" w:lineRule="exact"/>
              <w:jc w:val="center"/>
              <w:textAlignment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kern w:val="0"/>
                <w:sz w:val="24"/>
                <w:szCs w:val="24"/>
              </w:rPr>
              <w:t>√</w:t>
            </w:r>
          </w:p>
        </w:tc>
        <w:tc>
          <w:tcPr>
            <w:tcW w:w="586" w:type="dxa"/>
            <w:gridSpan w:val="2"/>
            <w:shd w:val="clear" w:color="auto" w:fill="auto"/>
            <w:vAlign w:val="center"/>
          </w:tcPr>
          <w:p>
            <w:pPr>
              <w:widowControl/>
              <w:spacing w:line="320" w:lineRule="exact"/>
              <w:jc w:val="center"/>
              <w:textAlignment w:val="center"/>
              <w:rPr>
                <w:rFonts w:ascii="Times New Roman" w:hAnsi="Times New Roman" w:eastAsia="仿宋_GB2312" w:cs="仿宋_GB2312"/>
                <w:color w:val="000000"/>
                <w:kern w:val="0"/>
                <w:sz w:val="24"/>
                <w:szCs w:val="24"/>
              </w:rPr>
            </w:pPr>
          </w:p>
        </w:tc>
        <w:tc>
          <w:tcPr>
            <w:tcW w:w="569" w:type="dxa"/>
            <w:shd w:val="clear" w:color="auto" w:fill="auto"/>
            <w:vAlign w:val="center"/>
          </w:tcPr>
          <w:p>
            <w:pPr>
              <w:spacing w:line="320" w:lineRule="exact"/>
              <w:jc w:val="left"/>
              <w:rPr>
                <w:rFonts w:ascii="Times New Roman" w:hAnsi="Times New Roman" w:eastAsia="仿宋_GB2312" w:cs="仿宋_GB2312"/>
                <w:color w:val="000000"/>
                <w:sz w:val="24"/>
                <w:szCs w:val="24"/>
              </w:rPr>
            </w:pPr>
          </w:p>
        </w:tc>
        <w:tc>
          <w:tcPr>
            <w:tcW w:w="667" w:type="dxa"/>
            <w:gridSpan w:val="2"/>
            <w:shd w:val="clear" w:color="auto" w:fill="auto"/>
            <w:vAlign w:val="center"/>
          </w:tcPr>
          <w:p>
            <w:pPr>
              <w:spacing w:line="320" w:lineRule="exact"/>
              <w:jc w:val="left"/>
              <w:rPr>
                <w:rFonts w:ascii="Times New Roman" w:hAnsi="Times New Roman" w:eastAsia="仿宋_GB2312" w:cs="仿宋_GB2312"/>
                <w:color w:val="000000"/>
                <w:sz w:val="24"/>
                <w:szCs w:val="24"/>
              </w:rPr>
            </w:pPr>
          </w:p>
        </w:tc>
      </w:tr>
    </w:tbl>
    <w:p>
      <w:pPr>
        <w:pStyle w:val="2"/>
        <w:spacing w:after="0" w:line="500" w:lineRule="exact"/>
        <w:ind w:left="0" w:leftChars="0" w:right="1470" w:firstLine="900" w:firstLineChars="300"/>
        <w:rPr>
          <w:rFonts w:ascii="仿宋_GB2312" w:hAnsi="仿宋_GB2312" w:eastAsia="仿宋_GB2312" w:cs="仿宋_GB2312"/>
          <w:sz w:val="30"/>
          <w:szCs w:val="30"/>
        </w:rPr>
      </w:pPr>
      <w:r>
        <w:rPr>
          <w:rFonts w:hint="eastAsia" w:ascii="仿宋_GB2312" w:hAnsi="仿宋_GB2312" w:eastAsia="仿宋_GB2312" w:cs="仿宋_GB2312"/>
          <w:sz w:val="30"/>
          <w:szCs w:val="30"/>
        </w:rPr>
        <w:t>填报人：                                             单位负责人：</w:t>
      </w:r>
    </w:p>
    <w:p>
      <w:pPr>
        <w:pStyle w:val="2"/>
        <w:spacing w:after="0" w:line="500" w:lineRule="exact"/>
        <w:ind w:left="0" w:leftChars="0" w:right="0" w:rightChars="0" w:firstLine="600" w:firstLineChars="200"/>
        <w:rPr>
          <w:rFonts w:ascii="Times New Roman" w:hAnsi="Times New Roman" w:eastAsia="仿宋_GB2312" w:cs="仿宋_GB2312"/>
          <w:sz w:val="30"/>
          <w:szCs w:val="30"/>
        </w:rPr>
      </w:pPr>
    </w:p>
    <w:p>
      <w:pPr>
        <w:pStyle w:val="2"/>
        <w:spacing w:after="0" w:line="500" w:lineRule="exact"/>
        <w:ind w:left="1644" w:leftChars="283" w:right="0" w:rightChars="0" w:hanging="1050" w:hangingChars="350"/>
        <w:rPr>
          <w:rFonts w:ascii="Times New Roman" w:hAnsi="Times New Roman" w:eastAsia="仿宋_GB2312" w:cs="仿宋_GB2312"/>
          <w:sz w:val="30"/>
          <w:szCs w:val="30"/>
        </w:rPr>
      </w:pPr>
      <w:r>
        <w:rPr>
          <w:rFonts w:hint="eastAsia" w:ascii="Times New Roman" w:hAnsi="Times New Roman" w:eastAsia="仿宋_GB2312" w:cs="仿宋_GB2312"/>
          <w:sz w:val="30"/>
          <w:szCs w:val="30"/>
        </w:rPr>
        <w:t>注：1．偏差原因分析：针对与预期目标产生偏差的指标值，分别从经费保障、制度保障、人员保障、硬件条件保障等方面进行判断和分析，并说明原因。</w:t>
      </w:r>
    </w:p>
    <w:p>
      <w:pPr>
        <w:pStyle w:val="2"/>
        <w:spacing w:after="0" w:line="500" w:lineRule="exact"/>
        <w:ind w:left="1641" w:leftChars="567" w:right="0" w:rightChars="0" w:hanging="450" w:hangingChars="150"/>
        <w:rPr>
          <w:rFonts w:ascii="Times New Roman" w:hAnsi="Times New Roman" w:eastAsia="仿宋_GB2312" w:cs="仿宋_GB2312"/>
          <w:sz w:val="30"/>
          <w:szCs w:val="30"/>
        </w:rPr>
      </w:pPr>
      <w:r>
        <w:rPr>
          <w:rFonts w:hint="eastAsia" w:ascii="Times New Roman" w:hAnsi="Times New Roman" w:eastAsia="仿宋_GB2312" w:cs="仿宋_GB2312"/>
          <w:sz w:val="30"/>
          <w:szCs w:val="30"/>
        </w:rPr>
        <w:t>2．完成目标可能性：对应所设定的实现绩效目标的路径，分确定能、有可能、完全不可能三级综合判断完成的可能性。</w:t>
      </w:r>
    </w:p>
    <w:p>
      <w:pPr>
        <w:pStyle w:val="2"/>
        <w:spacing w:after="0" w:line="500" w:lineRule="exact"/>
        <w:ind w:left="0" w:leftChars="0" w:right="0" w:rightChars="0" w:firstLine="1200" w:firstLineChars="400"/>
        <w:rPr>
          <w:rFonts w:ascii="Times New Roman" w:hAnsi="Times New Roman" w:eastAsia="仿宋_GB2312" w:cs="仿宋_GB2312"/>
          <w:sz w:val="30"/>
          <w:szCs w:val="30"/>
        </w:rPr>
      </w:pPr>
      <w:r>
        <w:rPr>
          <w:rFonts w:hint="eastAsia" w:ascii="Times New Roman" w:hAnsi="Times New Roman" w:eastAsia="仿宋_GB2312" w:cs="仿宋_GB2312"/>
          <w:sz w:val="30"/>
          <w:szCs w:val="30"/>
        </w:rPr>
        <w:t>3．备注：说明预计到年底不能完成目标的原因及拟采取的措施。</w:t>
      </w:r>
    </w:p>
    <w:sectPr>
      <w:pgSz w:w="16838" w:h="11906" w:orient="landscape"/>
      <w:pgMar w:top="1701" w:right="1417" w:bottom="1417" w:left="170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1A0F3C52" w:usb2="00000010"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8"/>
                  <w:rPr>
                    <w:sz w:val="24"/>
                    <w:szCs w:val="24"/>
                  </w:rPr>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12</w:t>
                </w:r>
                <w:r>
                  <w:rPr>
                    <w:sz w:val="24"/>
                    <w:szCs w:val="24"/>
                  </w:rPr>
                  <w:fldChar w:fldCharType="end"/>
                </w:r>
                <w:r>
                  <w:rPr>
                    <w:sz w:val="24"/>
                    <w:szCs w:val="24"/>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22E1"/>
    <w:rsid w:val="001B7E1B"/>
    <w:rsid w:val="001F631D"/>
    <w:rsid w:val="004A22E1"/>
    <w:rsid w:val="004C13F6"/>
    <w:rsid w:val="005C47BC"/>
    <w:rsid w:val="005F2FE6"/>
    <w:rsid w:val="00646B15"/>
    <w:rsid w:val="006A5B59"/>
    <w:rsid w:val="009A630D"/>
    <w:rsid w:val="00A36C9D"/>
    <w:rsid w:val="00A75B20"/>
    <w:rsid w:val="00AE18DC"/>
    <w:rsid w:val="00C337CF"/>
    <w:rsid w:val="00C63B2C"/>
    <w:rsid w:val="00C77466"/>
    <w:rsid w:val="00D8140C"/>
    <w:rsid w:val="00DE3379"/>
    <w:rsid w:val="00EA14F0"/>
    <w:rsid w:val="01BF04D7"/>
    <w:rsid w:val="01CC5B5D"/>
    <w:rsid w:val="01D25A54"/>
    <w:rsid w:val="02533773"/>
    <w:rsid w:val="02946568"/>
    <w:rsid w:val="029666B2"/>
    <w:rsid w:val="02C64A1F"/>
    <w:rsid w:val="02FF6A14"/>
    <w:rsid w:val="03682052"/>
    <w:rsid w:val="03B0758D"/>
    <w:rsid w:val="03E963F5"/>
    <w:rsid w:val="03F012A5"/>
    <w:rsid w:val="03FF6717"/>
    <w:rsid w:val="043A6374"/>
    <w:rsid w:val="044A5A14"/>
    <w:rsid w:val="049C2253"/>
    <w:rsid w:val="051C36EC"/>
    <w:rsid w:val="05E00D43"/>
    <w:rsid w:val="06AD4D6E"/>
    <w:rsid w:val="06DF7CC2"/>
    <w:rsid w:val="06E53A0A"/>
    <w:rsid w:val="092F10CA"/>
    <w:rsid w:val="093930BE"/>
    <w:rsid w:val="0A42239C"/>
    <w:rsid w:val="0B150D6F"/>
    <w:rsid w:val="0B6F7E18"/>
    <w:rsid w:val="0B925D6F"/>
    <w:rsid w:val="0C781804"/>
    <w:rsid w:val="0CE2125A"/>
    <w:rsid w:val="0CF45847"/>
    <w:rsid w:val="0D02238A"/>
    <w:rsid w:val="0DAC4DC6"/>
    <w:rsid w:val="0E1C2613"/>
    <w:rsid w:val="0E205ADC"/>
    <w:rsid w:val="0EAB14A7"/>
    <w:rsid w:val="0EB313DB"/>
    <w:rsid w:val="0EC2029A"/>
    <w:rsid w:val="0F0134BE"/>
    <w:rsid w:val="0F29470F"/>
    <w:rsid w:val="0F583704"/>
    <w:rsid w:val="0F6B661F"/>
    <w:rsid w:val="0F905FAB"/>
    <w:rsid w:val="101A5AE6"/>
    <w:rsid w:val="11705AB1"/>
    <w:rsid w:val="11A334C3"/>
    <w:rsid w:val="11C55053"/>
    <w:rsid w:val="121013E6"/>
    <w:rsid w:val="1257234C"/>
    <w:rsid w:val="128E187B"/>
    <w:rsid w:val="12D33024"/>
    <w:rsid w:val="13260918"/>
    <w:rsid w:val="1337477D"/>
    <w:rsid w:val="133C1F1D"/>
    <w:rsid w:val="143D261A"/>
    <w:rsid w:val="14730D71"/>
    <w:rsid w:val="14A02A0D"/>
    <w:rsid w:val="15344F52"/>
    <w:rsid w:val="157436B2"/>
    <w:rsid w:val="15784A21"/>
    <w:rsid w:val="15A41556"/>
    <w:rsid w:val="15A8006A"/>
    <w:rsid w:val="15F64D84"/>
    <w:rsid w:val="16155DFC"/>
    <w:rsid w:val="17092266"/>
    <w:rsid w:val="170933AA"/>
    <w:rsid w:val="17615F57"/>
    <w:rsid w:val="17BE0706"/>
    <w:rsid w:val="17BF05C2"/>
    <w:rsid w:val="18453F19"/>
    <w:rsid w:val="18A41C3D"/>
    <w:rsid w:val="18B166D2"/>
    <w:rsid w:val="18F03A49"/>
    <w:rsid w:val="1A1805CA"/>
    <w:rsid w:val="1A232E1F"/>
    <w:rsid w:val="1A486D1A"/>
    <w:rsid w:val="1A5911FA"/>
    <w:rsid w:val="1A89764C"/>
    <w:rsid w:val="1AAE69ED"/>
    <w:rsid w:val="1B234355"/>
    <w:rsid w:val="1BD6534F"/>
    <w:rsid w:val="1BE65D45"/>
    <w:rsid w:val="1C14696B"/>
    <w:rsid w:val="1C2A63F0"/>
    <w:rsid w:val="1C6A258F"/>
    <w:rsid w:val="1CE627B9"/>
    <w:rsid w:val="1CED2A78"/>
    <w:rsid w:val="1CFD0453"/>
    <w:rsid w:val="1D3B1F39"/>
    <w:rsid w:val="1D474EED"/>
    <w:rsid w:val="1DB90B0C"/>
    <w:rsid w:val="1DD36A50"/>
    <w:rsid w:val="1DE62DEC"/>
    <w:rsid w:val="1E042C85"/>
    <w:rsid w:val="1E0E65CE"/>
    <w:rsid w:val="1E191537"/>
    <w:rsid w:val="1E4E27A2"/>
    <w:rsid w:val="1F2C7D58"/>
    <w:rsid w:val="202E3BBB"/>
    <w:rsid w:val="20373B4C"/>
    <w:rsid w:val="205804E8"/>
    <w:rsid w:val="21010040"/>
    <w:rsid w:val="21513DF7"/>
    <w:rsid w:val="22102E02"/>
    <w:rsid w:val="222E4F6C"/>
    <w:rsid w:val="22391952"/>
    <w:rsid w:val="23727D4D"/>
    <w:rsid w:val="23B563FA"/>
    <w:rsid w:val="23E47E97"/>
    <w:rsid w:val="244076C0"/>
    <w:rsid w:val="25186524"/>
    <w:rsid w:val="25250C01"/>
    <w:rsid w:val="252F184F"/>
    <w:rsid w:val="25991BAD"/>
    <w:rsid w:val="25E276AD"/>
    <w:rsid w:val="25F64EA6"/>
    <w:rsid w:val="26553771"/>
    <w:rsid w:val="26BF28F3"/>
    <w:rsid w:val="26E32460"/>
    <w:rsid w:val="27A035BE"/>
    <w:rsid w:val="27A6563A"/>
    <w:rsid w:val="27AD700C"/>
    <w:rsid w:val="284227BF"/>
    <w:rsid w:val="28520008"/>
    <w:rsid w:val="287A4C3D"/>
    <w:rsid w:val="28B67247"/>
    <w:rsid w:val="28FD13D6"/>
    <w:rsid w:val="296A0D4C"/>
    <w:rsid w:val="29B222E8"/>
    <w:rsid w:val="29B33A1C"/>
    <w:rsid w:val="2A220F08"/>
    <w:rsid w:val="2AB269DC"/>
    <w:rsid w:val="2AB605DD"/>
    <w:rsid w:val="2AE176A3"/>
    <w:rsid w:val="2B150709"/>
    <w:rsid w:val="2B1A50D8"/>
    <w:rsid w:val="2B92724D"/>
    <w:rsid w:val="2BFE5E44"/>
    <w:rsid w:val="2C6E2F1B"/>
    <w:rsid w:val="2D3A2486"/>
    <w:rsid w:val="2D5424A9"/>
    <w:rsid w:val="2DDA62B0"/>
    <w:rsid w:val="2F086B4A"/>
    <w:rsid w:val="2F4A2629"/>
    <w:rsid w:val="2F84727F"/>
    <w:rsid w:val="2FD47883"/>
    <w:rsid w:val="30181386"/>
    <w:rsid w:val="302F2165"/>
    <w:rsid w:val="3092475B"/>
    <w:rsid w:val="309314D9"/>
    <w:rsid w:val="31072767"/>
    <w:rsid w:val="31AB5057"/>
    <w:rsid w:val="31E234C0"/>
    <w:rsid w:val="329A3376"/>
    <w:rsid w:val="333A5B19"/>
    <w:rsid w:val="333C5D20"/>
    <w:rsid w:val="33992005"/>
    <w:rsid w:val="33CC1B59"/>
    <w:rsid w:val="345A6BEF"/>
    <w:rsid w:val="34987B6F"/>
    <w:rsid w:val="349E44FA"/>
    <w:rsid w:val="35110025"/>
    <w:rsid w:val="35455B0C"/>
    <w:rsid w:val="35F4208E"/>
    <w:rsid w:val="36C2195C"/>
    <w:rsid w:val="37012188"/>
    <w:rsid w:val="37064A70"/>
    <w:rsid w:val="370A25F2"/>
    <w:rsid w:val="3775721A"/>
    <w:rsid w:val="37821BF8"/>
    <w:rsid w:val="38626513"/>
    <w:rsid w:val="386E1037"/>
    <w:rsid w:val="38F61A34"/>
    <w:rsid w:val="392F470B"/>
    <w:rsid w:val="39513A8A"/>
    <w:rsid w:val="395350A3"/>
    <w:rsid w:val="39592D4C"/>
    <w:rsid w:val="3AEF59B6"/>
    <w:rsid w:val="3B126A89"/>
    <w:rsid w:val="3B931FF5"/>
    <w:rsid w:val="3BB90477"/>
    <w:rsid w:val="3C7328E8"/>
    <w:rsid w:val="3D166755"/>
    <w:rsid w:val="3D564BAE"/>
    <w:rsid w:val="3D61102E"/>
    <w:rsid w:val="3D8D485E"/>
    <w:rsid w:val="3DA164DB"/>
    <w:rsid w:val="3E0646B4"/>
    <w:rsid w:val="3E85746A"/>
    <w:rsid w:val="3F4F233A"/>
    <w:rsid w:val="3F6608AF"/>
    <w:rsid w:val="3F6C159C"/>
    <w:rsid w:val="3F8F6B46"/>
    <w:rsid w:val="3FAD5386"/>
    <w:rsid w:val="403321DE"/>
    <w:rsid w:val="40C72987"/>
    <w:rsid w:val="40E612D3"/>
    <w:rsid w:val="410D66BA"/>
    <w:rsid w:val="417E4C40"/>
    <w:rsid w:val="41AE5D83"/>
    <w:rsid w:val="41C942C3"/>
    <w:rsid w:val="4235672B"/>
    <w:rsid w:val="42FF363C"/>
    <w:rsid w:val="433B6AAA"/>
    <w:rsid w:val="43437D53"/>
    <w:rsid w:val="435F3B79"/>
    <w:rsid w:val="436A1AE8"/>
    <w:rsid w:val="43F35688"/>
    <w:rsid w:val="441421B3"/>
    <w:rsid w:val="441660CB"/>
    <w:rsid w:val="44520526"/>
    <w:rsid w:val="44602204"/>
    <w:rsid w:val="456A24B9"/>
    <w:rsid w:val="45C90681"/>
    <w:rsid w:val="460974B9"/>
    <w:rsid w:val="461473CE"/>
    <w:rsid w:val="469F5E9E"/>
    <w:rsid w:val="46AB5FC9"/>
    <w:rsid w:val="46B81C93"/>
    <w:rsid w:val="46EB2BDD"/>
    <w:rsid w:val="46F23148"/>
    <w:rsid w:val="47686D9E"/>
    <w:rsid w:val="47B917FC"/>
    <w:rsid w:val="48734214"/>
    <w:rsid w:val="48955406"/>
    <w:rsid w:val="491C4A70"/>
    <w:rsid w:val="495A2C46"/>
    <w:rsid w:val="499021E2"/>
    <w:rsid w:val="499D2DCF"/>
    <w:rsid w:val="4A284787"/>
    <w:rsid w:val="4A5430C3"/>
    <w:rsid w:val="4A6F56B4"/>
    <w:rsid w:val="4A7B3436"/>
    <w:rsid w:val="4B062F06"/>
    <w:rsid w:val="4B1C6CF0"/>
    <w:rsid w:val="4B7E1A21"/>
    <w:rsid w:val="4C3557D9"/>
    <w:rsid w:val="4C55079F"/>
    <w:rsid w:val="4D8540FC"/>
    <w:rsid w:val="4DB80E6A"/>
    <w:rsid w:val="4E227F6C"/>
    <w:rsid w:val="4E6D3EAA"/>
    <w:rsid w:val="4E7A6F4D"/>
    <w:rsid w:val="4EF2005D"/>
    <w:rsid w:val="4EF61A17"/>
    <w:rsid w:val="4F8F1107"/>
    <w:rsid w:val="4FD14EF9"/>
    <w:rsid w:val="4FE0557E"/>
    <w:rsid w:val="504A5CEE"/>
    <w:rsid w:val="50CB01F4"/>
    <w:rsid w:val="5116633C"/>
    <w:rsid w:val="517C5921"/>
    <w:rsid w:val="51AC2C67"/>
    <w:rsid w:val="53A36893"/>
    <w:rsid w:val="53C8662A"/>
    <w:rsid w:val="548F511F"/>
    <w:rsid w:val="549030BB"/>
    <w:rsid w:val="55A54841"/>
    <w:rsid w:val="55D66AA7"/>
    <w:rsid w:val="56BD0454"/>
    <w:rsid w:val="56D6587C"/>
    <w:rsid w:val="56DC7C5C"/>
    <w:rsid w:val="56EF059B"/>
    <w:rsid w:val="570D746E"/>
    <w:rsid w:val="57161792"/>
    <w:rsid w:val="57193779"/>
    <w:rsid w:val="574049F1"/>
    <w:rsid w:val="57663D9D"/>
    <w:rsid w:val="57B27E8A"/>
    <w:rsid w:val="57C50D0E"/>
    <w:rsid w:val="57E638AD"/>
    <w:rsid w:val="57FC1757"/>
    <w:rsid w:val="582A5F1B"/>
    <w:rsid w:val="585A6768"/>
    <w:rsid w:val="58BD3A25"/>
    <w:rsid w:val="58FA0D16"/>
    <w:rsid w:val="590A6FD4"/>
    <w:rsid w:val="596047FB"/>
    <w:rsid w:val="59605D7F"/>
    <w:rsid w:val="59DF5773"/>
    <w:rsid w:val="5A694DEA"/>
    <w:rsid w:val="5A6B09FF"/>
    <w:rsid w:val="5A9C6B2B"/>
    <w:rsid w:val="5B420D04"/>
    <w:rsid w:val="5B8D06D0"/>
    <w:rsid w:val="5BF12963"/>
    <w:rsid w:val="5C1F21C8"/>
    <w:rsid w:val="5C625893"/>
    <w:rsid w:val="5CC858F5"/>
    <w:rsid w:val="5CF953E9"/>
    <w:rsid w:val="5D427854"/>
    <w:rsid w:val="5DC24B6A"/>
    <w:rsid w:val="5DD13B5C"/>
    <w:rsid w:val="5DF14905"/>
    <w:rsid w:val="5E3F2363"/>
    <w:rsid w:val="5E7026BF"/>
    <w:rsid w:val="5E872A60"/>
    <w:rsid w:val="5F0B0D6A"/>
    <w:rsid w:val="5F98437A"/>
    <w:rsid w:val="5FCE288C"/>
    <w:rsid w:val="60A9472B"/>
    <w:rsid w:val="60E250BA"/>
    <w:rsid w:val="60F740C7"/>
    <w:rsid w:val="61465CA0"/>
    <w:rsid w:val="61D80C32"/>
    <w:rsid w:val="62386EAB"/>
    <w:rsid w:val="62550E86"/>
    <w:rsid w:val="62555D4D"/>
    <w:rsid w:val="62D9365D"/>
    <w:rsid w:val="631A0D29"/>
    <w:rsid w:val="63301B7B"/>
    <w:rsid w:val="63642609"/>
    <w:rsid w:val="637C2186"/>
    <w:rsid w:val="63B41515"/>
    <w:rsid w:val="642F7E19"/>
    <w:rsid w:val="64381771"/>
    <w:rsid w:val="644D44DF"/>
    <w:rsid w:val="64A14D95"/>
    <w:rsid w:val="64B179FB"/>
    <w:rsid w:val="651C184E"/>
    <w:rsid w:val="653B502A"/>
    <w:rsid w:val="657E6B73"/>
    <w:rsid w:val="65A1255A"/>
    <w:rsid w:val="65EE5ED8"/>
    <w:rsid w:val="661D02B4"/>
    <w:rsid w:val="66BA3AB4"/>
    <w:rsid w:val="67A0170E"/>
    <w:rsid w:val="683A3793"/>
    <w:rsid w:val="6854647A"/>
    <w:rsid w:val="697A4815"/>
    <w:rsid w:val="69DB3F0E"/>
    <w:rsid w:val="69EF7B8C"/>
    <w:rsid w:val="6A477A1F"/>
    <w:rsid w:val="6A652531"/>
    <w:rsid w:val="6B0C142D"/>
    <w:rsid w:val="6C567254"/>
    <w:rsid w:val="6C6621A8"/>
    <w:rsid w:val="6C817EF7"/>
    <w:rsid w:val="6D4E6D24"/>
    <w:rsid w:val="6D4F2D40"/>
    <w:rsid w:val="6D5A0212"/>
    <w:rsid w:val="6D5B7989"/>
    <w:rsid w:val="6D6208BF"/>
    <w:rsid w:val="6DE8422D"/>
    <w:rsid w:val="6E874E04"/>
    <w:rsid w:val="6E894C26"/>
    <w:rsid w:val="6EC26CCE"/>
    <w:rsid w:val="6ED067D0"/>
    <w:rsid w:val="6F5C5147"/>
    <w:rsid w:val="70386113"/>
    <w:rsid w:val="70DF5AF6"/>
    <w:rsid w:val="71903243"/>
    <w:rsid w:val="71C96B31"/>
    <w:rsid w:val="71F97E8E"/>
    <w:rsid w:val="72830785"/>
    <w:rsid w:val="72CE7806"/>
    <w:rsid w:val="72F64303"/>
    <w:rsid w:val="734074DC"/>
    <w:rsid w:val="738E74C5"/>
    <w:rsid w:val="74D03D26"/>
    <w:rsid w:val="74D55ED8"/>
    <w:rsid w:val="750A4837"/>
    <w:rsid w:val="753F529C"/>
    <w:rsid w:val="757855E1"/>
    <w:rsid w:val="76736247"/>
    <w:rsid w:val="76F75B24"/>
    <w:rsid w:val="77137C32"/>
    <w:rsid w:val="772422AB"/>
    <w:rsid w:val="77716C0B"/>
    <w:rsid w:val="778B441F"/>
    <w:rsid w:val="77D23D41"/>
    <w:rsid w:val="7805105D"/>
    <w:rsid w:val="783900E1"/>
    <w:rsid w:val="785706BA"/>
    <w:rsid w:val="786D667E"/>
    <w:rsid w:val="78AB3841"/>
    <w:rsid w:val="78F73F6D"/>
    <w:rsid w:val="790F69A1"/>
    <w:rsid w:val="79347250"/>
    <w:rsid w:val="79B56130"/>
    <w:rsid w:val="79BA0D8C"/>
    <w:rsid w:val="79D70362"/>
    <w:rsid w:val="7A22774C"/>
    <w:rsid w:val="7A666C12"/>
    <w:rsid w:val="7AE477FE"/>
    <w:rsid w:val="7B2B00E4"/>
    <w:rsid w:val="7B614BB9"/>
    <w:rsid w:val="7B770CE5"/>
    <w:rsid w:val="7B8A366D"/>
    <w:rsid w:val="7B976831"/>
    <w:rsid w:val="7BCF59D5"/>
    <w:rsid w:val="7BEB1452"/>
    <w:rsid w:val="7C721D8C"/>
    <w:rsid w:val="7C7A02C2"/>
    <w:rsid w:val="7CE73095"/>
    <w:rsid w:val="7CF2436F"/>
    <w:rsid w:val="7D12779D"/>
    <w:rsid w:val="7D225E44"/>
    <w:rsid w:val="7D7B5A3F"/>
    <w:rsid w:val="7DA969F1"/>
    <w:rsid w:val="7DAF3247"/>
    <w:rsid w:val="7E337BA5"/>
    <w:rsid w:val="7E5D4553"/>
    <w:rsid w:val="7EF075FE"/>
    <w:rsid w:val="7F1E7934"/>
    <w:rsid w:val="7F264C38"/>
    <w:rsid w:val="7F35253C"/>
    <w:rsid w:val="7F4D2A53"/>
    <w:rsid w:val="7F854E68"/>
    <w:rsid w:val="7FE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Normal Indent"/>
    <w:basedOn w:val="1"/>
    <w:unhideWhenUsed/>
    <w:qFormat/>
    <w:uiPriority w:val="99"/>
    <w:pPr>
      <w:ind w:firstLine="420" w:firstLineChars="200"/>
    </w:pPr>
    <w:rPr>
      <w:rFonts w:hint="eastAsia" w:cs="宋体"/>
      <w:szCs w:val="22"/>
    </w:rPr>
  </w:style>
  <w:style w:type="paragraph" w:styleId="4">
    <w:name w:val="annotation text"/>
    <w:basedOn w:val="1"/>
    <w:link w:val="28"/>
    <w:semiHidden/>
    <w:unhideWhenUsed/>
    <w:qFormat/>
    <w:uiPriority w:val="0"/>
    <w:pPr>
      <w:jc w:val="left"/>
    </w:pPr>
  </w:style>
  <w:style w:type="paragraph" w:styleId="5">
    <w:name w:val="Body Text"/>
    <w:basedOn w:val="1"/>
    <w:qFormat/>
    <w:uiPriority w:val="0"/>
    <w:pPr>
      <w:spacing w:after="120"/>
    </w:pPr>
    <w:rPr>
      <w:rFonts w:ascii="Times New Roman" w:hAnsi="Times New Roman"/>
      <w:szCs w:val="24"/>
    </w:rPr>
  </w:style>
  <w:style w:type="paragraph" w:styleId="6">
    <w:name w:val="Body Text Indent"/>
    <w:basedOn w:val="1"/>
    <w:qFormat/>
    <w:uiPriority w:val="0"/>
    <w:pPr>
      <w:spacing w:after="120"/>
      <w:ind w:left="420" w:leftChars="200"/>
    </w:pPr>
    <w:rPr>
      <w:rFonts w:ascii="Times New Roman" w:hAnsi="Times New Roman" w:eastAsia="仿宋_GB2312"/>
      <w:sz w:val="30"/>
      <w:szCs w:val="30"/>
    </w:rPr>
  </w:style>
  <w:style w:type="paragraph" w:styleId="7">
    <w:name w:val="Balloon Text"/>
    <w:basedOn w:val="1"/>
    <w:link w:val="30"/>
    <w:semiHidden/>
    <w:unhideWhenUsed/>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annotation subject"/>
    <w:basedOn w:val="4"/>
    <w:next w:val="4"/>
    <w:link w:val="29"/>
    <w:semiHidden/>
    <w:unhideWhenUsed/>
    <w:uiPriority w:val="0"/>
    <w:rPr>
      <w:b/>
      <w:bCs/>
    </w:rPr>
  </w:style>
  <w:style w:type="paragraph" w:styleId="12">
    <w:name w:val="Body Text First Indent 2"/>
    <w:basedOn w:val="6"/>
    <w:qFormat/>
    <w:uiPriority w:val="0"/>
    <w:rPr>
      <w:rFonts w:eastAsia="宋体"/>
    </w:rPr>
  </w:style>
  <w:style w:type="character" w:styleId="15">
    <w:name w:val="Strong"/>
    <w:basedOn w:val="14"/>
    <w:qFormat/>
    <w:uiPriority w:val="0"/>
    <w:rPr>
      <w:b/>
    </w:rPr>
  </w:style>
  <w:style w:type="character" w:styleId="16">
    <w:name w:val="page number"/>
    <w:basedOn w:val="14"/>
    <w:qFormat/>
    <w:uiPriority w:val="0"/>
  </w:style>
  <w:style w:type="character" w:styleId="17">
    <w:name w:val="annotation reference"/>
    <w:basedOn w:val="14"/>
    <w:semiHidden/>
    <w:unhideWhenUsed/>
    <w:uiPriority w:val="0"/>
    <w:rPr>
      <w:sz w:val="21"/>
      <w:szCs w:val="21"/>
    </w:rPr>
  </w:style>
  <w:style w:type="paragraph" w:customStyle="1" w:styleId="18">
    <w:name w:val="列出段落1"/>
    <w:basedOn w:val="1"/>
    <w:qFormat/>
    <w:uiPriority w:val="99"/>
    <w:pPr>
      <w:ind w:firstLine="420" w:firstLineChars="200"/>
    </w:pPr>
    <w:rPr>
      <w:szCs w:val="22"/>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1">
    <w:name w:val="font21"/>
    <w:basedOn w:val="14"/>
    <w:uiPriority w:val="0"/>
    <w:rPr>
      <w:rFonts w:ascii="仿宋_GB2312" w:eastAsia="仿宋_GB2312" w:cs="仿宋_GB2312"/>
      <w:color w:val="000000"/>
      <w:sz w:val="24"/>
      <w:szCs w:val="24"/>
      <w:u w:val="none"/>
    </w:rPr>
  </w:style>
  <w:style w:type="character" w:customStyle="1" w:styleId="22">
    <w:name w:val="font61"/>
    <w:basedOn w:val="14"/>
    <w:uiPriority w:val="0"/>
    <w:rPr>
      <w:rFonts w:hint="default" w:ascii="Times New Roman" w:hAnsi="Times New Roman" w:cs="Times New Roman"/>
      <w:color w:val="000000"/>
      <w:sz w:val="20"/>
      <w:szCs w:val="20"/>
      <w:u w:val="none"/>
    </w:rPr>
  </w:style>
  <w:style w:type="character" w:customStyle="1" w:styleId="23">
    <w:name w:val="font41"/>
    <w:basedOn w:val="14"/>
    <w:uiPriority w:val="0"/>
    <w:rPr>
      <w:rFonts w:hint="eastAsia" w:ascii="仿宋_GB2312" w:eastAsia="仿宋_GB2312" w:cs="仿宋_GB2312"/>
      <w:color w:val="000000"/>
      <w:sz w:val="20"/>
      <w:szCs w:val="20"/>
      <w:u w:val="none"/>
    </w:rPr>
  </w:style>
  <w:style w:type="character" w:customStyle="1" w:styleId="24">
    <w:name w:val="font11"/>
    <w:basedOn w:val="14"/>
    <w:uiPriority w:val="0"/>
    <w:rPr>
      <w:rFonts w:hint="eastAsia" w:ascii="仿宋_GB2312" w:eastAsia="仿宋_GB2312" w:cs="仿宋_GB2312"/>
      <w:color w:val="000000"/>
      <w:sz w:val="18"/>
      <w:szCs w:val="18"/>
      <w:u w:val="none"/>
    </w:rPr>
  </w:style>
  <w:style w:type="character" w:customStyle="1" w:styleId="25">
    <w:name w:val="font51"/>
    <w:basedOn w:val="14"/>
    <w:uiPriority w:val="0"/>
    <w:rPr>
      <w:rFonts w:hint="default" w:ascii="Times New Roman" w:hAnsi="Times New Roman" w:cs="Times New Roman"/>
      <w:color w:val="000000"/>
      <w:sz w:val="18"/>
      <w:szCs w:val="18"/>
      <w:u w:val="none"/>
    </w:rPr>
  </w:style>
  <w:style w:type="character" w:customStyle="1" w:styleId="26">
    <w:name w:val="font01"/>
    <w:basedOn w:val="14"/>
    <w:uiPriority w:val="0"/>
    <w:rPr>
      <w:rFonts w:hint="default" w:ascii="Times New Roman" w:hAnsi="Times New Roman" w:cs="Times New Roman"/>
      <w:color w:val="000000"/>
      <w:sz w:val="18"/>
      <w:szCs w:val="18"/>
      <w:u w:val="none"/>
    </w:rPr>
  </w:style>
  <w:style w:type="character" w:customStyle="1" w:styleId="27">
    <w:name w:val="font71"/>
    <w:basedOn w:val="14"/>
    <w:uiPriority w:val="0"/>
    <w:rPr>
      <w:rFonts w:hint="default" w:ascii="Times New Roman" w:hAnsi="Times New Roman" w:cs="Times New Roman"/>
      <w:color w:val="000000"/>
      <w:sz w:val="21"/>
      <w:szCs w:val="21"/>
      <w:u w:val="none"/>
    </w:rPr>
  </w:style>
  <w:style w:type="character" w:customStyle="1" w:styleId="28">
    <w:name w:val="批注文字 Char"/>
    <w:basedOn w:val="14"/>
    <w:link w:val="4"/>
    <w:semiHidden/>
    <w:uiPriority w:val="0"/>
    <w:rPr>
      <w:rFonts w:ascii="Calibri" w:hAnsi="Calibri"/>
      <w:kern w:val="2"/>
      <w:sz w:val="21"/>
      <w:szCs w:val="21"/>
    </w:rPr>
  </w:style>
  <w:style w:type="character" w:customStyle="1" w:styleId="29">
    <w:name w:val="批注主题 Char"/>
    <w:basedOn w:val="28"/>
    <w:link w:val="11"/>
    <w:semiHidden/>
    <w:uiPriority w:val="0"/>
    <w:rPr>
      <w:rFonts w:ascii="Calibri" w:hAnsi="Calibri"/>
      <w:b/>
      <w:bCs/>
      <w:kern w:val="2"/>
      <w:sz w:val="21"/>
      <w:szCs w:val="21"/>
    </w:rPr>
  </w:style>
  <w:style w:type="character" w:customStyle="1" w:styleId="30">
    <w:name w:val="批注框文本 Char"/>
    <w:basedOn w:val="14"/>
    <w:link w:val="7"/>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1593</Words>
  <Characters>9082</Characters>
  <Lines>75</Lines>
  <Paragraphs>21</Paragraphs>
  <TotalTime>241</TotalTime>
  <ScaleCrop>false</ScaleCrop>
  <LinksUpToDate>false</LinksUpToDate>
  <CharactersWithSpaces>10654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瀚墨壹號</cp:lastModifiedBy>
  <cp:lastPrinted>2022-05-13T07:34:00Z</cp:lastPrinted>
  <dcterms:modified xsi:type="dcterms:W3CDTF">2022-08-05T12:35:14Z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C0D2B4ABE6534168BD15758585F2E83C</vt:lpwstr>
  </property>
</Properties>
</file>