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9BCC" w14:textId="77777777" w:rsidR="004B4BB2" w:rsidRPr="004B4BB2" w:rsidRDefault="004B4BB2">
      <w:pPr>
        <w:pStyle w:val="a7"/>
        <w:widowControl/>
        <w:spacing w:beforeAutospacing="0" w:afterAutospacing="0" w:line="540" w:lineRule="atLeast"/>
        <w:ind w:firstLineChars="200" w:firstLine="880"/>
        <w:jc w:val="center"/>
        <w:rPr>
          <w:rFonts w:ascii="仿宋" w:eastAsia="仿宋" w:hAnsi="仿宋" w:cs="黑体"/>
          <w:sz w:val="44"/>
          <w:szCs w:val="44"/>
          <w:shd w:val="clear" w:color="auto" w:fill="FFFFFF"/>
        </w:rPr>
      </w:pPr>
      <w:r w:rsidRPr="004B4BB2">
        <w:rPr>
          <w:rFonts w:ascii="仿宋" w:eastAsia="仿宋" w:hAnsi="仿宋" w:cs="黑体" w:hint="eastAsia"/>
          <w:sz w:val="44"/>
          <w:szCs w:val="44"/>
          <w:shd w:val="clear" w:color="auto" w:fill="FFFFFF"/>
        </w:rPr>
        <w:t>浏阳市第十一中学</w:t>
      </w:r>
    </w:p>
    <w:p w14:paraId="281ABBCA" w14:textId="2B35A48C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880"/>
        <w:jc w:val="center"/>
        <w:rPr>
          <w:rFonts w:ascii="仿宋" w:eastAsia="仿宋" w:hAnsi="仿宋" w:cs="黑体"/>
          <w:sz w:val="44"/>
          <w:szCs w:val="44"/>
        </w:rPr>
      </w:pPr>
      <w:r w:rsidRPr="004B4BB2">
        <w:rPr>
          <w:rFonts w:ascii="仿宋" w:eastAsia="仿宋" w:hAnsi="仿宋" w:cs="黑体" w:hint="eastAsia"/>
          <w:sz w:val="44"/>
          <w:szCs w:val="44"/>
          <w:shd w:val="clear" w:color="auto" w:fill="FFFFFF"/>
        </w:rPr>
        <w:t>202</w:t>
      </w:r>
      <w:r w:rsidR="00265CF6" w:rsidRPr="004B4BB2">
        <w:rPr>
          <w:rFonts w:ascii="仿宋" w:eastAsia="仿宋" w:hAnsi="仿宋" w:cs="黑体"/>
          <w:sz w:val="44"/>
          <w:szCs w:val="44"/>
          <w:shd w:val="clear" w:color="auto" w:fill="FFFFFF"/>
        </w:rPr>
        <w:t>1</w:t>
      </w:r>
      <w:r w:rsidRPr="004B4BB2">
        <w:rPr>
          <w:rFonts w:ascii="仿宋" w:eastAsia="仿宋" w:hAnsi="仿宋" w:cs="黑体" w:hint="eastAsia"/>
          <w:sz w:val="44"/>
          <w:szCs w:val="44"/>
          <w:shd w:val="clear" w:color="auto" w:fill="FFFFFF"/>
        </w:rPr>
        <w:t>年度部门整体支出绩效评价报告</w:t>
      </w:r>
    </w:p>
    <w:p w14:paraId="24A2F293" w14:textId="77777777" w:rsidR="00B34056" w:rsidRDefault="00B848C7">
      <w:pPr>
        <w:pStyle w:val="a7"/>
        <w:widowControl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 </w:t>
      </w:r>
    </w:p>
    <w:p w14:paraId="1A40C21A" w14:textId="77777777" w:rsidR="00B34056" w:rsidRPr="004B4BB2" w:rsidRDefault="00B848C7">
      <w:pPr>
        <w:pStyle w:val="a7"/>
        <w:widowControl/>
        <w:numPr>
          <w:ilvl w:val="0"/>
          <w:numId w:val="1"/>
        </w:numPr>
        <w:spacing w:beforeAutospacing="0" w:afterAutospacing="0" w:line="600" w:lineRule="exact"/>
        <w:rPr>
          <w:rStyle w:val="a8"/>
          <w:rFonts w:ascii="仿宋" w:eastAsia="仿宋" w:hAnsi="仿宋" w:cs="仿宋"/>
          <w:sz w:val="32"/>
          <w:szCs w:val="32"/>
          <w:shd w:val="clear" w:color="auto" w:fill="FFFFFF"/>
        </w:rPr>
      </w:pPr>
      <w:r w:rsidRPr="004B4BB2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部门概况</w:t>
      </w:r>
    </w:p>
    <w:p w14:paraId="41632AF9" w14:textId="77777777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（一）部门职能概述</w:t>
      </w:r>
    </w:p>
    <w:p w14:paraId="14746FE5" w14:textId="2124F0E0" w:rsidR="00B34056" w:rsidRPr="004B4BB2" w:rsidRDefault="002F3458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A849DA">
        <w:rPr>
          <w:rFonts w:ascii="仿宋" w:eastAsia="仿宋" w:hAnsi="仿宋" w:cs="Times New Roman" w:hint="eastAsia"/>
          <w:sz w:val="32"/>
          <w:szCs w:val="32"/>
        </w:rPr>
        <w:t>浏阳市第</w:t>
      </w:r>
      <w:r>
        <w:rPr>
          <w:rFonts w:ascii="仿宋" w:eastAsia="仿宋" w:hAnsi="仿宋" w:cs="Times New Roman" w:hint="eastAsia"/>
          <w:sz w:val="32"/>
          <w:szCs w:val="32"/>
        </w:rPr>
        <w:t>十一</w:t>
      </w:r>
      <w:r w:rsidRPr="00A849DA">
        <w:rPr>
          <w:rFonts w:ascii="仿宋" w:eastAsia="仿宋" w:hAnsi="仿宋" w:cs="Times New Roman" w:hint="eastAsia"/>
          <w:sz w:val="32"/>
          <w:szCs w:val="32"/>
        </w:rPr>
        <w:t>中学</w:t>
      </w:r>
      <w:r w:rsidRPr="00C60611">
        <w:rPr>
          <w:rFonts w:ascii="仿宋" w:eastAsia="仿宋" w:hAnsi="仿宋" w:cs="Times New Roman" w:hint="eastAsia"/>
          <w:sz w:val="32"/>
          <w:szCs w:val="32"/>
        </w:rPr>
        <w:t>属于长沙市普通高中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A849DA">
        <w:rPr>
          <w:rFonts w:ascii="仿宋" w:eastAsia="仿宋" w:hAnsi="仿宋" w:cs="Times New Roman" w:hint="eastAsia"/>
          <w:sz w:val="32"/>
          <w:szCs w:val="32"/>
        </w:rPr>
        <w:t>预算代码为2080</w:t>
      </w:r>
      <w:r>
        <w:rPr>
          <w:rFonts w:ascii="仿宋" w:eastAsia="仿宋" w:hAnsi="仿宋" w:cs="Times New Roman"/>
          <w:sz w:val="32"/>
          <w:szCs w:val="32"/>
        </w:rPr>
        <w:t>10</w:t>
      </w:r>
      <w:r w:rsidRPr="00A849DA">
        <w:rPr>
          <w:rFonts w:ascii="仿宋" w:eastAsia="仿宋" w:hAnsi="仿宋" w:cs="Times New Roman" w:hint="eastAsia"/>
          <w:sz w:val="32"/>
          <w:szCs w:val="32"/>
        </w:rPr>
        <w:t>。主要职责为：</w:t>
      </w:r>
      <w:r w:rsidR="00B848C7"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全面统筹</w:t>
      </w:r>
      <w:r w:rsidR="00963AC5"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学校</w:t>
      </w:r>
      <w:r w:rsidR="00B848C7"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教育发展、管理、服务、协调等各项工作，协助制订教育事业发展规划，协调组织改善</w:t>
      </w:r>
      <w:r w:rsidR="00963AC5"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学校</w:t>
      </w:r>
      <w:r w:rsidR="00B848C7"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办学条件；统筹落实教职工聘任、培训、考核以及教育经费管理；指导督促教育教学工作；统筹协调校园安全稳定、周边治理、应急处突、专项整治等工作；协调落实保</w:t>
      </w:r>
      <w:proofErr w:type="gramStart"/>
      <w:r w:rsidR="00B848C7"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学控流</w:t>
      </w:r>
      <w:proofErr w:type="gramEnd"/>
      <w:r w:rsidR="00B848C7"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及教育培训机构管理等工作。</w:t>
      </w:r>
    </w:p>
    <w:p w14:paraId="51F56B13" w14:textId="77777777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（二）部门组织机构及人员情况</w:t>
      </w:r>
    </w:p>
    <w:p w14:paraId="4F198B4C" w14:textId="77777777" w:rsidR="00B34056" w:rsidRPr="004B4BB2" w:rsidRDefault="00B848C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  <w:lang w:val="zh-CN"/>
        </w:rPr>
      </w:pPr>
      <w:r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浏阳市</w:t>
      </w:r>
      <w:r w:rsidR="00963AC5"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第十一中学</w:t>
      </w:r>
      <w:r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属于浏阳市教育局的二级预算单位。</w:t>
      </w:r>
    </w:p>
    <w:p w14:paraId="2201C2D2" w14:textId="0E171A39" w:rsidR="00B34056" w:rsidRPr="004B4BB2" w:rsidRDefault="00B848C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全在职人员</w:t>
      </w:r>
      <w:r w:rsidR="00D4192B" w:rsidRPr="004B4BB2">
        <w:rPr>
          <w:rFonts w:ascii="仿宋" w:eastAsia="仿宋" w:hAnsi="仿宋"/>
          <w:sz w:val="32"/>
          <w:szCs w:val="32"/>
        </w:rPr>
        <w:t>114</w:t>
      </w:r>
      <w:r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人，离休人员</w:t>
      </w:r>
      <w:r w:rsidRPr="004B4BB2">
        <w:rPr>
          <w:rFonts w:ascii="仿宋" w:eastAsia="仿宋" w:hAnsi="仿宋" w:cs="Times New Roman" w:hint="eastAsia"/>
          <w:sz w:val="32"/>
          <w:szCs w:val="32"/>
        </w:rPr>
        <w:t>0</w:t>
      </w:r>
      <w:r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人，退休人员</w:t>
      </w:r>
      <w:r w:rsidR="00963AC5" w:rsidRPr="004B4BB2">
        <w:rPr>
          <w:rFonts w:ascii="仿宋" w:eastAsia="仿宋" w:hAnsi="仿宋" w:cs="Times New Roman" w:hint="eastAsia"/>
          <w:sz w:val="32"/>
          <w:szCs w:val="32"/>
        </w:rPr>
        <w:t>13</w:t>
      </w:r>
      <w:r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人，退职及遗属人</w:t>
      </w:r>
      <w:r w:rsidR="00963AC5" w:rsidRPr="004B4BB2">
        <w:rPr>
          <w:rFonts w:ascii="仿宋" w:eastAsia="仿宋" w:hAnsi="仿宋" w:cs="Times New Roman" w:hint="eastAsia"/>
          <w:sz w:val="32"/>
          <w:szCs w:val="32"/>
        </w:rPr>
        <w:t>4</w:t>
      </w:r>
      <w:r w:rsidRPr="004B4BB2">
        <w:rPr>
          <w:rFonts w:ascii="仿宋" w:eastAsia="仿宋" w:hAnsi="仿宋" w:cs="Times New Roman" w:hint="eastAsia"/>
          <w:sz w:val="32"/>
          <w:szCs w:val="32"/>
          <w:lang w:val="zh-CN"/>
        </w:rPr>
        <w:t>人。</w:t>
      </w:r>
    </w:p>
    <w:p w14:paraId="389BAE75" w14:textId="77777777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（三）年度重点工作计划</w:t>
      </w:r>
    </w:p>
    <w:p w14:paraId="478092DF" w14:textId="77777777" w:rsidR="00E470DA" w:rsidRPr="004B4BB2" w:rsidRDefault="00B848C7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B4BB2">
        <w:rPr>
          <w:rFonts w:ascii="仿宋" w:eastAsia="仿宋" w:hAnsi="仿宋" w:hint="eastAsia"/>
          <w:b/>
          <w:bCs/>
          <w:sz w:val="32"/>
          <w:szCs w:val="32"/>
        </w:rPr>
        <w:t>总体目标：</w:t>
      </w:r>
    </w:p>
    <w:p w14:paraId="2A8F6315" w14:textId="77777777" w:rsidR="00B34056" w:rsidRPr="004B4BB2" w:rsidRDefault="00B848C7" w:rsidP="00E470D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4BB2">
        <w:rPr>
          <w:rFonts w:ascii="仿宋" w:eastAsia="仿宋" w:hAnsi="仿宋" w:hint="eastAsia"/>
          <w:sz w:val="32"/>
          <w:szCs w:val="32"/>
        </w:rPr>
        <w:t>各类教育协调发展，全面提高教育教学质量，争创年度绩效考核评价一等奖</w:t>
      </w:r>
      <w:r w:rsidR="00E470DA" w:rsidRPr="004B4BB2">
        <w:rPr>
          <w:rFonts w:ascii="仿宋" w:eastAsia="仿宋" w:hAnsi="仿宋" w:hint="eastAsia"/>
          <w:sz w:val="32"/>
          <w:szCs w:val="32"/>
        </w:rPr>
        <w:t>，</w:t>
      </w:r>
      <w:r w:rsidRPr="004B4BB2">
        <w:rPr>
          <w:rFonts w:ascii="仿宋" w:eastAsia="仿宋" w:hAnsi="仿宋" w:hint="eastAsia"/>
          <w:sz w:val="32"/>
          <w:szCs w:val="32"/>
        </w:rPr>
        <w:t>确保学校获市教学质量评价优胜单位。</w:t>
      </w:r>
    </w:p>
    <w:p w14:paraId="59D8EFF3" w14:textId="77777777" w:rsidR="00B34056" w:rsidRPr="004B4BB2" w:rsidRDefault="00B848C7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B4BB2">
        <w:rPr>
          <w:rFonts w:ascii="仿宋" w:eastAsia="仿宋" w:hAnsi="仿宋" w:hint="eastAsia"/>
          <w:b/>
          <w:bCs/>
          <w:sz w:val="32"/>
          <w:szCs w:val="32"/>
        </w:rPr>
        <w:t>具体目标：</w:t>
      </w:r>
    </w:p>
    <w:p w14:paraId="727A1684" w14:textId="77777777" w:rsidR="00B848C7" w:rsidRPr="004B4BB2" w:rsidRDefault="00B848C7" w:rsidP="00B848C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B4BB2">
        <w:rPr>
          <w:rFonts w:ascii="仿宋" w:eastAsia="仿宋" w:hAnsi="仿宋" w:hint="eastAsia"/>
          <w:b/>
          <w:color w:val="000000"/>
          <w:sz w:val="32"/>
          <w:szCs w:val="32"/>
        </w:rPr>
        <w:t>围绕</w:t>
      </w:r>
      <w:r w:rsidRPr="004B4BB2">
        <w:rPr>
          <w:rFonts w:ascii="仿宋" w:eastAsia="仿宋" w:hAnsi="仿宋" w:hint="eastAsia"/>
          <w:b/>
          <w:sz w:val="32"/>
          <w:szCs w:val="32"/>
        </w:rPr>
        <w:t>一个中心：</w:t>
      </w:r>
      <w:r w:rsidRPr="004B4BB2">
        <w:rPr>
          <w:rFonts w:ascii="仿宋" w:eastAsia="仿宋" w:hAnsi="仿宋" w:hint="eastAsia"/>
          <w:sz w:val="32"/>
          <w:szCs w:val="32"/>
        </w:rPr>
        <w:t>凝心</w:t>
      </w:r>
      <w:proofErr w:type="gramStart"/>
      <w:r w:rsidRPr="004B4BB2">
        <w:rPr>
          <w:rFonts w:ascii="仿宋" w:eastAsia="仿宋" w:hAnsi="仿宋" w:hint="eastAsia"/>
          <w:sz w:val="32"/>
          <w:szCs w:val="32"/>
        </w:rPr>
        <w:t>聚力提质量</w:t>
      </w:r>
      <w:proofErr w:type="gramEnd"/>
    </w:p>
    <w:p w14:paraId="50BEAC9B" w14:textId="77777777" w:rsidR="00B848C7" w:rsidRPr="004B4BB2" w:rsidRDefault="00B848C7" w:rsidP="00B848C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B4BB2">
        <w:rPr>
          <w:rFonts w:ascii="仿宋" w:eastAsia="仿宋" w:hAnsi="仿宋" w:hint="eastAsia"/>
          <w:b/>
          <w:sz w:val="32"/>
          <w:szCs w:val="32"/>
        </w:rPr>
        <w:t>夯实两大保障：</w:t>
      </w:r>
      <w:r w:rsidRPr="004B4BB2">
        <w:rPr>
          <w:rFonts w:ascii="仿宋" w:eastAsia="仿宋" w:hAnsi="仿宋" w:hint="eastAsia"/>
          <w:sz w:val="32"/>
          <w:szCs w:val="32"/>
        </w:rPr>
        <w:t>确保校园平安稳定；确保党建廉政富有</w:t>
      </w:r>
      <w:r w:rsidRPr="004B4BB2">
        <w:rPr>
          <w:rFonts w:ascii="仿宋" w:eastAsia="仿宋" w:hAnsi="仿宋" w:hint="eastAsia"/>
          <w:sz w:val="32"/>
          <w:szCs w:val="32"/>
        </w:rPr>
        <w:lastRenderedPageBreak/>
        <w:t>成效。</w:t>
      </w:r>
    </w:p>
    <w:p w14:paraId="3DF08A74" w14:textId="77777777" w:rsidR="00B848C7" w:rsidRPr="004B4BB2" w:rsidRDefault="00B848C7" w:rsidP="00B848C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B4BB2">
        <w:rPr>
          <w:rFonts w:ascii="仿宋" w:eastAsia="仿宋" w:hAnsi="仿宋" w:hint="eastAsia"/>
          <w:b/>
          <w:sz w:val="32"/>
          <w:szCs w:val="32"/>
        </w:rPr>
        <w:t>力推三大提升：</w:t>
      </w:r>
      <w:r w:rsidRPr="004B4BB2">
        <w:rPr>
          <w:rFonts w:ascii="仿宋" w:eastAsia="仿宋" w:hAnsi="仿宋" w:hint="eastAsia"/>
          <w:sz w:val="32"/>
          <w:szCs w:val="32"/>
        </w:rPr>
        <w:t>教师专业素养有提升；学生核心素养有提升；学校办学品质有提升。</w:t>
      </w:r>
    </w:p>
    <w:p w14:paraId="4FFC5D4E" w14:textId="77777777" w:rsidR="00B34056" w:rsidRPr="004B4BB2" w:rsidRDefault="00B848C7" w:rsidP="00B848C7">
      <w:pPr>
        <w:pStyle w:val="a7"/>
        <w:widowControl/>
        <w:spacing w:beforeAutospacing="0" w:afterAutospacing="0" w:line="540" w:lineRule="atLeast"/>
        <w:ind w:firstLineChars="200" w:firstLine="643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B4BB2">
        <w:rPr>
          <w:rFonts w:ascii="仿宋" w:eastAsia="仿宋" w:hAnsi="仿宋" w:hint="eastAsia"/>
          <w:b/>
          <w:sz w:val="32"/>
          <w:szCs w:val="32"/>
        </w:rPr>
        <w:t>实现四大突破：</w:t>
      </w:r>
      <w:r w:rsidRPr="004B4BB2">
        <w:rPr>
          <w:rFonts w:ascii="仿宋" w:eastAsia="仿宋" w:hAnsi="仿宋" w:hint="eastAsia"/>
          <w:sz w:val="32"/>
          <w:szCs w:val="32"/>
        </w:rPr>
        <w:t>现代学校治理能力有突破，家校合作互通互助有突破；课堂改革探索实验有突破；学校特色</w:t>
      </w:r>
      <w:r w:rsidRPr="004B4BB2">
        <w:rPr>
          <w:rFonts w:ascii="仿宋" w:eastAsia="仿宋" w:hAnsi="仿宋" w:hint="eastAsia"/>
          <w:color w:val="000000"/>
          <w:sz w:val="32"/>
          <w:szCs w:val="32"/>
        </w:rPr>
        <w:t>项目打造有突破。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（四）部门整体支出概况</w:t>
      </w:r>
    </w:p>
    <w:p w14:paraId="1F945906" w14:textId="4E4AA5A5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本年收入合计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2421.70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万元，其中：财政</w:t>
      </w:r>
      <w:proofErr w:type="gramStart"/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拨款收</w:t>
      </w:r>
      <w:proofErr w:type="gramEnd"/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2110.90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万元，占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87</w:t>
      </w:r>
      <w:r w:rsidR="00E470DA"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17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%；政府性基金预算财政拨款收入0万元，占0 %；事业收入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310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万元，占</w:t>
      </w:r>
      <w:r w:rsidR="00E470DA"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 w:rsidR="00E470DA"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.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80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%，其他收入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0.8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万元，占</w:t>
      </w:r>
      <w:r w:rsidR="00E470DA"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0.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03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%。</w:t>
      </w:r>
    </w:p>
    <w:p w14:paraId="1927ECEF" w14:textId="57E2030F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本年支出合计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2421.70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万元，其中：基本支出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2346.04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万元，占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96.88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%；项目支出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75.66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万元，占</w:t>
      </w:r>
      <w:r w:rsidR="00D4192B" w:rsidRPr="004B4BB2">
        <w:rPr>
          <w:rFonts w:ascii="仿宋" w:eastAsia="仿宋" w:hAnsi="仿宋" w:cs="仿宋"/>
          <w:sz w:val="32"/>
          <w:szCs w:val="32"/>
          <w:shd w:val="clear" w:color="auto" w:fill="FFFFFF"/>
        </w:rPr>
        <w:t>3.12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%。</w:t>
      </w:r>
    </w:p>
    <w:p w14:paraId="2BB957AE" w14:textId="77777777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二、</w:t>
      </w:r>
      <w:r w:rsidRPr="004B4BB2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部门整体支出管理及使用情况  </w:t>
      </w:r>
    </w:p>
    <w:p w14:paraId="0065734D" w14:textId="77777777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部门各类支出严格按照浏阳市财政局关于印发《浏阳市预算支出绩效评价结果应用管理办法》（</w:t>
      </w:r>
      <w:proofErr w:type="gramStart"/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浏</w:t>
      </w:r>
      <w:proofErr w:type="gramEnd"/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财发【2020】18号）等文件要求列支。采购项目将严格按照《政府采购法》、《政府采购货物和服务招标投标管理办法》、《长沙市行政事业单位资产管理实施办法》、《长沙市2020-2021年度政府集中采购目录及政府采购限额标准》等相关文件规定，基建项目严格按照浏阳市教育局下发的《学校基本建设管理办法》的要求按程序实施。项目资金使用过程中，严把监督审核关，建立内部审批制度。</w:t>
      </w:r>
    </w:p>
    <w:p w14:paraId="4F04F038" w14:textId="77777777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健全</w:t>
      </w:r>
      <w:proofErr w:type="gramStart"/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完善部门</w:t>
      </w:r>
      <w:proofErr w:type="gramEnd"/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内控制度，全面梳理业务流程，明确业务环节，分析风险隐患，完善风险评估机制，制定风险应对策略;有效运用不相容岗位相互分离、内部授权审批控制、归口管理、预算控制、财产保护控制、会计控制、单据控制、信息内部公开等内部控制基本方法，加强对单位层面和业务层面的内部控制，实现内部控制体系全面、有效实施。建立单位内控监督约束机制，让单位纪检、审计、业务部门参与到资金使用监督环节，确保资金安全、合理、有效使用，最大限度发挥财政资金使用效益。</w:t>
      </w:r>
    </w:p>
    <w:p w14:paraId="0B80645F" w14:textId="77777777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4BB2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三、项目组织实施情况</w:t>
      </w:r>
    </w:p>
    <w:p w14:paraId="57975213" w14:textId="77777777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2020年各类专项资金严格按照相关文件要求及项目预算合理合</w:t>
      </w:r>
      <w:proofErr w:type="gramStart"/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规</w:t>
      </w:r>
      <w:proofErr w:type="gramEnd"/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进行使用，根据项目资金到位及使用情况，及时、详细</w:t>
      </w:r>
      <w:proofErr w:type="gramStart"/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地造账登记</w:t>
      </w:r>
      <w:proofErr w:type="gramEnd"/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，并严格做到专款专用。项目资金使用过程中，严把监督审核关，建立内部审批制度。</w:t>
      </w:r>
    </w:p>
    <w:p w14:paraId="63347A44" w14:textId="77777777" w:rsidR="00B34056" w:rsidRPr="004B4BB2" w:rsidRDefault="00B848C7">
      <w:pPr>
        <w:pStyle w:val="a7"/>
        <w:widowControl/>
        <w:spacing w:beforeAutospacing="0" w:afterAutospacing="0" w:line="540" w:lineRule="atLeas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4B4BB2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四、部门整体支出绩效情况</w:t>
      </w:r>
      <w:r w:rsidRPr="004B4BB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 </w:t>
      </w:r>
    </w:p>
    <w:p w14:paraId="6F437AF6" w14:textId="0E23D3DA" w:rsidR="00B34056" w:rsidRDefault="00D50D28" w:rsidP="00D50D2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B4BB2">
        <w:rPr>
          <w:rFonts w:ascii="仿宋" w:eastAsia="仿宋" w:hAnsi="仿宋" w:hint="eastAsia"/>
          <w:sz w:val="32"/>
          <w:szCs w:val="32"/>
        </w:rPr>
        <w:t>一年来，我校在局领导的关怀和支持下，积极完成上级下达的各项任务，本着“开拓、进取、务实、创新”的原则，进一步完善了相关制度建设和学校建设，现本年度有具体工作总结如下：一、加强师德师风建设，提升教师团队的战斗力。二、抓</w:t>
      </w:r>
      <w:proofErr w:type="gramStart"/>
      <w:r w:rsidRPr="004B4BB2">
        <w:rPr>
          <w:rFonts w:ascii="仿宋" w:eastAsia="仿宋" w:hAnsi="仿宋" w:hint="eastAsia"/>
          <w:sz w:val="32"/>
          <w:szCs w:val="32"/>
        </w:rPr>
        <w:t>实教师</w:t>
      </w:r>
      <w:proofErr w:type="gramEnd"/>
      <w:r w:rsidRPr="004B4BB2">
        <w:rPr>
          <w:rFonts w:ascii="仿宋" w:eastAsia="仿宋" w:hAnsi="仿宋" w:hint="eastAsia"/>
          <w:sz w:val="32"/>
          <w:szCs w:val="32"/>
        </w:rPr>
        <w:t>常规管理，拓展校本</w:t>
      </w:r>
      <w:proofErr w:type="gramStart"/>
      <w:r w:rsidRPr="004B4BB2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4B4BB2">
        <w:rPr>
          <w:rFonts w:ascii="仿宋" w:eastAsia="仿宋" w:hAnsi="仿宋" w:hint="eastAsia"/>
          <w:sz w:val="32"/>
          <w:szCs w:val="32"/>
        </w:rPr>
        <w:t>训的形式。三是坚持服务至上，尽力为师生提供“大服务”。 三、坚持文化育人，打造学校文化教育特色 学校通过积极探索，创新形式，注重实效，形成了以班级文化、感恩文化、</w:t>
      </w:r>
      <w:proofErr w:type="gramStart"/>
      <w:r w:rsidRPr="004B4BB2">
        <w:rPr>
          <w:rFonts w:ascii="仿宋" w:eastAsia="仿宋" w:hAnsi="仿宋" w:hint="eastAsia"/>
          <w:sz w:val="32"/>
          <w:szCs w:val="32"/>
        </w:rPr>
        <w:t>廉洁文化</w:t>
      </w:r>
      <w:proofErr w:type="gramEnd"/>
      <w:r w:rsidRPr="004B4BB2">
        <w:rPr>
          <w:rFonts w:ascii="仿宋" w:eastAsia="仿宋" w:hAnsi="仿宋" w:hint="eastAsia"/>
          <w:sz w:val="32"/>
          <w:szCs w:val="32"/>
        </w:rPr>
        <w:t>和红色</w:t>
      </w:r>
      <w:r w:rsidRPr="004B4BB2">
        <w:rPr>
          <w:rFonts w:ascii="仿宋" w:eastAsia="仿宋" w:hAnsi="仿宋" w:hint="eastAsia"/>
          <w:sz w:val="32"/>
          <w:szCs w:val="32"/>
        </w:rPr>
        <w:lastRenderedPageBreak/>
        <w:t>文化为主要内容的校园文化体系，扎实推进校园文化建设，打造了学校“大文化”的鲜明特色。 1、以多形式、多层次的主题活动为载体，丰富了感恩文化内。 2、以学习习惯培养为抓手，营造了班级文化</w:t>
      </w:r>
      <w:proofErr w:type="gramStart"/>
      <w:r w:rsidRPr="004B4BB2">
        <w:rPr>
          <w:rFonts w:ascii="仿宋" w:eastAsia="仿宋" w:hAnsi="仿宋" w:hint="eastAsia"/>
          <w:sz w:val="32"/>
          <w:szCs w:val="32"/>
        </w:rPr>
        <w:t>氛</w:t>
      </w:r>
      <w:proofErr w:type="gramEnd"/>
      <w:r w:rsidRPr="004B4BB2">
        <w:rPr>
          <w:rFonts w:ascii="仿宋" w:eastAsia="仿宋" w:hAnsi="仿宋" w:hint="eastAsia"/>
          <w:sz w:val="32"/>
          <w:szCs w:val="32"/>
        </w:rPr>
        <w:t>。 3、以</w:t>
      </w:r>
      <w:proofErr w:type="gramStart"/>
      <w:r w:rsidRPr="004B4BB2">
        <w:rPr>
          <w:rFonts w:ascii="仿宋" w:eastAsia="仿宋" w:hAnsi="仿宋" w:hint="eastAsia"/>
          <w:sz w:val="32"/>
          <w:szCs w:val="32"/>
        </w:rPr>
        <w:t>廉洁文化</w:t>
      </w:r>
      <w:proofErr w:type="gramEnd"/>
      <w:r w:rsidRPr="004B4BB2">
        <w:rPr>
          <w:rFonts w:ascii="仿宋" w:eastAsia="仿宋" w:hAnsi="仿宋" w:hint="eastAsia"/>
          <w:sz w:val="32"/>
          <w:szCs w:val="32"/>
        </w:rPr>
        <w:t>进校园为契机，深化了</w:t>
      </w:r>
      <w:proofErr w:type="gramStart"/>
      <w:r w:rsidRPr="004B4BB2">
        <w:rPr>
          <w:rFonts w:ascii="仿宋" w:eastAsia="仿宋" w:hAnsi="仿宋" w:hint="eastAsia"/>
          <w:sz w:val="32"/>
          <w:szCs w:val="32"/>
        </w:rPr>
        <w:t>廉洁文化</w:t>
      </w:r>
      <w:proofErr w:type="gramEnd"/>
      <w:r w:rsidRPr="004B4BB2">
        <w:rPr>
          <w:rFonts w:ascii="仿宋" w:eastAsia="仿宋" w:hAnsi="仿宋" w:hint="eastAsia"/>
          <w:sz w:val="32"/>
          <w:szCs w:val="32"/>
        </w:rPr>
        <w:t xml:space="preserve">建。 4、以红色经典和革命传统教育为依托，打造了红色文化特色。 </w:t>
      </w:r>
      <w:r w:rsidR="00CE773E" w:rsidRPr="004B4BB2">
        <w:rPr>
          <w:rFonts w:ascii="仿宋" w:eastAsia="仿宋" w:hAnsi="仿宋" w:hint="eastAsia"/>
          <w:sz w:val="32"/>
          <w:szCs w:val="32"/>
        </w:rPr>
        <w:t>四</w:t>
      </w:r>
      <w:commentRangeStart w:id="0"/>
      <w:r w:rsidRPr="004B4BB2">
        <w:rPr>
          <w:rFonts w:ascii="仿宋" w:eastAsia="仿宋" w:hAnsi="仿宋" w:hint="eastAsia"/>
          <w:sz w:val="32"/>
          <w:szCs w:val="32"/>
        </w:rPr>
        <w:t>、</w:t>
      </w:r>
      <w:commentRangeEnd w:id="0"/>
      <w:r w:rsidR="003E1457" w:rsidRPr="004B4BB2">
        <w:rPr>
          <w:rStyle w:val="a9"/>
          <w:rFonts w:ascii="仿宋" w:eastAsia="仿宋" w:hAnsi="仿宋"/>
          <w:sz w:val="32"/>
          <w:szCs w:val="32"/>
        </w:rPr>
        <w:commentReference w:id="0"/>
      </w:r>
      <w:r w:rsidRPr="004B4BB2">
        <w:rPr>
          <w:rFonts w:ascii="仿宋" w:eastAsia="仿宋" w:hAnsi="仿宋" w:hint="eastAsia"/>
          <w:sz w:val="32"/>
          <w:szCs w:val="32"/>
        </w:rPr>
        <w:t>突出重点工作，积极提升学校办学品位 1、积极组织文明创建活动，获评“红旗单位” 2、加强学生德育教育，培养学生良好品质。 3、以活动为载体，促进学生全面发展。 4、督学责任区工作的开展促进了辖区学校整体办学水平的提升。</w:t>
      </w:r>
    </w:p>
    <w:p w14:paraId="6404ADCB" w14:textId="17F810E0" w:rsidR="002F3458" w:rsidRPr="004F1A52" w:rsidRDefault="002F3458" w:rsidP="002F345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1" w:name="_Hlk118917821"/>
      <w:r>
        <w:rPr>
          <w:rFonts w:ascii="仿宋" w:eastAsia="仿宋" w:hAnsi="仿宋" w:hint="eastAsia"/>
          <w:b/>
          <w:sz w:val="32"/>
          <w:szCs w:val="32"/>
        </w:rPr>
        <w:t>五</w:t>
      </w:r>
      <w:r w:rsidRPr="004F1A52">
        <w:rPr>
          <w:rFonts w:ascii="仿宋" w:eastAsia="仿宋" w:hAnsi="仿宋" w:hint="eastAsia"/>
          <w:b/>
          <w:sz w:val="32"/>
          <w:szCs w:val="32"/>
        </w:rPr>
        <w:t>、部门整体支出绩效评价等级</w:t>
      </w:r>
    </w:p>
    <w:p w14:paraId="228C3657" w14:textId="3F947643" w:rsidR="002F3458" w:rsidRPr="004F1A52" w:rsidRDefault="002F3458" w:rsidP="002F345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1A52">
        <w:rPr>
          <w:rFonts w:ascii="仿宋" w:eastAsia="仿宋" w:hAnsi="仿宋" w:hint="eastAsia"/>
          <w:sz w:val="32"/>
          <w:szCs w:val="32"/>
        </w:rPr>
        <w:t>我单位2021年度部门整体支出的预算执行与分配、单位资产管理与有效利用、部门年度重点工作任务实施与职责履行等方面总体执行情况良好。根据部门整体支出绩效评价指标体系，部门整体支出绩效综合评分9</w:t>
      </w:r>
      <w:r>
        <w:rPr>
          <w:rFonts w:ascii="仿宋" w:eastAsia="仿宋" w:hAnsi="仿宋"/>
          <w:sz w:val="32"/>
          <w:szCs w:val="32"/>
        </w:rPr>
        <w:t>5</w:t>
      </w:r>
      <w:r w:rsidRPr="004F1A52"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，评价等级为优秀</w:t>
      </w:r>
      <w:r w:rsidRPr="004F1A52">
        <w:rPr>
          <w:rFonts w:ascii="仿宋" w:eastAsia="仿宋" w:hAnsi="仿宋" w:hint="eastAsia"/>
          <w:sz w:val="32"/>
          <w:szCs w:val="32"/>
        </w:rPr>
        <w:t>。</w:t>
      </w:r>
    </w:p>
    <w:bookmarkEnd w:id="1"/>
    <w:p w14:paraId="0F830513" w14:textId="77777777" w:rsidR="002F3458" w:rsidRPr="002F3458" w:rsidRDefault="002F3458" w:rsidP="00D50D28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sectPr w:rsidR="002F3458" w:rsidRPr="002F3458" w:rsidSect="00B34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c" w:date="2022-08-28T22:56:00Z" w:initials="m">
    <w:p w14:paraId="0AD11DAA" w14:textId="77777777" w:rsidR="003E1457" w:rsidRDefault="003E1457">
      <w:pPr>
        <w:pStyle w:val="aa"/>
      </w:pPr>
      <w:r>
        <w:rPr>
          <w:rStyle w:val="a9"/>
        </w:rPr>
        <w:annotationRef/>
      </w:r>
      <w:r>
        <w:t>序号应该是四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D11D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D11DAA" w16cid:durableId="27174F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EAA4" w14:textId="77777777" w:rsidR="00B639B1" w:rsidRDefault="00B639B1" w:rsidP="00963AC5">
      <w:r>
        <w:separator/>
      </w:r>
    </w:p>
  </w:endnote>
  <w:endnote w:type="continuationSeparator" w:id="0">
    <w:p w14:paraId="5B775A25" w14:textId="77777777" w:rsidR="00B639B1" w:rsidRDefault="00B639B1" w:rsidP="0096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66DF" w14:textId="77777777" w:rsidR="002F3458" w:rsidRDefault="002F34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62FA" w14:textId="77777777" w:rsidR="002F3458" w:rsidRDefault="002F345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32DC" w14:textId="77777777" w:rsidR="002F3458" w:rsidRDefault="002F34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566B" w14:textId="77777777" w:rsidR="00B639B1" w:rsidRDefault="00B639B1" w:rsidP="00963AC5">
      <w:r>
        <w:separator/>
      </w:r>
    </w:p>
  </w:footnote>
  <w:footnote w:type="continuationSeparator" w:id="0">
    <w:p w14:paraId="45678B82" w14:textId="77777777" w:rsidR="00B639B1" w:rsidRDefault="00B639B1" w:rsidP="0096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DF98" w14:textId="77777777" w:rsidR="002F3458" w:rsidRDefault="002F34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0803" w14:textId="77777777" w:rsidR="004B4BB2" w:rsidRDefault="004B4BB2" w:rsidP="002F345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A451" w14:textId="77777777" w:rsidR="002F3458" w:rsidRDefault="002F34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83BAA"/>
    <w:multiLevelType w:val="multilevel"/>
    <w:tmpl w:val="79783BA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JmNTAxYTA0NTllZTU0OWY5NWY0MWNlMzBjNGU2OTYifQ=="/>
  </w:docVars>
  <w:rsids>
    <w:rsidRoot w:val="008072AC"/>
    <w:rsid w:val="000220D3"/>
    <w:rsid w:val="00146026"/>
    <w:rsid w:val="00265CF6"/>
    <w:rsid w:val="00280D39"/>
    <w:rsid w:val="002910D2"/>
    <w:rsid w:val="002F3458"/>
    <w:rsid w:val="003E1457"/>
    <w:rsid w:val="004924B4"/>
    <w:rsid w:val="00496BD9"/>
    <w:rsid w:val="004B4BB2"/>
    <w:rsid w:val="004E507F"/>
    <w:rsid w:val="0059597D"/>
    <w:rsid w:val="007A3B49"/>
    <w:rsid w:val="008072AC"/>
    <w:rsid w:val="00963AC5"/>
    <w:rsid w:val="00B34056"/>
    <w:rsid w:val="00B639B1"/>
    <w:rsid w:val="00B848C7"/>
    <w:rsid w:val="00CE773E"/>
    <w:rsid w:val="00D4192B"/>
    <w:rsid w:val="00D50D28"/>
    <w:rsid w:val="00E470DA"/>
    <w:rsid w:val="12A143E4"/>
    <w:rsid w:val="159713D6"/>
    <w:rsid w:val="15AA0315"/>
    <w:rsid w:val="16BB6FFF"/>
    <w:rsid w:val="1A08356E"/>
    <w:rsid w:val="240C5790"/>
    <w:rsid w:val="2B762899"/>
    <w:rsid w:val="3DBA617B"/>
    <w:rsid w:val="498738A0"/>
    <w:rsid w:val="4E28040C"/>
    <w:rsid w:val="6CD22AE1"/>
    <w:rsid w:val="75A77941"/>
    <w:rsid w:val="77442EC3"/>
    <w:rsid w:val="79054694"/>
    <w:rsid w:val="7B6C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99AAE"/>
  <w15:docId w15:val="{B161BFA7-3E5D-674C-B366-670DF383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40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3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B3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3405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B34056"/>
    <w:rPr>
      <w:b/>
    </w:rPr>
  </w:style>
  <w:style w:type="character" w:customStyle="1" w:styleId="a6">
    <w:name w:val="页眉 字符"/>
    <w:basedOn w:val="a0"/>
    <w:link w:val="a5"/>
    <w:qFormat/>
    <w:rsid w:val="00B3405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B34056"/>
    <w:rPr>
      <w:kern w:val="2"/>
      <w:sz w:val="18"/>
      <w:szCs w:val="18"/>
    </w:rPr>
  </w:style>
  <w:style w:type="character" w:styleId="a9">
    <w:name w:val="annotation reference"/>
    <w:basedOn w:val="a0"/>
    <w:rsid w:val="003E1457"/>
    <w:rPr>
      <w:sz w:val="21"/>
      <w:szCs w:val="21"/>
    </w:rPr>
  </w:style>
  <w:style w:type="paragraph" w:styleId="aa">
    <w:name w:val="annotation text"/>
    <w:basedOn w:val="a"/>
    <w:link w:val="ab"/>
    <w:rsid w:val="003E1457"/>
    <w:pPr>
      <w:jc w:val="left"/>
    </w:pPr>
  </w:style>
  <w:style w:type="character" w:customStyle="1" w:styleId="ab">
    <w:name w:val="批注文字 字符"/>
    <w:basedOn w:val="a0"/>
    <w:link w:val="aa"/>
    <w:rsid w:val="003E1457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1457"/>
    <w:rPr>
      <w:b/>
      <w:bCs/>
    </w:rPr>
  </w:style>
  <w:style w:type="character" w:customStyle="1" w:styleId="ad">
    <w:name w:val="批注主题 字符"/>
    <w:basedOn w:val="ab"/>
    <w:link w:val="ac"/>
    <w:rsid w:val="003E145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1457"/>
    <w:rPr>
      <w:sz w:val="18"/>
      <w:szCs w:val="18"/>
    </w:rPr>
  </w:style>
  <w:style w:type="character" w:customStyle="1" w:styleId="af">
    <w:name w:val="批注框文本 字符"/>
    <w:basedOn w:val="a0"/>
    <w:link w:val="ae"/>
    <w:rsid w:val="003E14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277</Words>
  <Characters>1583</Characters>
  <Application>Microsoft Office Word</Application>
  <DocSecurity>0</DocSecurity>
  <Lines>13</Lines>
  <Paragraphs>3</Paragraphs>
  <ScaleCrop>false</ScaleCrop>
  <Company>Micorosoft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风轻云淡</cp:lastModifiedBy>
  <cp:revision>3</cp:revision>
  <dcterms:created xsi:type="dcterms:W3CDTF">2022-11-10T07:11:00Z</dcterms:created>
  <dcterms:modified xsi:type="dcterms:W3CDTF">2022-11-11T11:55:00Z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CD28ABFEEC1441E1977C4706BD9176E5</vt:lpwstr>
  </property>
</Properties>
</file>