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8B6B" w14:textId="0ED5A5AF" w:rsidR="00100A0F" w:rsidRPr="00100A0F" w:rsidRDefault="00E063F9" w:rsidP="00100A0F">
      <w:pPr>
        <w:pStyle w:val="a7"/>
        <w:widowControl/>
        <w:spacing w:beforeAutospacing="0" w:afterAutospacing="0" w:line="540" w:lineRule="atLeast"/>
        <w:jc w:val="center"/>
        <w:rPr>
          <w:rFonts w:ascii="仿宋" w:eastAsia="仿宋" w:hAnsi="仿宋" w:cs="黑体"/>
          <w:sz w:val="44"/>
          <w:szCs w:val="44"/>
          <w:shd w:val="clear" w:color="auto" w:fill="FFFFFF"/>
        </w:rPr>
      </w:pPr>
      <w:r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湖南省</w:t>
      </w:r>
      <w:r w:rsidR="00EF7583"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浏阳</w:t>
      </w:r>
      <w:r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高级技工学校</w:t>
      </w:r>
    </w:p>
    <w:p w14:paraId="23933BCC" w14:textId="3541D67C" w:rsidR="00E275FF" w:rsidRPr="00100A0F" w:rsidRDefault="005F1BB5" w:rsidP="00100A0F">
      <w:pPr>
        <w:pStyle w:val="a7"/>
        <w:widowControl/>
        <w:spacing w:beforeAutospacing="0" w:afterAutospacing="0" w:line="540" w:lineRule="atLeast"/>
        <w:jc w:val="center"/>
        <w:rPr>
          <w:rFonts w:ascii="仿宋" w:eastAsia="仿宋" w:hAnsi="仿宋" w:cs="黑体"/>
          <w:sz w:val="44"/>
          <w:szCs w:val="44"/>
        </w:rPr>
      </w:pPr>
      <w:r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202</w:t>
      </w:r>
      <w:r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1</w:t>
      </w:r>
      <w:r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年度</w:t>
      </w:r>
      <w:r w:rsidR="007E39A1" w:rsidRPr="00100A0F">
        <w:rPr>
          <w:rFonts w:ascii="仿宋" w:eastAsia="仿宋" w:hAnsi="仿宋" w:cs="黑体" w:hint="eastAsia"/>
          <w:sz w:val="44"/>
          <w:szCs w:val="44"/>
          <w:shd w:val="clear" w:color="auto" w:fill="FFFFFF"/>
        </w:rPr>
        <w:t>部门整体支出绩效评价报告</w:t>
      </w:r>
    </w:p>
    <w:p w14:paraId="6269D63A" w14:textId="77777777" w:rsidR="00100A0F" w:rsidRDefault="007E39A1" w:rsidP="00100A0F">
      <w:pPr>
        <w:pStyle w:val="a7"/>
        <w:widowControl/>
        <w:spacing w:beforeAutospacing="0" w:afterAutospacing="0" w:line="54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 </w:t>
      </w:r>
    </w:p>
    <w:p w14:paraId="114C561A" w14:textId="77777777" w:rsidR="00E275FF" w:rsidRPr="00100A0F" w:rsidRDefault="00100A0F" w:rsidP="00100A0F">
      <w:pPr>
        <w:pStyle w:val="a7"/>
        <w:widowControl/>
        <w:spacing w:beforeAutospacing="0" w:afterAutospacing="0"/>
        <w:ind w:firstLineChars="200" w:firstLine="640"/>
        <w:rPr>
          <w:rStyle w:val="a8"/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</w:t>
      </w:r>
      <w:r w:rsidR="007E39A1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部门概况</w:t>
      </w:r>
    </w:p>
    <w:p w14:paraId="388FCD8E" w14:textId="77777777" w:rsidR="00E275FF" w:rsidRDefault="007E39A1" w:rsidP="00100A0F">
      <w:pPr>
        <w:pStyle w:val="a7"/>
        <w:widowControl/>
        <w:numPr>
          <w:ilvl w:val="0"/>
          <w:numId w:val="2"/>
        </w:numPr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部门职能概述</w:t>
      </w:r>
    </w:p>
    <w:p w14:paraId="7FCD9D92" w14:textId="48E52064" w:rsidR="00E275FF" w:rsidRDefault="007C47F4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湖南省</w:t>
      </w:r>
      <w:r w:rsidRPr="00A849DA">
        <w:rPr>
          <w:rFonts w:ascii="仿宋" w:eastAsia="仿宋" w:hAnsi="仿宋" w:hint="eastAsia"/>
          <w:sz w:val="32"/>
          <w:szCs w:val="32"/>
        </w:rPr>
        <w:t>浏阳</w:t>
      </w:r>
      <w:r>
        <w:rPr>
          <w:rFonts w:ascii="仿宋" w:eastAsia="仿宋" w:hAnsi="仿宋" w:hint="eastAsia"/>
          <w:sz w:val="32"/>
          <w:szCs w:val="32"/>
        </w:rPr>
        <w:t>高级技工学校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849DA">
        <w:rPr>
          <w:rFonts w:ascii="仿宋" w:eastAsia="仿宋" w:hAnsi="仿宋" w:hint="eastAsia"/>
          <w:sz w:val="32"/>
          <w:szCs w:val="32"/>
        </w:rPr>
        <w:t>预算代码为2080</w:t>
      </w:r>
      <w:r>
        <w:rPr>
          <w:rFonts w:ascii="仿宋" w:eastAsia="仿宋" w:hAnsi="仿宋"/>
          <w:sz w:val="32"/>
          <w:szCs w:val="32"/>
        </w:rPr>
        <w:t>68</w:t>
      </w:r>
      <w:r w:rsidRPr="00A849DA">
        <w:rPr>
          <w:rFonts w:ascii="仿宋" w:eastAsia="仿宋" w:hAnsi="仿宋" w:hint="eastAsia"/>
          <w:sz w:val="32"/>
          <w:szCs w:val="32"/>
        </w:rPr>
        <w:t>。主要职责为：</w:t>
      </w:r>
      <w:r w:rsid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满足</w:t>
      </w:r>
      <w:r w:rsidR="00EC7127">
        <w:rPr>
          <w:rFonts w:ascii="仿宋" w:eastAsia="仿宋" w:hAnsi="仿宋" w:cs="仿宋"/>
          <w:sz w:val="32"/>
          <w:szCs w:val="32"/>
          <w:shd w:val="clear" w:color="auto" w:fill="FFFFFF"/>
        </w:rPr>
        <w:t>基本办学条件和教育事业发展的需要，</w:t>
      </w:r>
      <w:r w:rsid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</w:t>
      </w:r>
      <w:r w:rsidR="00EC7127">
        <w:rPr>
          <w:rFonts w:ascii="仿宋" w:eastAsia="仿宋" w:hAnsi="仿宋" w:cs="仿宋"/>
          <w:sz w:val="32"/>
          <w:szCs w:val="32"/>
          <w:shd w:val="clear" w:color="auto" w:fill="FFFFFF"/>
        </w:rPr>
        <w:t>照以收定支，收支平衡</w:t>
      </w:r>
      <w:r w:rsid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</w:t>
      </w:r>
      <w:r w:rsidR="00EC7127">
        <w:rPr>
          <w:rFonts w:ascii="仿宋" w:eastAsia="仿宋" w:hAnsi="仿宋" w:cs="仿宋"/>
          <w:sz w:val="32"/>
          <w:szCs w:val="32"/>
          <w:shd w:val="clear" w:color="auto" w:fill="FFFFFF"/>
        </w:rPr>
        <w:t>原</w:t>
      </w:r>
      <w:r w:rsid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则</w:t>
      </w:r>
      <w:r w:rsidR="00EC7127">
        <w:rPr>
          <w:rFonts w:ascii="仿宋" w:eastAsia="仿宋" w:hAnsi="仿宋" w:cs="仿宋"/>
          <w:sz w:val="32"/>
          <w:szCs w:val="32"/>
          <w:shd w:val="clear" w:color="auto" w:fill="FFFFFF"/>
        </w:rPr>
        <w:t>，保工资、保运转、确保学校教育事业的正常运转。</w:t>
      </w:r>
    </w:p>
    <w:p w14:paraId="0E22D3D7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（二）部门组织机构及人员情况</w:t>
      </w:r>
    </w:p>
    <w:p w14:paraId="6925A4DD" w14:textId="28414424" w:rsidR="00EC7127" w:rsidRDefault="00E063F9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湖南省浏阳高级技工学校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属全额拨款事业单位，有</w:t>
      </w:r>
      <w:r w:rsidR="005C57C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高级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技工学校</w:t>
      </w:r>
      <w:r w:rsidR="005C57C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1所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，共有学生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2150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人，其中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中技学生1750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高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技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学生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400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人。有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在职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教师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109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</w:t>
      </w:r>
      <w:r w:rsidR="00234A16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退休教师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50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人，遗属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 w:rsidR="00EC7127" w:rsidRPr="00EC71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人。</w:t>
      </w:r>
    </w:p>
    <w:p w14:paraId="6432903E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（三）年度重点工作计划</w:t>
      </w:r>
    </w:p>
    <w:p w14:paraId="02D49230" w14:textId="77777777" w:rsidR="008721DC" w:rsidRPr="008721DC" w:rsidRDefault="008721DC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1、</w:t>
      </w:r>
      <w:r w:rsidR="00E063F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完成新教学楼和宿舍楼建设（工建中心代建）</w:t>
      </w: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2FF8F1FD" w14:textId="77777777" w:rsidR="008721DC" w:rsidRPr="008721DC" w:rsidRDefault="008721DC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2、力争教育教学综合质量、教育绩效考核进入浏阳市一等奖行列。</w:t>
      </w:r>
    </w:p>
    <w:p w14:paraId="7C683360" w14:textId="77777777" w:rsidR="008721DC" w:rsidRDefault="008721DC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3、精细管理，加强队伍建设，营造良好教育教学氛围。</w:t>
      </w:r>
    </w:p>
    <w:p w14:paraId="4487F11F" w14:textId="77777777" w:rsidR="008721DC" w:rsidRPr="008721DC" w:rsidRDefault="008721DC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 w:rsidR="00E063F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推进7S管理</w:t>
      </w:r>
      <w:r w:rsidRPr="008721DC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2E3A06DB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color w:val="FF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（四）部门整体支出概况　</w:t>
      </w:r>
    </w:p>
    <w:p w14:paraId="0325DC2D" w14:textId="77777777" w:rsidR="00E275FF" w:rsidRPr="00100A0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本年收入合计</w:t>
      </w:r>
      <w:r w:rsidR="00607931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157.82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万元，其中：财政拨款收入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2919.4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607931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9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="00607931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.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45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%；政府性基金预算财政拨款收入</w:t>
      </w:r>
      <w:r w:rsidR="008721DC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0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8721DC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0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%；事业收入</w:t>
      </w:r>
      <w:r w:rsidR="00607931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16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5.32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%</w:t>
      </w:r>
      <w:r w:rsidR="00BF0D38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;</w:t>
      </w:r>
      <w:r w:rsidR="00BF0D38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其他收入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70.42</w:t>
      </w:r>
      <w:r w:rsidR="00BF0D38" w:rsidRPr="00100A0F">
        <w:rPr>
          <w:rFonts w:ascii="仿宋" w:eastAsia="仿宋" w:hAnsi="仿宋" w:cs="仿宋"/>
          <w:sz w:val="32"/>
          <w:szCs w:val="32"/>
          <w:shd w:val="clear" w:color="auto" w:fill="FFFFFF"/>
        </w:rPr>
        <w:t>,</w:t>
      </w:r>
      <w:r w:rsidR="00BF0D38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占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2.23</w:t>
      </w:r>
      <w:r w:rsidR="00BF0D38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%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5E7C4AF1" w14:textId="77777777" w:rsidR="00E275FF" w:rsidRPr="00100A0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本年支出合计</w:t>
      </w:r>
      <w:r w:rsidR="00607931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157.82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万元，其中：基本支出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2697.87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84.43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%；项目支出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459.95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万元，占</w:t>
      </w:r>
      <w:r w:rsidR="00100A0F"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14.57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%。</w:t>
      </w:r>
    </w:p>
    <w:p w14:paraId="6153D9EA" w14:textId="77777777" w:rsidR="00E275FF" w:rsidRPr="00100A0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</w:t>
      </w:r>
      <w:r w:rsidRPr="00100A0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部门整体支出管理及使用情况</w:t>
      </w:r>
    </w:p>
    <w:p w14:paraId="68DBD918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部门各类支出严格按照《浏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阳市教育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文件》等文件要求列支。采购项目将严格按照《政府采购法》、《政府采购货物和服务招标投标管理办法》、《长沙市行政事业单位资产管理实施办法》、《长沙市2020-2021年度政府集中采购目录及政府采购限额标准》等相关文件规定，基建项目严格按照《浏阳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市教育局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基建管理办法》的要求按程序实施。项目资金使用过程中，严把监督审核关，建立内部审批制度。</w:t>
      </w:r>
    </w:p>
    <w:p w14:paraId="55246DEC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健全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完善部门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控制度，全面梳理业务流程，明确业务环节，分析风险隐患，完善风险评估机制，制定风险应对策略;有效运用不相容岗位相互分离、内部授权审批控制、归口管理、预算控制、财产保护控制、会计控制、单据控制、信息内部公开等内部控制基本方法，加强对单位层面和业务层面的内部控制，实现内部控制体系全面、有效实施。建立单位内控监督约束机制，让单位纪检、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计、业务部门参与到资金使用监督环节，确保资金安全、合理、有效使用，最大限度发挥财政资金使用效益。</w:t>
      </w:r>
    </w:p>
    <w:p w14:paraId="7199C867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三、项目组织实施情况</w:t>
      </w:r>
    </w:p>
    <w:p w14:paraId="33AA172C" w14:textId="77777777" w:rsidR="00E275FF" w:rsidRDefault="007E39A1" w:rsidP="00100A0F">
      <w:pPr>
        <w:pStyle w:val="a7"/>
        <w:widowControl/>
        <w:spacing w:beforeAutospacing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</w:t>
      </w:r>
      <w:r w:rsid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年各类专项资金严格按照相关文件要求及项目预算合理合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规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进行使用，根据项目资金到位及使用情况，及时、详细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地造账登记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，并严格做到专款专用。项目资金使用过程中，严把监督审核关，建立内部审批制度。</w:t>
      </w:r>
    </w:p>
    <w:p w14:paraId="1F47C149" w14:textId="77777777" w:rsidR="00E275FF" w:rsidRPr="00100A0F" w:rsidRDefault="007E39A1" w:rsidP="00100A0F">
      <w:pPr>
        <w:pStyle w:val="a7"/>
        <w:widowControl/>
        <w:spacing w:beforeAutospacing="0" w:afterAutospacing="0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100A0F">
        <w:rPr>
          <w:rStyle w:val="a8"/>
          <w:rFonts w:ascii="仿宋" w:eastAsia="仿宋" w:hAnsi="仿宋" w:cs="仿宋" w:hint="eastAsia"/>
          <w:sz w:val="32"/>
          <w:szCs w:val="32"/>
          <w:shd w:val="clear" w:color="auto" w:fill="FFFFFF"/>
        </w:rPr>
        <w:t>四、部门整体支出绩效情况</w:t>
      </w:r>
      <w:r w:rsidRPr="00100A0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 </w:t>
      </w:r>
    </w:p>
    <w:p w14:paraId="1ECEE03E" w14:textId="77777777" w:rsidR="00BF0D38" w:rsidRPr="00100A0F" w:rsidRDefault="00BF0D38" w:rsidP="00100A0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100A0F">
        <w:rPr>
          <w:rFonts w:ascii="仿宋" w:eastAsia="仿宋" w:hAnsi="仿宋" w:cs="Times New Roman" w:hint="eastAsia"/>
          <w:bCs/>
          <w:sz w:val="32"/>
          <w:szCs w:val="32"/>
        </w:rPr>
        <w:t>学校将制度建设放在内部控制的第一位，健全内控体系，建立严谨可行、科学合理的操作程序和制度细则，注重</w:t>
      </w:r>
      <w:r w:rsidR="004D2FF3" w:rsidRPr="00100A0F">
        <w:rPr>
          <w:rFonts w:ascii="仿宋" w:eastAsia="仿宋" w:hAnsi="仿宋" w:cs="Times New Roman" w:hint="eastAsia"/>
          <w:bCs/>
          <w:sz w:val="32"/>
          <w:szCs w:val="32"/>
        </w:rPr>
        <w:t>事前控制，学校运行</w:t>
      </w:r>
      <w:r w:rsidR="00391A1C" w:rsidRPr="00100A0F">
        <w:rPr>
          <w:rFonts w:ascii="仿宋" w:eastAsia="仿宋" w:hAnsi="仿宋" w:cs="Times New Roman" w:hint="eastAsia"/>
          <w:bCs/>
          <w:sz w:val="32"/>
          <w:szCs w:val="32"/>
        </w:rPr>
        <w:t>流畅有序，</w:t>
      </w:r>
      <w:r w:rsidR="004F3024" w:rsidRPr="00100A0F">
        <w:rPr>
          <w:rFonts w:ascii="仿宋" w:eastAsia="仿宋" w:hAnsi="仿宋" w:cs="Times New Roman" w:hint="eastAsia"/>
          <w:bCs/>
          <w:sz w:val="32"/>
          <w:szCs w:val="32"/>
        </w:rPr>
        <w:t>部门支出规范及时，资金分配均衡合理，预算控制严谨准确。</w:t>
      </w:r>
    </w:p>
    <w:p w14:paraId="017D7262" w14:textId="77777777" w:rsidR="00921148" w:rsidRPr="00100A0F" w:rsidRDefault="00921148" w:rsidP="00100A0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100A0F">
        <w:rPr>
          <w:rFonts w:ascii="仿宋" w:eastAsia="仿宋" w:hAnsi="仿宋" w:cs="Times New Roman" w:hint="eastAsia"/>
          <w:bCs/>
          <w:sz w:val="32"/>
          <w:szCs w:val="32"/>
        </w:rPr>
        <w:t>学校注重廉政教育和师德师风建设，重视教师队伍建设，锻造良好师德师风</w:t>
      </w:r>
      <w:r w:rsidR="007814AB" w:rsidRPr="00100A0F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="004F3024" w:rsidRPr="00100A0F">
        <w:rPr>
          <w:rFonts w:ascii="仿宋" w:eastAsia="仿宋" w:hAnsi="仿宋" w:cs="Times New Roman" w:hint="eastAsia"/>
          <w:bCs/>
          <w:sz w:val="32"/>
          <w:szCs w:val="32"/>
        </w:rPr>
        <w:t>学校日常教育教学工作</w:t>
      </w:r>
      <w:r w:rsidR="00FE49A7" w:rsidRPr="00100A0F">
        <w:rPr>
          <w:rFonts w:ascii="仿宋" w:eastAsia="仿宋" w:hAnsi="仿宋" w:cs="Times New Roman" w:hint="eastAsia"/>
          <w:bCs/>
          <w:sz w:val="32"/>
          <w:szCs w:val="32"/>
        </w:rPr>
        <w:t>规范</w:t>
      </w:r>
      <w:r w:rsidR="004F3024" w:rsidRPr="00100A0F">
        <w:rPr>
          <w:rFonts w:ascii="仿宋" w:eastAsia="仿宋" w:hAnsi="仿宋" w:cs="Times New Roman" w:hint="eastAsia"/>
          <w:bCs/>
          <w:sz w:val="32"/>
          <w:szCs w:val="32"/>
        </w:rPr>
        <w:t>扎实</w:t>
      </w:r>
      <w:r w:rsidR="00FE49A7" w:rsidRPr="00100A0F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602D2F" w:rsidRPr="00100A0F">
        <w:rPr>
          <w:rFonts w:ascii="仿宋" w:eastAsia="仿宋" w:hAnsi="仿宋" w:cs="Times New Roman" w:hint="eastAsia"/>
          <w:bCs/>
          <w:sz w:val="32"/>
          <w:szCs w:val="32"/>
        </w:rPr>
        <w:t>日常管理严谨有序</w:t>
      </w:r>
      <w:r w:rsidRPr="00100A0F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14:paraId="4499D47F" w14:textId="77777777" w:rsidR="00755C47" w:rsidRPr="00100A0F" w:rsidRDefault="009B5F24" w:rsidP="00100A0F">
      <w:pPr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100A0F">
        <w:rPr>
          <w:rFonts w:ascii="仿宋" w:eastAsia="仿宋" w:hAnsi="仿宋" w:cs="Times New Roman" w:hint="eastAsia"/>
          <w:bCs/>
          <w:sz w:val="32"/>
          <w:szCs w:val="32"/>
        </w:rPr>
        <w:t>学校营造良好的文化氛围，在不断优化校园环境的前提下，将时政教育、传统典范、</w:t>
      </w:r>
      <w:r w:rsidR="007814AB" w:rsidRPr="00100A0F">
        <w:rPr>
          <w:rFonts w:ascii="仿宋" w:eastAsia="仿宋" w:hAnsi="仿宋" w:cs="Times New Roman" w:hint="eastAsia"/>
          <w:bCs/>
          <w:sz w:val="32"/>
          <w:szCs w:val="32"/>
        </w:rPr>
        <w:t>安全警示等作为校园宣传的主要元素，实现文化引领，环境育人。</w:t>
      </w:r>
    </w:p>
    <w:p w14:paraId="5C79DD22" w14:textId="64BABB87" w:rsidR="007814AB" w:rsidRDefault="007823BF" w:rsidP="00100A0F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00A0F">
        <w:rPr>
          <w:rFonts w:ascii="仿宋" w:eastAsia="仿宋" w:hAnsi="仿宋" w:cs="Times New Roman" w:hint="eastAsia"/>
          <w:sz w:val="32"/>
          <w:szCs w:val="32"/>
        </w:rPr>
        <w:t>学校充分保障基础文化教学和</w:t>
      </w:r>
      <w:r w:rsidR="001B2743" w:rsidRPr="00100A0F">
        <w:rPr>
          <w:rFonts w:ascii="仿宋" w:eastAsia="仿宋" w:hAnsi="仿宋" w:cs="Times New Roman" w:hint="eastAsia"/>
          <w:sz w:val="32"/>
          <w:szCs w:val="32"/>
        </w:rPr>
        <w:t>技能实操</w:t>
      </w:r>
      <w:r w:rsidR="00267D23" w:rsidRPr="00100A0F">
        <w:rPr>
          <w:rFonts w:ascii="仿宋" w:eastAsia="仿宋" w:hAnsi="仿宋" w:cs="Times New Roman" w:hint="eastAsia"/>
          <w:sz w:val="32"/>
          <w:szCs w:val="32"/>
        </w:rPr>
        <w:t>教学并行，学生既能学习基础理论知识，也能学习实际操作，在毕业时能具备一定的执业能力。</w:t>
      </w:r>
    </w:p>
    <w:p w14:paraId="56E24641" w14:textId="73C909EE" w:rsidR="007C47F4" w:rsidRPr="004F1A52" w:rsidRDefault="007C47F4" w:rsidP="007C47F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0" w:name="_Hlk118917821"/>
      <w:r>
        <w:rPr>
          <w:rFonts w:ascii="仿宋" w:eastAsia="仿宋" w:hAnsi="仿宋" w:hint="eastAsia"/>
          <w:b/>
          <w:sz w:val="32"/>
          <w:szCs w:val="32"/>
        </w:rPr>
        <w:t>五</w:t>
      </w:r>
      <w:r w:rsidRPr="004F1A52">
        <w:rPr>
          <w:rFonts w:ascii="仿宋" w:eastAsia="仿宋" w:hAnsi="仿宋" w:hint="eastAsia"/>
          <w:b/>
          <w:sz w:val="32"/>
          <w:szCs w:val="32"/>
        </w:rPr>
        <w:t>、部门整体支出绩效评价等级</w:t>
      </w:r>
    </w:p>
    <w:p w14:paraId="41AE1AE2" w14:textId="77777777" w:rsidR="007C47F4" w:rsidRPr="004F1A52" w:rsidRDefault="007C47F4" w:rsidP="007C47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1A52">
        <w:rPr>
          <w:rFonts w:ascii="仿宋" w:eastAsia="仿宋" w:hAnsi="仿宋" w:hint="eastAsia"/>
          <w:sz w:val="32"/>
          <w:szCs w:val="32"/>
        </w:rPr>
        <w:lastRenderedPageBreak/>
        <w:t>我单位2021年度部门整体支出的预算执行与分配、单位资产管理与有效利用、部门年度重点工作任务实施与职责履行等方面总体执行情况良好。根据部门整体支出绩效评价指标体系，部门整体支出绩效综合评分9</w:t>
      </w:r>
      <w:r>
        <w:rPr>
          <w:rFonts w:ascii="仿宋" w:eastAsia="仿宋" w:hAnsi="仿宋"/>
          <w:sz w:val="32"/>
          <w:szCs w:val="32"/>
        </w:rPr>
        <w:t>0</w:t>
      </w:r>
      <w:r w:rsidRPr="004F1A52"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，评价等级为优秀</w:t>
      </w:r>
      <w:r w:rsidRPr="004F1A52">
        <w:rPr>
          <w:rFonts w:ascii="仿宋" w:eastAsia="仿宋" w:hAnsi="仿宋" w:hint="eastAsia"/>
          <w:sz w:val="32"/>
          <w:szCs w:val="32"/>
        </w:rPr>
        <w:t>。</w:t>
      </w:r>
    </w:p>
    <w:bookmarkEnd w:id="0"/>
    <w:p w14:paraId="6AB9042E" w14:textId="77777777" w:rsidR="007C47F4" w:rsidRPr="007C47F4" w:rsidRDefault="007C47F4" w:rsidP="00100A0F">
      <w:pPr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sectPr w:rsidR="007C47F4" w:rsidRPr="007C47F4" w:rsidSect="00774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EA1F" w14:textId="77777777" w:rsidR="00E57748" w:rsidRDefault="00E57748" w:rsidP="00A76E07">
      <w:r>
        <w:separator/>
      </w:r>
    </w:p>
  </w:endnote>
  <w:endnote w:type="continuationSeparator" w:id="0">
    <w:p w14:paraId="401EEB40" w14:textId="77777777" w:rsidR="00E57748" w:rsidRDefault="00E57748" w:rsidP="00A7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03E3" w14:textId="77777777" w:rsidR="007C47F4" w:rsidRDefault="007C47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E9D" w14:textId="77777777" w:rsidR="007C47F4" w:rsidRDefault="007C47F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F8DB" w14:textId="77777777" w:rsidR="007C47F4" w:rsidRDefault="007C47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AA9E" w14:textId="77777777" w:rsidR="00E57748" w:rsidRDefault="00E57748" w:rsidP="00A76E07">
      <w:r>
        <w:separator/>
      </w:r>
    </w:p>
  </w:footnote>
  <w:footnote w:type="continuationSeparator" w:id="0">
    <w:p w14:paraId="4FE06B50" w14:textId="77777777" w:rsidR="00E57748" w:rsidRDefault="00E57748" w:rsidP="00A7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74B5" w14:textId="77777777" w:rsidR="007C47F4" w:rsidRDefault="007C47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549C" w14:textId="77777777" w:rsidR="00CA230D" w:rsidRDefault="00CA230D" w:rsidP="007C47F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9D04" w14:textId="77777777" w:rsidR="007C47F4" w:rsidRDefault="007C47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C5C6"/>
    <w:multiLevelType w:val="singleLevel"/>
    <w:tmpl w:val="0A90C5C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3B20777D"/>
    <w:multiLevelType w:val="hybridMultilevel"/>
    <w:tmpl w:val="E280DE3E"/>
    <w:lvl w:ilvl="0" w:tplc="3EDCC6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783BAA"/>
    <w:multiLevelType w:val="multilevel"/>
    <w:tmpl w:val="79783BA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yNDk1MjU0ZWVkODQ3MmE5YzhkYTVlMTRiZDRmZTYifQ=="/>
  </w:docVars>
  <w:rsids>
    <w:rsidRoot w:val="008072AC"/>
    <w:rsid w:val="000220D3"/>
    <w:rsid w:val="00100A0F"/>
    <w:rsid w:val="00170494"/>
    <w:rsid w:val="001B2743"/>
    <w:rsid w:val="001F00F0"/>
    <w:rsid w:val="00233672"/>
    <w:rsid w:val="00234A16"/>
    <w:rsid w:val="00267D23"/>
    <w:rsid w:val="002910D2"/>
    <w:rsid w:val="00391A1C"/>
    <w:rsid w:val="003D3CB1"/>
    <w:rsid w:val="004924B4"/>
    <w:rsid w:val="004D2FF3"/>
    <w:rsid w:val="004F3024"/>
    <w:rsid w:val="005C57C8"/>
    <w:rsid w:val="005F1BB5"/>
    <w:rsid w:val="005F7EE3"/>
    <w:rsid w:val="00602D2F"/>
    <w:rsid w:val="00607931"/>
    <w:rsid w:val="006C3359"/>
    <w:rsid w:val="00716A2C"/>
    <w:rsid w:val="00755C47"/>
    <w:rsid w:val="007741BC"/>
    <w:rsid w:val="007814AB"/>
    <w:rsid w:val="007823BF"/>
    <w:rsid w:val="007A4E20"/>
    <w:rsid w:val="007C47F4"/>
    <w:rsid w:val="007E39A1"/>
    <w:rsid w:val="008072AC"/>
    <w:rsid w:val="008721DC"/>
    <w:rsid w:val="00881208"/>
    <w:rsid w:val="008F7F88"/>
    <w:rsid w:val="00921148"/>
    <w:rsid w:val="009A1851"/>
    <w:rsid w:val="009B5F24"/>
    <w:rsid w:val="00A208E8"/>
    <w:rsid w:val="00A76E07"/>
    <w:rsid w:val="00BA71CF"/>
    <w:rsid w:val="00BF0D38"/>
    <w:rsid w:val="00C05E54"/>
    <w:rsid w:val="00CA230D"/>
    <w:rsid w:val="00CD6EE8"/>
    <w:rsid w:val="00DD18F8"/>
    <w:rsid w:val="00DE30EA"/>
    <w:rsid w:val="00E063F9"/>
    <w:rsid w:val="00E275FF"/>
    <w:rsid w:val="00E30119"/>
    <w:rsid w:val="00E57748"/>
    <w:rsid w:val="00E6547E"/>
    <w:rsid w:val="00EC7127"/>
    <w:rsid w:val="00EF7583"/>
    <w:rsid w:val="00FB5B6A"/>
    <w:rsid w:val="00FE49A7"/>
    <w:rsid w:val="159713D6"/>
    <w:rsid w:val="16BB6FFF"/>
    <w:rsid w:val="1A08356E"/>
    <w:rsid w:val="2B762899"/>
    <w:rsid w:val="4E28040C"/>
    <w:rsid w:val="577D6605"/>
    <w:rsid w:val="6CD22AE1"/>
    <w:rsid w:val="79054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036741"/>
  <w15:docId w15:val="{98E987E1-D66F-4DFE-9957-2F7BF723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1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74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774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741B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7741BC"/>
    <w:rPr>
      <w:b/>
    </w:rPr>
  </w:style>
  <w:style w:type="character" w:customStyle="1" w:styleId="a6">
    <w:name w:val="页眉 字符"/>
    <w:basedOn w:val="a0"/>
    <w:link w:val="a5"/>
    <w:rsid w:val="007741BC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7741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1242</Characters>
  <Application>Microsoft Office Word</Application>
  <DocSecurity>0</DocSecurity>
  <Lines>10</Lines>
  <Paragraphs>2</Paragraphs>
  <ScaleCrop>false</ScaleCrop>
  <Company>Micorosoft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风轻云淡</cp:lastModifiedBy>
  <cp:revision>2</cp:revision>
  <dcterms:created xsi:type="dcterms:W3CDTF">2022-11-11T12:04:00Z</dcterms:created>
  <dcterms:modified xsi:type="dcterms:W3CDTF">2022-11-11T12:04:00Z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CD28ABFEEC1441E1977C4706BD9176E5</vt:lpwstr>
  </property>
</Properties>
</file>