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Times New Roman" w:hAnsi="Times New Roman" w:eastAsia="黑体"/>
          <w:color w:val="000000"/>
          <w:sz w:val="32"/>
          <w:szCs w:val="32"/>
        </w:rPr>
      </w:pPr>
      <w:r>
        <w:rPr>
          <w:rFonts w:ascii="Times New Roman" w:hAnsi="Times New Roman" w:eastAsia="黑体"/>
          <w:color w:val="000000"/>
          <w:sz w:val="32"/>
          <w:szCs w:val="32"/>
        </w:rPr>
        <w:t>附件5</w:t>
      </w:r>
    </w:p>
    <w:p>
      <w:pPr>
        <w:jc w:val="center"/>
        <w:rPr>
          <w:rFonts w:ascii="Times New Roman" w:hAnsi="Times New Roman" w:eastAsia="方正小标宋_GBK"/>
          <w:color w:val="000000"/>
          <w:sz w:val="48"/>
          <w:szCs w:val="48"/>
        </w:rPr>
      </w:pPr>
      <w:r>
        <w:rPr>
          <w:rFonts w:ascii="Times New Roman" w:hAnsi="Times New Roman" w:eastAsia="方正小标宋_GBK"/>
          <w:color w:val="000000"/>
          <w:sz w:val="48"/>
          <w:szCs w:val="48"/>
        </w:rPr>
        <w:t>2020年部门整体支出绩效自评报告</w:t>
      </w:r>
    </w:p>
    <w:p>
      <w:pP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44"/>
          <w:szCs w:val="44"/>
        </w:rPr>
      </w:pPr>
      <w:r>
        <w:rPr>
          <w:rFonts w:ascii="Times New Roman" w:hAnsi="Times New Roman" w:eastAsia="黑体"/>
          <w:color w:val="000000"/>
          <w:sz w:val="44"/>
          <w:szCs w:val="44"/>
        </w:rPr>
        <w:t>单位名称（盖章）：</w:t>
      </w:r>
    </w:p>
    <w:p>
      <w:pPr>
        <w:jc w:val="center"/>
        <w:rPr>
          <w:rFonts w:ascii="Times New Roman" w:hAnsi="Times New Roman" w:eastAsia="黑体"/>
          <w:color w:val="000000"/>
          <w:sz w:val="32"/>
          <w:szCs w:val="32"/>
        </w:rPr>
      </w:pPr>
      <w:r>
        <w:rPr>
          <w:rFonts w:hint="eastAsia" w:ascii="Times New Roman" w:hAnsi="Times New Roman" w:eastAsia="黑体"/>
          <w:color w:val="000000"/>
          <w:sz w:val="32"/>
          <w:szCs w:val="32"/>
        </w:rPr>
        <w:t>浏阳市科学技术协会</w:t>
      </w: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6"/>
          <w:szCs w:val="36"/>
        </w:rPr>
      </w:pPr>
      <w:r>
        <w:rPr>
          <w:rFonts w:ascii="Times New Roman" w:hAnsi="Times New Roman" w:eastAsia="仿宋_GB2312"/>
          <w:color w:val="000000"/>
          <w:sz w:val="36"/>
          <w:szCs w:val="36"/>
        </w:rPr>
        <w:t>二O二一年</w:t>
      </w:r>
      <w:r>
        <w:rPr>
          <w:rFonts w:hint="eastAsia" w:ascii="Times New Roman" w:hAnsi="Times New Roman" w:eastAsia="仿宋_GB2312"/>
          <w:color w:val="000000"/>
          <w:sz w:val="36"/>
          <w:szCs w:val="36"/>
        </w:rPr>
        <w:t>六</w:t>
      </w:r>
      <w:r>
        <w:rPr>
          <w:rFonts w:ascii="Times New Roman" w:hAnsi="Times New Roman" w:eastAsia="仿宋_GB2312"/>
          <w:color w:val="000000"/>
          <w:sz w:val="36"/>
          <w:szCs w:val="36"/>
        </w:rPr>
        <w:t>月</w:t>
      </w:r>
      <w:r>
        <w:rPr>
          <w:rFonts w:hint="eastAsia" w:ascii="Times New Roman" w:hAnsi="Times New Roman" w:eastAsia="仿宋_GB2312"/>
          <w:color w:val="000000"/>
          <w:sz w:val="36"/>
          <w:szCs w:val="36"/>
        </w:rPr>
        <w:t>三</w:t>
      </w:r>
      <w:r>
        <w:rPr>
          <w:rFonts w:ascii="Times New Roman" w:hAnsi="Times New Roman" w:eastAsia="仿宋_GB2312"/>
          <w:color w:val="000000"/>
          <w:sz w:val="36"/>
          <w:szCs w:val="36"/>
        </w:rPr>
        <w:t>日</w:t>
      </w:r>
    </w:p>
    <w:p>
      <w:pPr>
        <w:pStyle w:val="13"/>
        <w:widowControl/>
        <w:spacing w:line="480" w:lineRule="exact"/>
        <w:ind w:firstLine="579" w:firstLineChars="181"/>
        <w:rPr>
          <w:rFonts w:ascii="Times New Roman" w:hAnsi="Times New Roman" w:eastAsia="黑体"/>
          <w:color w:val="000000"/>
          <w:kern w:val="0"/>
          <w:sz w:val="28"/>
          <w:szCs w:val="28"/>
        </w:rPr>
      </w:pPr>
      <w:r>
        <w:rPr>
          <w:rFonts w:ascii="Times New Roman" w:hAnsi="Times New Roman" w:eastAsia="黑体"/>
          <w:color w:val="000000"/>
          <w:sz w:val="32"/>
          <w:szCs w:val="32"/>
        </w:rPr>
        <w:br w:type="page"/>
      </w:r>
      <w:r>
        <w:rPr>
          <w:rFonts w:ascii="Times New Roman" w:hAnsi="Times New Roman" w:eastAsia="黑体"/>
          <w:color w:val="000000"/>
          <w:kern w:val="0"/>
          <w:sz w:val="28"/>
          <w:szCs w:val="28"/>
        </w:rPr>
        <w:t>一、部门概况</w:t>
      </w:r>
    </w:p>
    <w:p>
      <w:pPr>
        <w:spacing w:line="48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（一）部门职能概述</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（一）组织开展科技学术交流，活跃学术思想，促进学科发展。</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（二）负责普及科学知识，捍卫科学尊严，揭露并抨击封建迷信、伪科学和虚假信息等思潮，传播科学思想和方法，推广先进技术；负责组织开展青少年科学技术教育活动，提高全市人民科学文化素质。</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（三）反映科学技术工作者、科技示范户、科普积极分子的意见和要求，维护其合法权益；组织科学技术者参与我市科协政策、法规制定和我市社会经济发展的政治协商、科学决策、民主监督工作。</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（四）开展科学技术工作者的教育和科技培训工作；编辑出版科普资料、科技刊物；指导和联系老年科协工作。</w:t>
      </w:r>
      <w:bookmarkStart w:id="0" w:name="_GoBack"/>
      <w:bookmarkEnd w:id="0"/>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（五）开展科学论证和咨询服务，提出科学技术政策建议，参加技术攻关，促进科技成果的转化。</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（六）组织开展民间国际、国内科学技术交流活动，发展同国外的科技团体和科学技术工作者的友好往来。</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（七）承担市委、市人民政府交办的其他工作任务。</w:t>
      </w:r>
    </w:p>
    <w:p>
      <w:pPr>
        <w:spacing w:line="48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（二）部门组织机构及人员情况</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1.机构情况。我单位是市委领导下的科技工作者的群团组织，为正科级。内设机构为3个，办公室、科技普及科、学术学会科。</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2.人员情况。行政编制6人，事业编制3人，编委登记实际在册人员9人。人才引进1人，自主用工人员1人，退休人员2人。</w:t>
      </w:r>
    </w:p>
    <w:p>
      <w:pPr>
        <w:pStyle w:val="14"/>
        <w:snapToGrid w:val="0"/>
        <w:spacing w:before="0" w:beforeAutospacing="0" w:after="0" w:afterAutospacing="0" w:line="480" w:lineRule="exact"/>
        <w:ind w:firstLine="562" w:firstLineChars="200"/>
        <w:jc w:val="both"/>
        <w:rPr>
          <w:rFonts w:ascii="仿宋" w:hAnsi="仿宋" w:eastAsia="仿宋" w:cs="仿宋"/>
          <w:b/>
          <w:bCs/>
          <w:color w:val="000000"/>
          <w:sz w:val="28"/>
          <w:szCs w:val="28"/>
        </w:rPr>
      </w:pPr>
      <w:r>
        <w:rPr>
          <w:rFonts w:hint="eastAsia" w:ascii="仿宋" w:hAnsi="仿宋" w:eastAsia="仿宋" w:cs="仿宋"/>
          <w:b/>
          <w:bCs/>
          <w:color w:val="000000"/>
          <w:sz w:val="28"/>
          <w:szCs w:val="28"/>
        </w:rPr>
        <w:t>（三）年度重点工作计划</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开展“科普县（市）”建设工作。继续开展科普小镇建设，进一步加强农村科普基地、农村专业协会建设，大力推进科普惠民提升工程，推进科普信息化建设，努力将“科普中国”、“科普湖南”融入本地政务服务信息平台建设中，提高其品牌影响力。</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2.加强建设“专家工作站”。联合园区科协完善专家工作站制度管理，深化和探索新的服务机制，试点开展园区专家服务中心建设，探索依托专家工作站培养创新人才新途径，推进专家工作站运行效果。</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开展科普志愿活动。组织编印好农民实用技术、养生保健、安全常识等科普读本，组织科技人员、科普志愿队深入开展科普培训进乡村、科普体验进校园、科技服务进企业、科普讲座进社区、科技报告进机关等“科普五进”活动。</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创新科普活动形式。组织开展“全国科普日”、“全国科技工作者日”、“科技活动周”等活动，发挥e站功能，举办特色活动，提高群众参与率，创新科普服务模式，提升科普社会效能，积极探索科普工作新思路，加强科普示范带动，积极创建科普示范屋场和科普示范基地。</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宣传举荐科技人才。积极参加长沙市青年科技创新人才和青少年科技创新人才评定工作，通过多种形式加强优秀科技人才宣传。加强科技工作者的联络服务工作。创新市科协委员服务机制，不断探索为广大科技工作者服务的新途径和新方法。积极支持市青年科技工作者协会开展工作。</w:t>
      </w:r>
    </w:p>
    <w:p>
      <w:pPr>
        <w:spacing w:line="48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（四）部门整体支出规模、使用方向、主要内容和涉及范围</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2020年收入293.29万元，其中财政拨款292.29万元，占比97.7%，其他收入1万元，占比0.3%。对比上年度收入增加43.72万元，增加14.91%，其中财政拨款增加42.72万元，增加97.7%，其他收入增加1万元，增加0.3%。</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2020年支出293.29万元，其中基本支出137.18万元，同比增加 4.34万元，增加6.73%，项目支出156.11万元，同比增加55.41万元，增加93.27%，其中，主要增加科普活动经费55.41万元，占比93.27%，主要增加原因是本年增加省级乡村振兴县域试点项目以及科协五年换届工作，相应增加经费。</w:t>
      </w:r>
    </w:p>
    <w:p>
      <w:pPr>
        <w:spacing w:line="480" w:lineRule="exact"/>
        <w:ind w:firstLine="560" w:firstLineChars="200"/>
        <w:rPr>
          <w:rFonts w:ascii="Times New Roman" w:hAnsi="Times New Roman" w:eastAsia="黑体"/>
          <w:color w:val="000000"/>
          <w:kern w:val="0"/>
          <w:sz w:val="28"/>
          <w:szCs w:val="28"/>
        </w:rPr>
      </w:pPr>
      <w:r>
        <w:rPr>
          <w:rFonts w:ascii="Times New Roman" w:hAnsi="Times New Roman" w:eastAsia="黑体"/>
          <w:color w:val="000000"/>
          <w:kern w:val="0"/>
          <w:sz w:val="28"/>
          <w:szCs w:val="28"/>
        </w:rPr>
        <w:t>二、部门整体支出资金管理及使用情况</w:t>
      </w:r>
    </w:p>
    <w:p>
      <w:pPr>
        <w:spacing w:line="48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（一）基本支出</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1．实</w:t>
      </w:r>
      <w:r>
        <w:rPr>
          <w:rFonts w:hint="eastAsia" w:ascii="仿宋" w:hAnsi="仿宋" w:eastAsia="仿宋" w:cs="仿宋"/>
          <w:color w:val="000000"/>
          <w:sz w:val="28"/>
          <w:szCs w:val="28"/>
        </w:rPr>
        <w:t>际整体收支情况</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2020年收入合计为293.29万元，支出合计为293.29万元，收支平衡。2019年总收入支出为9534.10万元，本年度减少了2465.44万元，减少了25.86%，减少原</w:t>
      </w:r>
      <w:r>
        <w:rPr>
          <w:rFonts w:hint="eastAsia" w:ascii="仿宋" w:hAnsi="仿宋" w:eastAsia="仿宋" w:cs="仿宋"/>
          <w:sz w:val="28"/>
          <w:szCs w:val="28"/>
        </w:rPr>
        <w:t>因是财政紧张，减少了科技经费投入。</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2020年财政拨款收入293.29万元，其中财政拨款292.29万元，占比97.7%，其他收入1.00万元，占比0.3%。对比上年度收入增加43.72万元，增加14.91%，其中财政拨款增加42.72万元，增加97.7%，其他收入增加1.00万元，增加0.3%。</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2.“三公” 经费总支出情况</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2020年三公经费预算为0.70万元，其中：因公</w:t>
      </w:r>
      <w:r>
        <w:rPr>
          <w:rFonts w:hint="eastAsia" w:ascii="仿宋" w:hAnsi="仿宋" w:eastAsia="仿宋" w:cs="仿宋"/>
          <w:color w:val="000000"/>
          <w:sz w:val="28"/>
          <w:szCs w:val="28"/>
        </w:rPr>
        <w:t>出国（境）费预算0万元,公务用车购置费0万元，公务用车运行维护费0万元，公务接待费</w:t>
      </w:r>
      <w:r>
        <w:rPr>
          <w:rFonts w:hint="eastAsia" w:ascii="仿宋" w:hAnsi="仿宋" w:eastAsia="仿宋" w:cs="仿宋"/>
          <w:sz w:val="28"/>
          <w:szCs w:val="28"/>
        </w:rPr>
        <w:t>0.70</w:t>
      </w:r>
      <w:r>
        <w:rPr>
          <w:rFonts w:hint="eastAsia" w:ascii="仿宋" w:hAnsi="仿宋" w:eastAsia="仿宋" w:cs="仿宋"/>
          <w:color w:val="000000"/>
          <w:sz w:val="28"/>
          <w:szCs w:val="28"/>
        </w:rPr>
        <w:t>万元。本年度我办实际支出0.70万元，其中：因公出国（境）费0万元，公务用车购置费0万元，公务用车运行维护费0万元，公务接待费0.70万元，较上年同期减少0.14万元，公务接待费用支出减少的主要原因是我单位严格遵守八项规定、厉行节约。</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3.因公出国（境）费用支出和公务用车（购置）情况</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2020年参加出国（境）团组</w:t>
      </w:r>
      <w:r>
        <w:rPr>
          <w:rFonts w:ascii="仿宋" w:hAnsi="仿宋" w:eastAsia="仿宋" w:cs="仿宋"/>
          <w:color w:val="000000"/>
          <w:sz w:val="28"/>
          <w:szCs w:val="28"/>
        </w:rPr>
        <w:t>0个，因公出国（境）费用零支出</w:t>
      </w:r>
      <w:r>
        <w:rPr>
          <w:rFonts w:hint="eastAsia" w:ascii="仿宋" w:hAnsi="仿宋" w:eastAsia="仿宋" w:cs="仿宋"/>
          <w:color w:val="000000"/>
          <w:sz w:val="28"/>
          <w:szCs w:val="28"/>
        </w:rPr>
        <w:t>，</w:t>
      </w:r>
      <w:r>
        <w:rPr>
          <w:rFonts w:ascii="仿宋" w:hAnsi="仿宋" w:eastAsia="仿宋" w:cs="仿宋"/>
          <w:color w:val="000000"/>
          <w:sz w:val="28"/>
          <w:szCs w:val="28"/>
        </w:rPr>
        <w:t>购置新车0台</w:t>
      </w:r>
      <w:r>
        <w:rPr>
          <w:rFonts w:hint="eastAsia" w:ascii="仿宋" w:hAnsi="仿宋" w:eastAsia="仿宋" w:cs="仿宋"/>
          <w:color w:val="000000"/>
          <w:sz w:val="28"/>
          <w:szCs w:val="28"/>
        </w:rPr>
        <w:t>。</w:t>
      </w:r>
    </w:p>
    <w:p>
      <w:pPr>
        <w:spacing w:line="48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 xml:space="preserve">（二）项目支出 </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1．项目资金安排落实、总投入等情况分析</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2020年度项目支出156.11万元（财政拨款155.11万元），资金实际到位率100%，其中商品和服务支出152.98万元、对个人和家庭的补助3.13万元。</w:t>
      </w:r>
    </w:p>
    <w:p>
      <w:pPr>
        <w:pStyle w:val="15"/>
        <w:spacing w:line="48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2．项目资金实际使用情况分析</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2020年本单位项目支出预算数与执行数存在差异，项目支出增加2.59万元，主要原因是项目支出为本年度项目承担单位为乡镇、村、社区，采取调指标拨付的形式，决算不在此列报。主要内容如下：</w:t>
      </w:r>
    </w:p>
    <w:p>
      <w:pPr>
        <w:pStyle w:val="15"/>
        <w:spacing w:line="480" w:lineRule="exact"/>
        <w:ind w:firstLine="560" w:firstLineChars="200"/>
        <w:jc w:val="right"/>
        <w:rPr>
          <w:rFonts w:hint="eastAsia" w:ascii="仿宋" w:hAnsi="仿宋" w:eastAsia="仿宋" w:cs="仿宋"/>
          <w:sz w:val="28"/>
          <w:szCs w:val="28"/>
        </w:rPr>
      </w:pPr>
    </w:p>
    <w:p>
      <w:pPr>
        <w:pStyle w:val="15"/>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单位：万元</w:t>
      </w:r>
    </w:p>
    <w:tbl>
      <w:tblPr>
        <w:tblStyle w:val="10"/>
        <w:tblW w:w="8165"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2718"/>
        <w:gridCol w:w="1071"/>
        <w:gridCol w:w="1085"/>
        <w:gridCol w:w="991"/>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09" w:type="dxa"/>
            <w:vAlign w:val="center"/>
          </w:tcPr>
          <w:p>
            <w:pPr>
              <w:snapToGrid w:val="0"/>
              <w:spacing w:line="560" w:lineRule="exact"/>
              <w:jc w:val="center"/>
              <w:rPr>
                <w:rFonts w:ascii="仿宋" w:hAnsi="仿宋" w:eastAsia="仿宋" w:cs="仿宋"/>
              </w:rPr>
            </w:pPr>
            <w:r>
              <w:rPr>
                <w:rFonts w:hint="eastAsia" w:ascii="仿宋" w:hAnsi="仿宋" w:eastAsia="仿宋" w:cs="仿宋"/>
              </w:rPr>
              <w:t>功能科目</w:t>
            </w:r>
          </w:p>
        </w:tc>
        <w:tc>
          <w:tcPr>
            <w:tcW w:w="2718" w:type="dxa"/>
            <w:vAlign w:val="center"/>
          </w:tcPr>
          <w:p>
            <w:pPr>
              <w:snapToGrid w:val="0"/>
              <w:spacing w:line="560" w:lineRule="exact"/>
              <w:jc w:val="center"/>
              <w:rPr>
                <w:rFonts w:ascii="仿宋" w:hAnsi="仿宋" w:eastAsia="仿宋" w:cs="仿宋"/>
              </w:rPr>
            </w:pPr>
            <w:r>
              <w:rPr>
                <w:rFonts w:hint="eastAsia" w:ascii="仿宋" w:hAnsi="仿宋" w:eastAsia="仿宋" w:cs="仿宋"/>
              </w:rPr>
              <w:t>项目名称</w:t>
            </w:r>
          </w:p>
        </w:tc>
        <w:tc>
          <w:tcPr>
            <w:tcW w:w="1071" w:type="dxa"/>
            <w:vAlign w:val="center"/>
          </w:tcPr>
          <w:p>
            <w:pPr>
              <w:snapToGrid w:val="0"/>
              <w:spacing w:line="560" w:lineRule="exact"/>
              <w:jc w:val="center"/>
              <w:rPr>
                <w:rFonts w:ascii="仿宋" w:hAnsi="仿宋" w:eastAsia="仿宋" w:cs="仿宋"/>
              </w:rPr>
            </w:pPr>
            <w:r>
              <w:rPr>
                <w:rFonts w:hint="eastAsia" w:ascii="仿宋" w:hAnsi="仿宋" w:eastAsia="仿宋" w:cs="仿宋"/>
              </w:rPr>
              <w:t>预算数</w:t>
            </w:r>
          </w:p>
        </w:tc>
        <w:tc>
          <w:tcPr>
            <w:tcW w:w="1085" w:type="dxa"/>
            <w:vAlign w:val="center"/>
          </w:tcPr>
          <w:p>
            <w:pPr>
              <w:snapToGrid w:val="0"/>
              <w:spacing w:line="560" w:lineRule="exact"/>
              <w:jc w:val="center"/>
              <w:rPr>
                <w:rFonts w:ascii="仿宋" w:hAnsi="仿宋" w:eastAsia="仿宋" w:cs="仿宋"/>
              </w:rPr>
            </w:pPr>
            <w:r>
              <w:rPr>
                <w:rFonts w:hint="eastAsia" w:ascii="仿宋" w:hAnsi="仿宋" w:eastAsia="仿宋" w:cs="仿宋"/>
              </w:rPr>
              <w:t>决算数</w:t>
            </w:r>
          </w:p>
        </w:tc>
        <w:tc>
          <w:tcPr>
            <w:tcW w:w="991" w:type="dxa"/>
            <w:vAlign w:val="center"/>
          </w:tcPr>
          <w:p>
            <w:pPr>
              <w:snapToGrid w:val="0"/>
              <w:spacing w:line="560" w:lineRule="exact"/>
              <w:jc w:val="center"/>
              <w:rPr>
                <w:rFonts w:ascii="仿宋" w:hAnsi="仿宋" w:eastAsia="仿宋" w:cs="仿宋"/>
              </w:rPr>
            </w:pPr>
            <w:r>
              <w:rPr>
                <w:rFonts w:hint="eastAsia" w:ascii="仿宋" w:hAnsi="仿宋" w:eastAsia="仿宋" w:cs="仿宋"/>
              </w:rPr>
              <w:t>差异数</w:t>
            </w:r>
          </w:p>
        </w:tc>
        <w:tc>
          <w:tcPr>
            <w:tcW w:w="991" w:type="dxa"/>
            <w:vAlign w:val="center"/>
          </w:tcPr>
          <w:p>
            <w:pPr>
              <w:snapToGrid w:val="0"/>
              <w:spacing w:line="560" w:lineRule="exact"/>
              <w:jc w:val="center"/>
              <w:rPr>
                <w:rFonts w:eastAsia="仿宋_GB2312"/>
              </w:rPr>
            </w:pPr>
            <w:r>
              <w:rPr>
                <w:rFonts w:hint="eastAsia"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09" w:type="dxa"/>
            <w:vAlign w:val="center"/>
          </w:tcPr>
          <w:p>
            <w:pPr>
              <w:snapToGrid w:val="0"/>
              <w:spacing w:line="560" w:lineRule="exact"/>
              <w:jc w:val="center"/>
              <w:rPr>
                <w:rFonts w:ascii="仿宋" w:hAnsi="仿宋" w:eastAsia="仿宋" w:cs="仿宋"/>
              </w:rPr>
            </w:pPr>
            <w:r>
              <w:rPr>
                <w:rFonts w:hint="eastAsia" w:ascii="仿宋" w:hAnsi="仿宋" w:eastAsia="仿宋" w:cs="仿宋"/>
              </w:rPr>
              <w:t>2060702</w:t>
            </w:r>
          </w:p>
        </w:tc>
        <w:tc>
          <w:tcPr>
            <w:tcW w:w="2718" w:type="dxa"/>
            <w:vAlign w:val="center"/>
          </w:tcPr>
          <w:p>
            <w:pPr>
              <w:snapToGrid w:val="0"/>
              <w:spacing w:line="560" w:lineRule="exact"/>
              <w:jc w:val="center"/>
              <w:rPr>
                <w:rFonts w:ascii="仿宋" w:hAnsi="仿宋" w:eastAsia="仿宋" w:cs="仿宋"/>
              </w:rPr>
            </w:pPr>
            <w:r>
              <w:rPr>
                <w:rFonts w:hint="eastAsia" w:ascii="仿宋" w:hAnsi="仿宋" w:eastAsia="仿宋" w:cs="仿宋"/>
              </w:rPr>
              <w:t>科普活动</w:t>
            </w:r>
          </w:p>
        </w:tc>
        <w:tc>
          <w:tcPr>
            <w:tcW w:w="1071" w:type="dxa"/>
            <w:vAlign w:val="center"/>
          </w:tcPr>
          <w:p>
            <w:pPr>
              <w:snapToGrid w:val="0"/>
              <w:spacing w:line="560" w:lineRule="exact"/>
              <w:jc w:val="center"/>
              <w:rPr>
                <w:rFonts w:ascii="仿宋" w:hAnsi="仿宋" w:eastAsia="仿宋" w:cs="仿宋"/>
              </w:rPr>
            </w:pPr>
            <w:r>
              <w:rPr>
                <w:rFonts w:hint="eastAsia" w:ascii="仿宋" w:hAnsi="仿宋" w:eastAsia="仿宋" w:cs="仿宋"/>
              </w:rPr>
              <w:t>158.70</w:t>
            </w:r>
          </w:p>
        </w:tc>
        <w:tc>
          <w:tcPr>
            <w:tcW w:w="1085" w:type="dxa"/>
            <w:vAlign w:val="center"/>
          </w:tcPr>
          <w:p>
            <w:pPr>
              <w:snapToGrid w:val="0"/>
              <w:spacing w:line="560" w:lineRule="exact"/>
              <w:jc w:val="center"/>
              <w:rPr>
                <w:rFonts w:ascii="仿宋" w:hAnsi="仿宋" w:eastAsia="仿宋" w:cs="仿宋"/>
              </w:rPr>
            </w:pPr>
            <w:r>
              <w:rPr>
                <w:rFonts w:hint="eastAsia" w:ascii="仿宋" w:hAnsi="仿宋" w:eastAsia="仿宋" w:cs="仿宋"/>
              </w:rPr>
              <w:t>144.84</w:t>
            </w:r>
          </w:p>
        </w:tc>
        <w:tc>
          <w:tcPr>
            <w:tcW w:w="991" w:type="dxa"/>
            <w:vAlign w:val="center"/>
          </w:tcPr>
          <w:p>
            <w:pPr>
              <w:snapToGrid w:val="0"/>
              <w:spacing w:line="560" w:lineRule="exact"/>
              <w:jc w:val="center"/>
              <w:rPr>
                <w:rFonts w:ascii="仿宋" w:hAnsi="仿宋" w:eastAsia="仿宋" w:cs="仿宋"/>
              </w:rPr>
            </w:pPr>
            <w:r>
              <w:rPr>
                <w:rFonts w:hint="eastAsia" w:ascii="仿宋" w:hAnsi="仿宋" w:eastAsia="仿宋" w:cs="仿宋"/>
              </w:rPr>
              <w:t>13.86</w:t>
            </w:r>
          </w:p>
        </w:tc>
        <w:tc>
          <w:tcPr>
            <w:tcW w:w="991" w:type="dxa"/>
            <w:vAlign w:val="center"/>
          </w:tcPr>
          <w:p>
            <w:pPr>
              <w:snapToGrid w:val="0"/>
              <w:spacing w:line="5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09" w:type="dxa"/>
            <w:vAlign w:val="center"/>
          </w:tcPr>
          <w:p>
            <w:pPr>
              <w:snapToGrid w:val="0"/>
              <w:spacing w:line="560" w:lineRule="exact"/>
              <w:jc w:val="center"/>
              <w:rPr>
                <w:rFonts w:ascii="仿宋" w:hAnsi="仿宋" w:eastAsia="仿宋" w:cs="仿宋"/>
              </w:rPr>
            </w:pPr>
            <w:r>
              <w:rPr>
                <w:rFonts w:hint="eastAsia" w:ascii="仿宋" w:hAnsi="仿宋" w:eastAsia="仿宋" w:cs="仿宋"/>
              </w:rPr>
              <w:t>2070499</w:t>
            </w:r>
          </w:p>
        </w:tc>
        <w:tc>
          <w:tcPr>
            <w:tcW w:w="2718" w:type="dxa"/>
            <w:vAlign w:val="center"/>
          </w:tcPr>
          <w:p>
            <w:pPr>
              <w:snapToGrid w:val="0"/>
              <w:spacing w:line="560" w:lineRule="exact"/>
              <w:jc w:val="center"/>
              <w:rPr>
                <w:rFonts w:ascii="仿宋" w:hAnsi="仿宋" w:eastAsia="仿宋" w:cs="仿宋"/>
              </w:rPr>
            </w:pPr>
            <w:r>
              <w:rPr>
                <w:rFonts w:hint="eastAsia" w:ascii="仿宋" w:hAnsi="仿宋" w:eastAsia="仿宋" w:cs="仿宋"/>
              </w:rPr>
              <w:t>其他技术研究于开发支出</w:t>
            </w:r>
          </w:p>
        </w:tc>
        <w:tc>
          <w:tcPr>
            <w:tcW w:w="1071" w:type="dxa"/>
            <w:vAlign w:val="center"/>
          </w:tcPr>
          <w:p>
            <w:pPr>
              <w:snapToGrid w:val="0"/>
              <w:spacing w:line="560" w:lineRule="exact"/>
              <w:jc w:val="center"/>
              <w:rPr>
                <w:rFonts w:ascii="仿宋" w:hAnsi="仿宋" w:eastAsia="仿宋" w:cs="仿宋"/>
              </w:rPr>
            </w:pPr>
          </w:p>
        </w:tc>
        <w:tc>
          <w:tcPr>
            <w:tcW w:w="1085" w:type="dxa"/>
            <w:vAlign w:val="center"/>
          </w:tcPr>
          <w:p>
            <w:pPr>
              <w:snapToGrid w:val="0"/>
              <w:spacing w:line="560" w:lineRule="exact"/>
              <w:jc w:val="center"/>
              <w:rPr>
                <w:rFonts w:ascii="仿宋" w:hAnsi="仿宋" w:eastAsia="仿宋" w:cs="仿宋"/>
              </w:rPr>
            </w:pPr>
            <w:r>
              <w:rPr>
                <w:rFonts w:hint="eastAsia" w:ascii="仿宋" w:hAnsi="仿宋" w:eastAsia="仿宋" w:cs="仿宋"/>
              </w:rPr>
              <w:t>10.27</w:t>
            </w:r>
          </w:p>
        </w:tc>
        <w:tc>
          <w:tcPr>
            <w:tcW w:w="991" w:type="dxa"/>
            <w:vAlign w:val="center"/>
          </w:tcPr>
          <w:p>
            <w:pPr>
              <w:snapToGrid w:val="0"/>
              <w:spacing w:line="560" w:lineRule="exact"/>
              <w:jc w:val="center"/>
              <w:rPr>
                <w:rFonts w:ascii="仿宋" w:hAnsi="仿宋" w:eastAsia="仿宋" w:cs="仿宋"/>
              </w:rPr>
            </w:pPr>
            <w:r>
              <w:rPr>
                <w:rFonts w:hint="eastAsia" w:ascii="仿宋" w:hAnsi="仿宋" w:eastAsia="仿宋" w:cs="仿宋"/>
              </w:rPr>
              <w:t>10.27</w:t>
            </w:r>
          </w:p>
        </w:tc>
        <w:tc>
          <w:tcPr>
            <w:tcW w:w="991" w:type="dxa"/>
            <w:vAlign w:val="center"/>
          </w:tcPr>
          <w:p>
            <w:pPr>
              <w:snapToGrid w:val="0"/>
              <w:spacing w:line="5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09" w:type="dxa"/>
            <w:vAlign w:val="center"/>
          </w:tcPr>
          <w:p>
            <w:pPr>
              <w:snapToGrid w:val="0"/>
              <w:spacing w:line="560" w:lineRule="exact"/>
              <w:jc w:val="center"/>
              <w:rPr>
                <w:rFonts w:ascii="仿宋" w:hAnsi="仿宋" w:eastAsia="仿宋" w:cs="仿宋"/>
              </w:rPr>
            </w:pPr>
            <w:r>
              <w:rPr>
                <w:rFonts w:hint="eastAsia" w:ascii="仿宋" w:hAnsi="仿宋" w:eastAsia="仿宋" w:cs="仿宋"/>
              </w:rPr>
              <w:t>2013105</w:t>
            </w:r>
          </w:p>
        </w:tc>
        <w:tc>
          <w:tcPr>
            <w:tcW w:w="2718" w:type="dxa"/>
            <w:vAlign w:val="center"/>
          </w:tcPr>
          <w:p>
            <w:pPr>
              <w:snapToGrid w:val="0"/>
              <w:spacing w:line="560" w:lineRule="exact"/>
              <w:jc w:val="center"/>
              <w:rPr>
                <w:rFonts w:ascii="仿宋" w:hAnsi="仿宋" w:eastAsia="仿宋" w:cs="仿宋"/>
              </w:rPr>
            </w:pPr>
            <w:r>
              <w:rPr>
                <w:rFonts w:hint="eastAsia" w:ascii="仿宋" w:hAnsi="仿宋" w:eastAsia="仿宋" w:cs="仿宋"/>
              </w:rPr>
              <w:t>专项业务</w:t>
            </w:r>
          </w:p>
        </w:tc>
        <w:tc>
          <w:tcPr>
            <w:tcW w:w="1071" w:type="dxa"/>
            <w:vAlign w:val="center"/>
          </w:tcPr>
          <w:p>
            <w:pPr>
              <w:snapToGrid w:val="0"/>
              <w:spacing w:line="560" w:lineRule="exact"/>
              <w:jc w:val="center"/>
              <w:rPr>
                <w:rFonts w:ascii="仿宋" w:hAnsi="仿宋" w:eastAsia="仿宋" w:cs="仿宋"/>
              </w:rPr>
            </w:pPr>
          </w:p>
        </w:tc>
        <w:tc>
          <w:tcPr>
            <w:tcW w:w="1085" w:type="dxa"/>
            <w:vAlign w:val="center"/>
          </w:tcPr>
          <w:p>
            <w:pPr>
              <w:snapToGrid w:val="0"/>
              <w:spacing w:line="560" w:lineRule="exact"/>
              <w:jc w:val="center"/>
              <w:rPr>
                <w:rFonts w:ascii="仿宋" w:hAnsi="仿宋" w:eastAsia="仿宋" w:cs="仿宋"/>
              </w:rPr>
            </w:pPr>
            <w:r>
              <w:rPr>
                <w:rFonts w:hint="eastAsia" w:ascii="仿宋" w:hAnsi="仿宋" w:eastAsia="仿宋" w:cs="仿宋"/>
              </w:rPr>
              <w:t>1</w:t>
            </w:r>
          </w:p>
        </w:tc>
        <w:tc>
          <w:tcPr>
            <w:tcW w:w="991" w:type="dxa"/>
            <w:vAlign w:val="center"/>
          </w:tcPr>
          <w:p>
            <w:pPr>
              <w:snapToGrid w:val="0"/>
              <w:spacing w:line="560" w:lineRule="exact"/>
              <w:jc w:val="center"/>
              <w:rPr>
                <w:rFonts w:ascii="仿宋" w:hAnsi="仿宋" w:eastAsia="仿宋" w:cs="仿宋"/>
              </w:rPr>
            </w:pPr>
            <w:r>
              <w:rPr>
                <w:rFonts w:hint="eastAsia" w:ascii="仿宋" w:hAnsi="仿宋" w:eastAsia="仿宋" w:cs="仿宋"/>
              </w:rPr>
              <w:t>1</w:t>
            </w:r>
          </w:p>
        </w:tc>
        <w:tc>
          <w:tcPr>
            <w:tcW w:w="991" w:type="dxa"/>
            <w:vAlign w:val="center"/>
          </w:tcPr>
          <w:p>
            <w:pPr>
              <w:snapToGrid w:val="0"/>
              <w:spacing w:line="5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027" w:type="dxa"/>
            <w:gridSpan w:val="2"/>
            <w:vAlign w:val="center"/>
          </w:tcPr>
          <w:p>
            <w:pPr>
              <w:snapToGrid w:val="0"/>
              <w:spacing w:line="560" w:lineRule="exact"/>
              <w:jc w:val="center"/>
              <w:rPr>
                <w:rFonts w:ascii="仿宋" w:hAnsi="仿宋" w:eastAsia="仿宋" w:cs="仿宋"/>
                <w:b/>
                <w:bCs/>
              </w:rPr>
            </w:pPr>
            <w:r>
              <w:rPr>
                <w:rFonts w:hint="eastAsia" w:ascii="仿宋" w:hAnsi="仿宋" w:eastAsia="仿宋" w:cs="仿宋"/>
                <w:b/>
                <w:bCs/>
              </w:rPr>
              <w:t>小 计</w:t>
            </w:r>
          </w:p>
        </w:tc>
        <w:tc>
          <w:tcPr>
            <w:tcW w:w="1071" w:type="dxa"/>
            <w:vAlign w:val="center"/>
          </w:tcPr>
          <w:p>
            <w:pPr>
              <w:snapToGrid w:val="0"/>
              <w:spacing w:line="560" w:lineRule="exact"/>
              <w:jc w:val="center"/>
              <w:rPr>
                <w:rFonts w:ascii="仿宋" w:hAnsi="仿宋" w:eastAsia="仿宋" w:cs="仿宋"/>
                <w:b/>
                <w:bCs/>
              </w:rPr>
            </w:pPr>
            <w:r>
              <w:rPr>
                <w:rFonts w:hint="eastAsia" w:ascii="仿宋" w:hAnsi="仿宋" w:eastAsia="仿宋" w:cs="仿宋"/>
                <w:b/>
                <w:bCs/>
              </w:rPr>
              <w:t>158.70</w:t>
            </w:r>
          </w:p>
        </w:tc>
        <w:tc>
          <w:tcPr>
            <w:tcW w:w="1085" w:type="dxa"/>
            <w:vAlign w:val="center"/>
          </w:tcPr>
          <w:p>
            <w:pPr>
              <w:snapToGrid w:val="0"/>
              <w:spacing w:line="560" w:lineRule="exact"/>
              <w:jc w:val="center"/>
              <w:rPr>
                <w:rFonts w:ascii="仿宋" w:hAnsi="仿宋" w:eastAsia="仿宋" w:cs="仿宋"/>
                <w:b/>
                <w:bCs/>
              </w:rPr>
            </w:pPr>
            <w:r>
              <w:rPr>
                <w:rFonts w:hint="eastAsia" w:ascii="仿宋" w:hAnsi="仿宋" w:eastAsia="仿宋" w:cs="仿宋"/>
                <w:b/>
                <w:bCs/>
              </w:rPr>
              <w:t>156.11</w:t>
            </w:r>
          </w:p>
        </w:tc>
        <w:tc>
          <w:tcPr>
            <w:tcW w:w="991" w:type="dxa"/>
            <w:vAlign w:val="center"/>
          </w:tcPr>
          <w:p>
            <w:pPr>
              <w:snapToGrid w:val="0"/>
              <w:spacing w:line="560" w:lineRule="exact"/>
              <w:jc w:val="center"/>
              <w:rPr>
                <w:rFonts w:ascii="仿宋" w:hAnsi="仿宋" w:eastAsia="仿宋" w:cs="仿宋"/>
                <w:b/>
                <w:bCs/>
              </w:rPr>
            </w:pPr>
          </w:p>
        </w:tc>
        <w:tc>
          <w:tcPr>
            <w:tcW w:w="991" w:type="dxa"/>
            <w:vAlign w:val="center"/>
          </w:tcPr>
          <w:p>
            <w:pPr>
              <w:snapToGrid w:val="0"/>
              <w:spacing w:line="560" w:lineRule="exact"/>
              <w:jc w:val="center"/>
              <w:rPr>
                <w:rFonts w:eastAsia="仿宋_GB2312"/>
                <w:b/>
                <w:bCs/>
              </w:rPr>
            </w:pPr>
          </w:p>
        </w:tc>
      </w:tr>
    </w:tbl>
    <w:p>
      <w:pPr>
        <w:pStyle w:val="15"/>
        <w:spacing w:line="48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 xml:space="preserve">3.项目资金管理情况分析 </w:t>
      </w:r>
    </w:p>
    <w:p>
      <w:pPr>
        <w:pStyle w:val="15"/>
        <w:spacing w:line="480" w:lineRule="exact"/>
        <w:ind w:firstLine="560" w:firstLineChars="200"/>
        <w:jc w:val="both"/>
        <w:rPr>
          <w:rFonts w:ascii="仿宋" w:hAnsi="仿宋" w:eastAsia="仿宋" w:cs="仿宋"/>
          <w:kern w:val="2"/>
          <w:sz w:val="28"/>
          <w:szCs w:val="28"/>
        </w:rPr>
      </w:pPr>
      <w:r>
        <w:rPr>
          <w:rFonts w:hint="eastAsia" w:ascii="仿宋" w:hAnsi="仿宋" w:eastAsia="仿宋" w:cs="仿宋"/>
          <w:sz w:val="28"/>
          <w:szCs w:val="28"/>
        </w:rPr>
        <w:t>项目支出严格按照国家财</w:t>
      </w:r>
      <w:r>
        <w:rPr>
          <w:rFonts w:hint="eastAsia" w:ascii="仿宋" w:hAnsi="仿宋" w:eastAsia="仿宋" w:cs="仿宋"/>
          <w:kern w:val="2"/>
          <w:sz w:val="28"/>
          <w:szCs w:val="28"/>
        </w:rPr>
        <w:t>经法规、预算资金管理办法、财务管理制度以及省级政府对财政专项资金管理有关法规的规定执行，把项目资金的审批分配、监督检查与绩效评价结合起来。项目支出中用于采购货物、服务类、拨款类等资金支出由国库集中支付，其他支出遵循先预算、再审批、后支出的原则，确保了财政资金分配和财政审批程序合法、保证了项目资金的合理使用。</w:t>
      </w:r>
    </w:p>
    <w:p>
      <w:pPr>
        <w:spacing w:line="480" w:lineRule="exact"/>
        <w:ind w:firstLine="560" w:firstLineChars="200"/>
        <w:rPr>
          <w:rFonts w:ascii="Times New Roman" w:hAnsi="Times New Roman" w:eastAsia="黑体"/>
          <w:bCs/>
          <w:color w:val="000000"/>
          <w:sz w:val="28"/>
          <w:szCs w:val="28"/>
        </w:rPr>
      </w:pPr>
      <w:r>
        <w:rPr>
          <w:rFonts w:ascii="Times New Roman" w:hAnsi="Times New Roman" w:eastAsia="黑体"/>
          <w:bCs/>
          <w:color w:val="000000"/>
          <w:sz w:val="28"/>
          <w:szCs w:val="28"/>
        </w:rPr>
        <w:t xml:space="preserve">三、部门项目组织实施情况 </w:t>
      </w:r>
    </w:p>
    <w:p>
      <w:pPr>
        <w:pStyle w:val="15"/>
        <w:spacing w:line="48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（一）项目组织情况分析</w:t>
      </w:r>
    </w:p>
    <w:p>
      <w:pPr>
        <w:pStyle w:val="15"/>
        <w:spacing w:line="48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我单位严格落实“三重一大”制度，不断加强项目的资金管理以及财务监督等相关工作。根据项目实际情况确需增加和变更设计内容的，按程序申报，审核后，再实施，项目竣工按程序验收，达到合同规定的质量要求，才给予结算付款。</w:t>
      </w:r>
    </w:p>
    <w:p>
      <w:pPr>
        <w:pStyle w:val="15"/>
        <w:spacing w:line="48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（二）项目管理情况分析</w:t>
      </w:r>
    </w:p>
    <w:p>
      <w:pPr>
        <w:pStyle w:val="15"/>
        <w:spacing w:line="48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项目支出严格按照国家财经法规、预算资金管理办法、财务管理制度以及省级政府对财政专项资金管理有关法规的规定执行，把项目资金的审批分配、监督检查与绩效评价结合起来。项目支出中用于采购货物、服务类、拨款类等资金支出由国库集中支付，其他支出遵循先预算、再审批、后支出的原则，确保了财政资金分配和财政审批程序合法、保证了项目资金的合理使用。</w:t>
      </w:r>
    </w:p>
    <w:p>
      <w:pPr>
        <w:spacing w:line="480" w:lineRule="exact"/>
        <w:ind w:firstLine="560" w:firstLineChars="200"/>
        <w:rPr>
          <w:rFonts w:ascii="Times New Roman" w:hAnsi="Times New Roman" w:eastAsia="仿宋_GB2312"/>
          <w:color w:val="000000"/>
          <w:sz w:val="28"/>
          <w:szCs w:val="28"/>
        </w:rPr>
      </w:pPr>
      <w:r>
        <w:rPr>
          <w:rFonts w:ascii="Times New Roman" w:hAnsi="Times New Roman" w:eastAsia="黑体"/>
          <w:bCs/>
          <w:color w:val="000000"/>
          <w:sz w:val="28"/>
          <w:szCs w:val="28"/>
        </w:rPr>
        <w:t xml:space="preserve">四、资产管理情况 </w:t>
      </w:r>
      <w:r>
        <w:rPr>
          <w:rFonts w:ascii="Times New Roman" w:hAnsi="Times New Roman" w:eastAsia="仿宋_GB2312"/>
          <w:color w:val="000000"/>
          <w:sz w:val="28"/>
          <w:szCs w:val="28"/>
        </w:rPr>
        <w:t xml:space="preserve"> </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市科协2020年度固定资产原值年初数28.50万元、年末数32.67万元，其中固定资产累计折旧19.85万元，固定资产净值年末数为12.82万元，增加其他一般办公设备购置固定资产4.17万元。</w:t>
      </w:r>
    </w:p>
    <w:p>
      <w:pPr>
        <w:spacing w:line="480" w:lineRule="exact"/>
        <w:ind w:firstLine="560" w:firstLineChars="200"/>
        <w:rPr>
          <w:rFonts w:ascii="Times New Roman" w:hAnsi="Times New Roman" w:eastAsia="黑体"/>
          <w:bCs/>
          <w:color w:val="000000"/>
          <w:sz w:val="28"/>
          <w:szCs w:val="28"/>
        </w:rPr>
      </w:pPr>
      <w:r>
        <w:rPr>
          <w:rFonts w:ascii="Times New Roman" w:hAnsi="Times New Roman" w:eastAsia="黑体"/>
          <w:bCs/>
          <w:color w:val="000000"/>
          <w:sz w:val="28"/>
          <w:szCs w:val="28"/>
        </w:rPr>
        <w:t xml:space="preserve">五、部门整体支出绩效情况 </w:t>
      </w:r>
    </w:p>
    <w:p>
      <w:pPr>
        <w:spacing w:line="480" w:lineRule="exact"/>
        <w:ind w:firstLine="560" w:firstLineChars="200"/>
        <w:rPr>
          <w:rFonts w:ascii="仿宋" w:hAnsi="仿宋" w:eastAsia="仿宋" w:cs="仿宋"/>
          <w:color w:val="000000"/>
          <w:sz w:val="28"/>
          <w:szCs w:val="28"/>
        </w:rPr>
      </w:pPr>
      <w:r>
        <w:rPr>
          <w:rFonts w:hint="eastAsia" w:ascii="Times New Roman" w:hAnsi="Times New Roman" w:eastAsia="仿宋_GB2312"/>
          <w:color w:val="000000"/>
          <w:sz w:val="28"/>
          <w:szCs w:val="28"/>
        </w:rPr>
        <w:t>（一）</w:t>
      </w:r>
      <w:r>
        <w:rPr>
          <w:rFonts w:ascii="Times New Roman" w:hAnsi="Times New Roman" w:eastAsia="仿宋_GB2312"/>
          <w:color w:val="000000"/>
          <w:sz w:val="28"/>
          <w:szCs w:val="28"/>
        </w:rPr>
        <w:t>单位总</w:t>
      </w:r>
      <w:r>
        <w:rPr>
          <w:rFonts w:hint="eastAsia" w:ascii="仿宋" w:hAnsi="仿宋" w:eastAsia="仿宋" w:cs="仿宋"/>
          <w:color w:val="000000"/>
          <w:sz w:val="28"/>
          <w:szCs w:val="28"/>
        </w:rPr>
        <w:t>支出情况的绩效分析</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2020年度支出总额293.29万元，其中基本支出137.18万元，基本支出保障了单位正常运转的日常支出，包括基本工资、津贴补贴等人员经费以及劳务费、其他交通费用等日常公用经费；项目支出金额156.11万元，项目支出主要用科普活动经费</w:t>
      </w:r>
      <w:r>
        <w:rPr>
          <w:rFonts w:hint="eastAsia" w:ascii="仿宋" w:hAnsi="仿宋" w:eastAsia="仿宋" w:cs="仿宋"/>
          <w:sz w:val="28"/>
          <w:szCs w:val="28"/>
        </w:rPr>
        <w:t>等支出，包括办公费、印刷费、邮电费、差旅费、租赁费、会议费、劳务费等。</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（二）单位项目资金绩效分析</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1．项目基本情况简介</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2020年年初预算数为158.7</w:t>
      </w:r>
      <w:r>
        <w:rPr>
          <w:rFonts w:hint="eastAsia" w:ascii="仿宋" w:hAnsi="仿宋" w:eastAsia="仿宋" w:cs="仿宋"/>
          <w:sz w:val="28"/>
          <w:szCs w:val="28"/>
        </w:rPr>
        <w:t>0</w:t>
      </w:r>
      <w:r>
        <w:rPr>
          <w:rFonts w:ascii="仿宋" w:hAnsi="仿宋" w:eastAsia="仿宋" w:cs="仿宋"/>
          <w:sz w:val="28"/>
          <w:szCs w:val="28"/>
        </w:rPr>
        <w:t>万元，是指单位为完成特定行政工作任务或事业发展目标而发生的支出。其中，其他科学技术管理事务支出113.96万元，主要用于全国科普日活动、科普惠农、科普大篷车活动、老科协活动经费等科普宣传工作方面</w:t>
      </w:r>
      <w:r>
        <w:rPr>
          <w:rFonts w:hint="eastAsia" w:ascii="仿宋" w:hAnsi="仿宋" w:eastAsia="仿宋" w:cs="仿宋"/>
          <w:sz w:val="28"/>
          <w:szCs w:val="28"/>
        </w:rPr>
        <w:t>。</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2．项目资金使用及管理情况</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项目资金收入</w:t>
      </w:r>
      <w:r>
        <w:rPr>
          <w:rFonts w:hint="eastAsia" w:ascii="仿宋" w:hAnsi="仿宋" w:eastAsia="仿宋" w:cs="仿宋"/>
          <w:color w:val="000000"/>
          <w:sz w:val="28"/>
          <w:szCs w:val="28"/>
        </w:rPr>
        <w:t>156.11</w:t>
      </w:r>
      <w:r>
        <w:rPr>
          <w:rFonts w:hint="eastAsia" w:ascii="仿宋" w:hAnsi="仿宋" w:eastAsia="仿宋" w:cs="仿宋"/>
          <w:sz w:val="28"/>
          <w:szCs w:val="28"/>
        </w:rPr>
        <w:t>万元，支出</w:t>
      </w:r>
      <w:r>
        <w:rPr>
          <w:rFonts w:hint="eastAsia" w:ascii="仿宋" w:hAnsi="仿宋" w:eastAsia="仿宋" w:cs="仿宋"/>
          <w:color w:val="000000"/>
          <w:sz w:val="28"/>
          <w:szCs w:val="28"/>
        </w:rPr>
        <w:t>156.11</w:t>
      </w:r>
      <w:r>
        <w:rPr>
          <w:rFonts w:hint="eastAsia" w:ascii="仿宋" w:hAnsi="仿宋" w:eastAsia="仿宋" w:cs="仿宋"/>
          <w:sz w:val="28"/>
          <w:szCs w:val="28"/>
        </w:rPr>
        <w:t>万元，全部为财政资金，资金到位率100%，实际使用率100%。根据项目资金实际使用情况，对项目资金开展绩效自评，在资金使用上，我单位严格执行项目资金管理制度，实行专款专用，无挪用项目资金问题</w:t>
      </w:r>
      <w:r>
        <w:rPr>
          <w:rFonts w:hint="eastAsia" w:ascii="仿宋" w:hAnsi="仿宋" w:eastAsia="仿宋" w:cs="仿宋"/>
          <w:color w:val="000000"/>
          <w:sz w:val="28"/>
          <w:szCs w:val="28"/>
        </w:rPr>
        <w:t>。</w:t>
      </w:r>
    </w:p>
    <w:p>
      <w:pPr>
        <w:spacing w:line="48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3．项目组织实施情况</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2020年度组织实施的政务公开标准化体系建设项目招投标工作均本着公平、公正、科学、择优的原则，严格按照有关规定进行招标，在指定媒介发布招标公告，并按公告约定时间、地点开标、评标。开标</w:t>
      </w:r>
      <w:r>
        <w:rPr>
          <w:rFonts w:hint="eastAsia" w:ascii="仿宋" w:hAnsi="仿宋" w:eastAsia="仿宋" w:cs="仿宋"/>
          <w:sz w:val="28"/>
          <w:szCs w:val="28"/>
        </w:rPr>
        <w:t>、评标过程均受财政、纪检等行政监督部门行政监督。</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4．项目绩效情况</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启动科技助力乡村振兴工程。今年浏阳市科协被中国科协批准为全国地方科协深化改革工作试点项目，我市被湖南省科协批准为全省首批科技助力乡村振兴县域试点县（市）。市科技专家服务团依托项目资源和技术力量，全年共开展技术服务和科技培训300余期，累计服务近万名农民，共引进新品种100余个，推广新技术80余项。一年来，市科协以加快科普阵地建设为抓手，积极引导探索“产业+旅游+科普”的发展模式，适应科普领域供给侧改革的发展形势，稳步推进科普信息化、产业化建设，切实提高了公众科学素质水平。</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加强基层组织队伍建设。2020年，我市进一步加强科协系统的组织建设工作，全市32个乡镇、街道都建立了科协，都配备了1-3名专（兼）职工作人员，全市300个行政村、23个社区都成立了科普组织。持续推动基层科协“镇、村两级组织”和“科普信息员、科技志愿者两支队伍”建设，科普信息员和科普志愿者的注册人数分别达到49493人、11436人，注册量均位居全省第一，市科协获评全省科普信息员科普信息传播竞赛优秀组织单位奖。成立了市科普大篷车、市农业科技、老科协等48支基层专业化科普志愿者队伍，共开展社区巡展、进村服务活动32次，惠及近万名人民群众。</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组织“全国科普日”系列活动。9月27日，我市召开了2020年全国科普日活动启动仪式，活动现场为荣获2020年长沙市先进农技协与农村科普基地、农村科普带头人、科普社区的7名代表授牌，并为今年新成立的29支科技志愿者服务队授旗，同时启动了浏阳科普云课堂和科普知识有奖竞答云决赛，陆续开展了健康科普进社区、“菜单式”科普讲座、科普专家在线访谈、打卡科普小镇、中小学生科技节、科普电影进校园等九大科普活动，其中，“浏阳市科普知识有奖竞答”活动荣获中国科协“2020年全国科普日优秀活动”，市科协获评全省“全国科普日”优秀组织单位。</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召开代表大会。12月2日，我市召开了市科协第十二次代表大会，中国科学院院士、山东大学附属生殖医院首席专家陈子江应邀出席会议，大会总结回顾了过去五年的科协工作，对未来五年工作进行安排部署，选举产生了市科协第十二届委员会主席、副主席、常务委员，长沙市委常委、浏阳市委书记黎春秋出席并讲话。</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服务科技创新。先后走访慰问了何继善院士、谭建荣院士和陈子江院士等12位市科技创新专家咨询委员会委员，分别邀请了周其凤院士、何继善院士、陈子江院士和潘功佩教授来浏开展科技咨询活动。9月份我市承办了“第三届创新湖南高峰论坛”，印遇龙、桂卫华等二位院士出席活动并发表了主题演讲。目前，全市共建有7家院士专家工作站，吸引了7位两院院士、近30位创新团队专家投入到多项研发合作项目中，在智能制造、医药化工等领域实现了多项全新技术突破，12月份，湘典食品公司正式申报建设长沙市专家工作站。</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5．综合评价情况及评价结论</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市科学技术协会2020年度项目资金绩效自评综合得分为98分，具体自评情况见附表。</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6．绩效评价结果应用建议</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科普项目工作经费在创建全国科普日期间需每年追加预算支出情况，应年初根据实际情况，做好预算。</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7．主要经验及做法</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sz w:val="28"/>
          <w:szCs w:val="28"/>
        </w:rPr>
        <w:t>加强对项目资金管</w:t>
      </w:r>
      <w:r>
        <w:rPr>
          <w:rFonts w:hint="eastAsia" w:ascii="仿宋" w:hAnsi="仿宋" w:eastAsia="仿宋" w:cs="仿宋"/>
          <w:kern w:val="0"/>
          <w:sz w:val="28"/>
          <w:szCs w:val="28"/>
        </w:rPr>
        <w:t>理使用的监督检查及自查自纠行动，有效杜绝挤占挪用项目资金的违法违纪行为,充分发挥财政资金的最大效益。</w:t>
      </w:r>
    </w:p>
    <w:p>
      <w:pPr>
        <w:spacing w:line="480" w:lineRule="exact"/>
        <w:ind w:firstLine="560" w:firstLineChars="200"/>
        <w:rPr>
          <w:rFonts w:ascii="Times New Roman" w:hAnsi="Times New Roman" w:eastAsia="黑体"/>
          <w:bCs/>
          <w:color w:val="000000"/>
          <w:sz w:val="28"/>
          <w:szCs w:val="28"/>
        </w:rPr>
      </w:pPr>
      <w:r>
        <w:rPr>
          <w:rFonts w:ascii="Times New Roman" w:hAnsi="Times New Roman" w:eastAsia="黑体"/>
          <w:bCs/>
          <w:color w:val="000000"/>
          <w:sz w:val="28"/>
          <w:szCs w:val="28"/>
        </w:rPr>
        <w:t xml:space="preserve">六、存在的主要问题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一是项目申报不科学，预算缺乏前期的详细调研和科学测算，使得部分预算脱离实际需要，实际执行之后，部公项目与实际需求有出入，影响了财政资金的使用效益。二是单位内部控制制度还需进一步完善。</w:t>
      </w:r>
    </w:p>
    <w:p>
      <w:pPr>
        <w:spacing w:line="480" w:lineRule="exact"/>
        <w:ind w:firstLine="560" w:firstLineChars="200"/>
        <w:rPr>
          <w:rFonts w:ascii="Times New Roman" w:hAnsi="Times New Roman" w:eastAsia="黑体"/>
          <w:bCs/>
          <w:color w:val="000000"/>
          <w:sz w:val="28"/>
          <w:szCs w:val="28"/>
        </w:rPr>
      </w:pPr>
      <w:r>
        <w:rPr>
          <w:rFonts w:ascii="Times New Roman" w:hAnsi="Times New Roman" w:eastAsia="黑体"/>
          <w:bCs/>
          <w:color w:val="000000"/>
          <w:sz w:val="28"/>
          <w:szCs w:val="28"/>
        </w:rPr>
        <w:t xml:space="preserve">七、改进措施和有关建议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是增强预算编制的科学性和可行性。项目申报前期要进行充分的调查研究，严格论证项目实施的充分性和必要性，合理测算所需财政资金的多少，必须有足够的测算依据，准确评估财政资金投入使用的效益，提高预算编制的科学性。二是进一步加强内部控制制度的执行情况。提高内部控制意识，认识到内部控制的重要性，让单位所有职工都参与到内部控制的执行中，营造出内部控制的氛围。</w:t>
      </w:r>
    </w:p>
    <w:p>
      <w:pPr>
        <w:spacing w:line="480" w:lineRule="exact"/>
        <w:ind w:firstLine="560" w:firstLineChars="200"/>
        <w:rPr>
          <w:rFonts w:ascii="Times New Roman" w:hAnsi="Times New Roman" w:eastAsia="黑体"/>
          <w:bCs/>
          <w:color w:val="000000"/>
          <w:sz w:val="28"/>
          <w:szCs w:val="28"/>
        </w:rPr>
      </w:pPr>
      <w:r>
        <w:rPr>
          <w:rFonts w:ascii="Times New Roman" w:hAnsi="Times New Roman" w:eastAsia="黑体"/>
          <w:bCs/>
          <w:color w:val="000000"/>
          <w:sz w:val="28"/>
          <w:szCs w:val="28"/>
        </w:rPr>
        <w:t>八、单位在资金管理、项目管理等方面的先进经验及做法</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我单位在预决算管理、资金管理、项目管理、资产管理等方面一直坚持思想重视、制度健全、责任明晰、跟踪验收原则，严格按照相关政策要求执行，对于重要项目、重要资金的安排使用做到事前计划、事中监管、事后评估。</w:t>
      </w:r>
    </w:p>
    <w:p>
      <w:pPr>
        <w:spacing w:line="480" w:lineRule="exact"/>
        <w:ind w:firstLine="560" w:firstLineChars="200"/>
        <w:rPr>
          <w:rFonts w:ascii="Times New Roman" w:hAnsi="Times New Roman" w:eastAsia="黑体"/>
          <w:bCs/>
          <w:color w:val="000000"/>
          <w:sz w:val="28"/>
          <w:szCs w:val="28"/>
        </w:rPr>
      </w:pPr>
      <w:r>
        <w:rPr>
          <w:rFonts w:ascii="Times New Roman" w:hAnsi="Times New Roman" w:eastAsia="黑体"/>
          <w:bCs/>
          <w:color w:val="000000"/>
          <w:sz w:val="28"/>
          <w:szCs w:val="28"/>
        </w:rPr>
        <w:t>九、部门整体支出绩效评价等级</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2020年，我单位积极履职，强化管理，较好地完成了年度工作目标。项目资金使用合理、监督到位，项目总体情况良好。根据部门整体支出绩效评价指标体系，我单位2020年度评分得分97.5分，部门整体支出绩效情况见附表。</w:t>
      </w: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eastAsia="仿宋_GB2312"/>
        <w:sz w:val="28"/>
        <w:szCs w:val="28"/>
      </w:rPr>
    </w:pPr>
    <w:r>
      <w:rPr>
        <w:rStyle w:val="12"/>
        <w:rFonts w:eastAsia="仿宋_GB2312"/>
        <w:sz w:val="28"/>
        <w:szCs w:val="28"/>
      </w:rPr>
      <w:t>—</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9</w:t>
    </w:r>
    <w:r>
      <w:rPr>
        <w:rFonts w:eastAsia="仿宋_GB2312"/>
        <w:sz w:val="28"/>
        <w:szCs w:val="28"/>
      </w:rPr>
      <w:fldChar w:fldCharType="end"/>
    </w:r>
    <w:r>
      <w:rPr>
        <w:rStyle w:val="12"/>
        <w:rFonts w:eastAsia="仿宋_GB2312"/>
        <w:sz w:val="28"/>
        <w:szCs w:val="28"/>
      </w:rPr>
      <w:t>—</w:t>
    </w:r>
  </w:p>
  <w:p>
    <w:pPr>
      <w:pStyle w:val="6"/>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239A3"/>
    <w:rsid w:val="0030363F"/>
    <w:rsid w:val="005C47BC"/>
    <w:rsid w:val="006E17B0"/>
    <w:rsid w:val="006E5234"/>
    <w:rsid w:val="00794C43"/>
    <w:rsid w:val="00A20425"/>
    <w:rsid w:val="00C239A3"/>
    <w:rsid w:val="00E25185"/>
    <w:rsid w:val="01B11F72"/>
    <w:rsid w:val="01CC5B5D"/>
    <w:rsid w:val="01D25A54"/>
    <w:rsid w:val="01E350C4"/>
    <w:rsid w:val="01E84C06"/>
    <w:rsid w:val="02533773"/>
    <w:rsid w:val="02946568"/>
    <w:rsid w:val="02C64A1F"/>
    <w:rsid w:val="02FF6A14"/>
    <w:rsid w:val="03682052"/>
    <w:rsid w:val="039D787C"/>
    <w:rsid w:val="03B0758D"/>
    <w:rsid w:val="03E963F5"/>
    <w:rsid w:val="03F012A5"/>
    <w:rsid w:val="03FF6717"/>
    <w:rsid w:val="044A5A14"/>
    <w:rsid w:val="049C2253"/>
    <w:rsid w:val="04BF3A3E"/>
    <w:rsid w:val="04F5377F"/>
    <w:rsid w:val="051C36EC"/>
    <w:rsid w:val="05216C74"/>
    <w:rsid w:val="053868E5"/>
    <w:rsid w:val="05716333"/>
    <w:rsid w:val="059432C2"/>
    <w:rsid w:val="05E00D43"/>
    <w:rsid w:val="06AD4D6E"/>
    <w:rsid w:val="06DF7CC2"/>
    <w:rsid w:val="06E53A0A"/>
    <w:rsid w:val="07064DEE"/>
    <w:rsid w:val="082A6DB2"/>
    <w:rsid w:val="08840E51"/>
    <w:rsid w:val="08FC391B"/>
    <w:rsid w:val="092F10CA"/>
    <w:rsid w:val="09AC1218"/>
    <w:rsid w:val="09FB198D"/>
    <w:rsid w:val="0A0B6901"/>
    <w:rsid w:val="0A497730"/>
    <w:rsid w:val="0AFB510B"/>
    <w:rsid w:val="0B0E674C"/>
    <w:rsid w:val="0B6F7E18"/>
    <w:rsid w:val="0B80378C"/>
    <w:rsid w:val="0B925D6F"/>
    <w:rsid w:val="0C253B52"/>
    <w:rsid w:val="0CD540DA"/>
    <w:rsid w:val="0CE2125A"/>
    <w:rsid w:val="0CF45847"/>
    <w:rsid w:val="0DAC4DC6"/>
    <w:rsid w:val="0E1C2613"/>
    <w:rsid w:val="0E205ADC"/>
    <w:rsid w:val="0E3C0BE9"/>
    <w:rsid w:val="0EAB14A7"/>
    <w:rsid w:val="0EC2029A"/>
    <w:rsid w:val="0F0134BE"/>
    <w:rsid w:val="0F29470F"/>
    <w:rsid w:val="101A5AE6"/>
    <w:rsid w:val="10CC17D4"/>
    <w:rsid w:val="11705AB1"/>
    <w:rsid w:val="11C55053"/>
    <w:rsid w:val="11C95E20"/>
    <w:rsid w:val="11EC7CAE"/>
    <w:rsid w:val="120E1683"/>
    <w:rsid w:val="121013E6"/>
    <w:rsid w:val="128E187B"/>
    <w:rsid w:val="12D33024"/>
    <w:rsid w:val="12FB50BD"/>
    <w:rsid w:val="13260918"/>
    <w:rsid w:val="13860443"/>
    <w:rsid w:val="14730D71"/>
    <w:rsid w:val="14A02A0D"/>
    <w:rsid w:val="15344F52"/>
    <w:rsid w:val="157436B2"/>
    <w:rsid w:val="15784A21"/>
    <w:rsid w:val="15A41556"/>
    <w:rsid w:val="15A8006A"/>
    <w:rsid w:val="15F64D84"/>
    <w:rsid w:val="16CB52B9"/>
    <w:rsid w:val="17092266"/>
    <w:rsid w:val="170933AA"/>
    <w:rsid w:val="17615F57"/>
    <w:rsid w:val="17BE0706"/>
    <w:rsid w:val="17BF05C2"/>
    <w:rsid w:val="18453F19"/>
    <w:rsid w:val="189753C7"/>
    <w:rsid w:val="18A41C3D"/>
    <w:rsid w:val="18B166D2"/>
    <w:rsid w:val="18F03A49"/>
    <w:rsid w:val="190457B0"/>
    <w:rsid w:val="196713D2"/>
    <w:rsid w:val="19C40671"/>
    <w:rsid w:val="1A486D1A"/>
    <w:rsid w:val="1B175978"/>
    <w:rsid w:val="1B234355"/>
    <w:rsid w:val="1BC623D8"/>
    <w:rsid w:val="1BE65D45"/>
    <w:rsid w:val="1C271FDF"/>
    <w:rsid w:val="1C2A63F0"/>
    <w:rsid w:val="1C6A258F"/>
    <w:rsid w:val="1CFD0453"/>
    <w:rsid w:val="1D3B1F39"/>
    <w:rsid w:val="1D474EED"/>
    <w:rsid w:val="1D715431"/>
    <w:rsid w:val="1DA4443A"/>
    <w:rsid w:val="1DB90B0C"/>
    <w:rsid w:val="1DD36A50"/>
    <w:rsid w:val="1E042C85"/>
    <w:rsid w:val="1E0E65CE"/>
    <w:rsid w:val="1E191537"/>
    <w:rsid w:val="1E4E27A2"/>
    <w:rsid w:val="1EF50035"/>
    <w:rsid w:val="1F2C7D58"/>
    <w:rsid w:val="202E3BBB"/>
    <w:rsid w:val="20373B4C"/>
    <w:rsid w:val="205804E8"/>
    <w:rsid w:val="209D1587"/>
    <w:rsid w:val="20BE4E42"/>
    <w:rsid w:val="21010040"/>
    <w:rsid w:val="21965859"/>
    <w:rsid w:val="22102E02"/>
    <w:rsid w:val="22224242"/>
    <w:rsid w:val="222E4F6C"/>
    <w:rsid w:val="22391952"/>
    <w:rsid w:val="229362E7"/>
    <w:rsid w:val="22D53512"/>
    <w:rsid w:val="23445D97"/>
    <w:rsid w:val="23727D4D"/>
    <w:rsid w:val="23E47E97"/>
    <w:rsid w:val="23F804FA"/>
    <w:rsid w:val="24054146"/>
    <w:rsid w:val="244076C0"/>
    <w:rsid w:val="24D4681F"/>
    <w:rsid w:val="25186524"/>
    <w:rsid w:val="25250C01"/>
    <w:rsid w:val="252F184F"/>
    <w:rsid w:val="25A623D6"/>
    <w:rsid w:val="25E276AD"/>
    <w:rsid w:val="26613B13"/>
    <w:rsid w:val="26BF28F3"/>
    <w:rsid w:val="27A21E9E"/>
    <w:rsid w:val="27D23D89"/>
    <w:rsid w:val="284227BF"/>
    <w:rsid w:val="28520008"/>
    <w:rsid w:val="287A4C3D"/>
    <w:rsid w:val="296A0D4C"/>
    <w:rsid w:val="29B222E8"/>
    <w:rsid w:val="29B33A1C"/>
    <w:rsid w:val="2A220F08"/>
    <w:rsid w:val="2AB269DC"/>
    <w:rsid w:val="2AB605DD"/>
    <w:rsid w:val="2AE176A3"/>
    <w:rsid w:val="2B92724D"/>
    <w:rsid w:val="2BFE5E44"/>
    <w:rsid w:val="2C430FA4"/>
    <w:rsid w:val="2CFE641A"/>
    <w:rsid w:val="2D3A2486"/>
    <w:rsid w:val="2D5424A9"/>
    <w:rsid w:val="2DDA62B0"/>
    <w:rsid w:val="2E107E30"/>
    <w:rsid w:val="2E541235"/>
    <w:rsid w:val="2E6D35E8"/>
    <w:rsid w:val="2EFD11A6"/>
    <w:rsid w:val="2FD47883"/>
    <w:rsid w:val="2FFF717A"/>
    <w:rsid w:val="302F2165"/>
    <w:rsid w:val="309314D9"/>
    <w:rsid w:val="312C6DF3"/>
    <w:rsid w:val="31A06A55"/>
    <w:rsid w:val="31AB5057"/>
    <w:rsid w:val="31E234C0"/>
    <w:rsid w:val="31FA77EA"/>
    <w:rsid w:val="329A3376"/>
    <w:rsid w:val="32AA389E"/>
    <w:rsid w:val="333A5B19"/>
    <w:rsid w:val="333C5D20"/>
    <w:rsid w:val="33586757"/>
    <w:rsid w:val="33992005"/>
    <w:rsid w:val="33CC1B59"/>
    <w:rsid w:val="345A6BEF"/>
    <w:rsid w:val="347020A2"/>
    <w:rsid w:val="349E44FA"/>
    <w:rsid w:val="35370F9A"/>
    <w:rsid w:val="35455B0C"/>
    <w:rsid w:val="355F638F"/>
    <w:rsid w:val="35F4208E"/>
    <w:rsid w:val="360E4014"/>
    <w:rsid w:val="36AE3952"/>
    <w:rsid w:val="36C2195C"/>
    <w:rsid w:val="37012188"/>
    <w:rsid w:val="37064A70"/>
    <w:rsid w:val="370A25F2"/>
    <w:rsid w:val="37821BF8"/>
    <w:rsid w:val="37BF7F6B"/>
    <w:rsid w:val="38626513"/>
    <w:rsid w:val="38F8279B"/>
    <w:rsid w:val="39592D4C"/>
    <w:rsid w:val="39747065"/>
    <w:rsid w:val="3A4311C4"/>
    <w:rsid w:val="3AEF59B6"/>
    <w:rsid w:val="3B315E18"/>
    <w:rsid w:val="3B931FF5"/>
    <w:rsid w:val="3BAA74FA"/>
    <w:rsid w:val="3BB05BC1"/>
    <w:rsid w:val="3C5169D1"/>
    <w:rsid w:val="3C7328E8"/>
    <w:rsid w:val="3C9B3E70"/>
    <w:rsid w:val="3CFB538A"/>
    <w:rsid w:val="3D166755"/>
    <w:rsid w:val="3D213ADF"/>
    <w:rsid w:val="3D564BAE"/>
    <w:rsid w:val="3D8D485E"/>
    <w:rsid w:val="3DA164DB"/>
    <w:rsid w:val="3E0646B4"/>
    <w:rsid w:val="3EE34DBA"/>
    <w:rsid w:val="3F4F233A"/>
    <w:rsid w:val="3F6C159C"/>
    <w:rsid w:val="3F8F6B46"/>
    <w:rsid w:val="40C244ED"/>
    <w:rsid w:val="40C72987"/>
    <w:rsid w:val="40E612D3"/>
    <w:rsid w:val="410D66BA"/>
    <w:rsid w:val="41AE5D83"/>
    <w:rsid w:val="42D0451C"/>
    <w:rsid w:val="42FF363C"/>
    <w:rsid w:val="433B6AAA"/>
    <w:rsid w:val="43437D53"/>
    <w:rsid w:val="43F67D54"/>
    <w:rsid w:val="441421B3"/>
    <w:rsid w:val="441660CB"/>
    <w:rsid w:val="443B1FF8"/>
    <w:rsid w:val="44520526"/>
    <w:rsid w:val="45F26B81"/>
    <w:rsid w:val="460974B9"/>
    <w:rsid w:val="46456DBB"/>
    <w:rsid w:val="4693327D"/>
    <w:rsid w:val="469F5E9E"/>
    <w:rsid w:val="46ED5C3E"/>
    <w:rsid w:val="46F23148"/>
    <w:rsid w:val="473D554A"/>
    <w:rsid w:val="47686D9E"/>
    <w:rsid w:val="47847442"/>
    <w:rsid w:val="47B917FC"/>
    <w:rsid w:val="48955406"/>
    <w:rsid w:val="491C4A70"/>
    <w:rsid w:val="495A2C46"/>
    <w:rsid w:val="4971019F"/>
    <w:rsid w:val="4A284787"/>
    <w:rsid w:val="4A5430C3"/>
    <w:rsid w:val="4A6F56B4"/>
    <w:rsid w:val="4A7B3436"/>
    <w:rsid w:val="4B1C6CF0"/>
    <w:rsid w:val="4B300379"/>
    <w:rsid w:val="4BB22C8D"/>
    <w:rsid w:val="4C3557D9"/>
    <w:rsid w:val="4C55079F"/>
    <w:rsid w:val="4C604095"/>
    <w:rsid w:val="4CBA5879"/>
    <w:rsid w:val="4D8540FC"/>
    <w:rsid w:val="4DB80E6A"/>
    <w:rsid w:val="4DDC59AA"/>
    <w:rsid w:val="4E227F6C"/>
    <w:rsid w:val="4E6D3EAA"/>
    <w:rsid w:val="4E7A6F4D"/>
    <w:rsid w:val="4EBE1358"/>
    <w:rsid w:val="4EF2005D"/>
    <w:rsid w:val="4EF61A17"/>
    <w:rsid w:val="4FD14EF9"/>
    <w:rsid w:val="4FD3712A"/>
    <w:rsid w:val="4FE0557E"/>
    <w:rsid w:val="504A5CEE"/>
    <w:rsid w:val="50CB01F4"/>
    <w:rsid w:val="5116633C"/>
    <w:rsid w:val="517D5625"/>
    <w:rsid w:val="51813478"/>
    <w:rsid w:val="51AC2C67"/>
    <w:rsid w:val="51E87040"/>
    <w:rsid w:val="52202865"/>
    <w:rsid w:val="526674D4"/>
    <w:rsid w:val="5280036E"/>
    <w:rsid w:val="53C8662A"/>
    <w:rsid w:val="53E2395C"/>
    <w:rsid w:val="546D6BDB"/>
    <w:rsid w:val="548F511F"/>
    <w:rsid w:val="549030BB"/>
    <w:rsid w:val="54AB65BC"/>
    <w:rsid w:val="557E67BB"/>
    <w:rsid w:val="55A54841"/>
    <w:rsid w:val="55D66AA7"/>
    <w:rsid w:val="56341A3F"/>
    <w:rsid w:val="566C0746"/>
    <w:rsid w:val="56DC7C5C"/>
    <w:rsid w:val="56EF059B"/>
    <w:rsid w:val="570D746E"/>
    <w:rsid w:val="57161792"/>
    <w:rsid w:val="57193779"/>
    <w:rsid w:val="574049F1"/>
    <w:rsid w:val="57663D9D"/>
    <w:rsid w:val="57B27E8A"/>
    <w:rsid w:val="57C50D0E"/>
    <w:rsid w:val="57E638AD"/>
    <w:rsid w:val="57FC1757"/>
    <w:rsid w:val="581D0E8B"/>
    <w:rsid w:val="585A6768"/>
    <w:rsid w:val="58BD3A25"/>
    <w:rsid w:val="590A6FD4"/>
    <w:rsid w:val="596047FB"/>
    <w:rsid w:val="59605D7F"/>
    <w:rsid w:val="59BE250C"/>
    <w:rsid w:val="59DF5773"/>
    <w:rsid w:val="5A6B09FF"/>
    <w:rsid w:val="5B1316BF"/>
    <w:rsid w:val="5B420D04"/>
    <w:rsid w:val="5B8D06D0"/>
    <w:rsid w:val="5BF12963"/>
    <w:rsid w:val="5C1F21C8"/>
    <w:rsid w:val="5CC858F5"/>
    <w:rsid w:val="5CF953E9"/>
    <w:rsid w:val="5D427854"/>
    <w:rsid w:val="5D512791"/>
    <w:rsid w:val="5DF14905"/>
    <w:rsid w:val="5E3F2363"/>
    <w:rsid w:val="5E7026BF"/>
    <w:rsid w:val="5E872A60"/>
    <w:rsid w:val="5F0B0D6A"/>
    <w:rsid w:val="5F3149E1"/>
    <w:rsid w:val="5F98437A"/>
    <w:rsid w:val="5FD11655"/>
    <w:rsid w:val="60A9472B"/>
    <w:rsid w:val="60AA7137"/>
    <w:rsid w:val="60E250BA"/>
    <w:rsid w:val="613B5267"/>
    <w:rsid w:val="61465CA0"/>
    <w:rsid w:val="61C87FCF"/>
    <w:rsid w:val="61D80C32"/>
    <w:rsid w:val="62386EAB"/>
    <w:rsid w:val="6244279A"/>
    <w:rsid w:val="62D314FD"/>
    <w:rsid w:val="62D9365D"/>
    <w:rsid w:val="62F23FA0"/>
    <w:rsid w:val="63301B7B"/>
    <w:rsid w:val="63642609"/>
    <w:rsid w:val="637C2186"/>
    <w:rsid w:val="63B41515"/>
    <w:rsid w:val="642F7E19"/>
    <w:rsid w:val="64381771"/>
    <w:rsid w:val="644D44DF"/>
    <w:rsid w:val="64B179FB"/>
    <w:rsid w:val="651C184E"/>
    <w:rsid w:val="653B502A"/>
    <w:rsid w:val="657E6B73"/>
    <w:rsid w:val="65A1255A"/>
    <w:rsid w:val="65EE5ED8"/>
    <w:rsid w:val="661D02B4"/>
    <w:rsid w:val="66610B4F"/>
    <w:rsid w:val="66A312FC"/>
    <w:rsid w:val="66BA3AB4"/>
    <w:rsid w:val="672B4240"/>
    <w:rsid w:val="683A3793"/>
    <w:rsid w:val="6854647A"/>
    <w:rsid w:val="68B0261B"/>
    <w:rsid w:val="698636C8"/>
    <w:rsid w:val="699D6B0B"/>
    <w:rsid w:val="69DB3F0E"/>
    <w:rsid w:val="69EF7B8C"/>
    <w:rsid w:val="6A2C4FB6"/>
    <w:rsid w:val="6A477A1F"/>
    <w:rsid w:val="6A652531"/>
    <w:rsid w:val="6AE83175"/>
    <w:rsid w:val="6B0C142D"/>
    <w:rsid w:val="6B827634"/>
    <w:rsid w:val="6C5243ED"/>
    <w:rsid w:val="6C567254"/>
    <w:rsid w:val="6C6621A8"/>
    <w:rsid w:val="6C817EF7"/>
    <w:rsid w:val="6D4E6D24"/>
    <w:rsid w:val="6D4F2D40"/>
    <w:rsid w:val="6D5B7989"/>
    <w:rsid w:val="6D6208BF"/>
    <w:rsid w:val="6DE8422D"/>
    <w:rsid w:val="6E894C26"/>
    <w:rsid w:val="6EA162B1"/>
    <w:rsid w:val="6EC26CCE"/>
    <w:rsid w:val="6ED067D0"/>
    <w:rsid w:val="6F0A2554"/>
    <w:rsid w:val="6F2546D2"/>
    <w:rsid w:val="70386113"/>
    <w:rsid w:val="71636D21"/>
    <w:rsid w:val="71903243"/>
    <w:rsid w:val="71C96B31"/>
    <w:rsid w:val="71F97E8E"/>
    <w:rsid w:val="72830785"/>
    <w:rsid w:val="72F64303"/>
    <w:rsid w:val="733E61DC"/>
    <w:rsid w:val="734074DC"/>
    <w:rsid w:val="737F310F"/>
    <w:rsid w:val="738E74C5"/>
    <w:rsid w:val="73BF33D9"/>
    <w:rsid w:val="73CA7189"/>
    <w:rsid w:val="74D03D26"/>
    <w:rsid w:val="753D3AB3"/>
    <w:rsid w:val="753F529C"/>
    <w:rsid w:val="754A7A65"/>
    <w:rsid w:val="7570059B"/>
    <w:rsid w:val="757855E1"/>
    <w:rsid w:val="762A68B0"/>
    <w:rsid w:val="76736247"/>
    <w:rsid w:val="76F75B24"/>
    <w:rsid w:val="77137C32"/>
    <w:rsid w:val="77716C0B"/>
    <w:rsid w:val="778B441F"/>
    <w:rsid w:val="77F80C0A"/>
    <w:rsid w:val="77FE2B7C"/>
    <w:rsid w:val="784134A5"/>
    <w:rsid w:val="785706BA"/>
    <w:rsid w:val="786D667E"/>
    <w:rsid w:val="78AB3841"/>
    <w:rsid w:val="78C91870"/>
    <w:rsid w:val="78F73F6D"/>
    <w:rsid w:val="790F69A1"/>
    <w:rsid w:val="79347250"/>
    <w:rsid w:val="79421276"/>
    <w:rsid w:val="79B56130"/>
    <w:rsid w:val="79BA0D8C"/>
    <w:rsid w:val="79D70362"/>
    <w:rsid w:val="7A2343F1"/>
    <w:rsid w:val="7A666C12"/>
    <w:rsid w:val="7A945134"/>
    <w:rsid w:val="7AE477FE"/>
    <w:rsid w:val="7B1618FB"/>
    <w:rsid w:val="7B2B00E4"/>
    <w:rsid w:val="7B614BB9"/>
    <w:rsid w:val="7B770CE5"/>
    <w:rsid w:val="7B8A366D"/>
    <w:rsid w:val="7B95723F"/>
    <w:rsid w:val="7B976831"/>
    <w:rsid w:val="7BCF59D5"/>
    <w:rsid w:val="7BD5156D"/>
    <w:rsid w:val="7BEB1452"/>
    <w:rsid w:val="7C3446F7"/>
    <w:rsid w:val="7C721D8C"/>
    <w:rsid w:val="7C7A02C2"/>
    <w:rsid w:val="7CF2436F"/>
    <w:rsid w:val="7DAF3247"/>
    <w:rsid w:val="7E337BA5"/>
    <w:rsid w:val="7E5D3059"/>
    <w:rsid w:val="7EF075FE"/>
    <w:rsid w:val="7F1E7934"/>
    <w:rsid w:val="7F4D2A53"/>
    <w:rsid w:val="7F854E68"/>
    <w:rsid w:val="7FAF6CB0"/>
    <w:rsid w:val="7FEF66A6"/>
    <w:rsid w:val="7FFB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99"/>
    <w:pPr>
      <w:spacing w:after="120"/>
    </w:pPr>
  </w:style>
  <w:style w:type="paragraph" w:styleId="3">
    <w:name w:val="Normal Indent"/>
    <w:basedOn w:val="1"/>
    <w:unhideWhenUsed/>
    <w:qFormat/>
    <w:uiPriority w:val="99"/>
    <w:pPr>
      <w:ind w:firstLine="420" w:firstLineChars="200"/>
    </w:pPr>
    <w:rPr>
      <w:rFonts w:hint="eastAsia" w:cs="宋体"/>
      <w:szCs w:val="22"/>
    </w:rPr>
  </w:style>
  <w:style w:type="paragraph" w:styleId="4">
    <w:name w:val="Body Text"/>
    <w:basedOn w:val="1"/>
    <w:qFormat/>
    <w:uiPriority w:val="0"/>
    <w:pPr>
      <w:adjustRightInd w:val="0"/>
      <w:snapToGrid w:val="0"/>
      <w:spacing w:line="240" w:lineRule="atLeast"/>
      <w:jc w:val="center"/>
    </w:pPr>
    <w:rPr>
      <w:rFonts w:eastAsia="仿宋_GB2312"/>
      <w:sz w:val="24"/>
    </w:rPr>
  </w:style>
  <w:style w:type="paragraph" w:styleId="5">
    <w:name w:val="Body Text Indent"/>
    <w:basedOn w:val="1"/>
    <w:qFormat/>
    <w:uiPriority w:val="0"/>
    <w:pPr>
      <w:spacing w:after="120"/>
      <w:ind w:left="420" w:leftChars="200"/>
    </w:pPr>
    <w:rPr>
      <w:rFonts w:ascii="Times New Roman" w:hAnsi="Times New Roman" w:eastAsia="仿宋_GB2312"/>
      <w:sz w:val="30"/>
      <w:szCs w:val="30"/>
    </w:rPr>
  </w:style>
  <w:style w:type="paragraph" w:styleId="6">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2"/>
    <w:basedOn w:val="5"/>
    <w:qFormat/>
    <w:uiPriority w:val="0"/>
    <w:rPr>
      <w:rFonts w:eastAsia="宋体"/>
    </w:rPr>
  </w:style>
  <w:style w:type="character" w:styleId="12">
    <w:name w:val="page number"/>
    <w:basedOn w:val="11"/>
    <w:qFormat/>
    <w:uiPriority w:val="0"/>
  </w:style>
  <w:style w:type="paragraph" w:customStyle="1" w:styleId="13">
    <w:name w:val="列出段落1"/>
    <w:basedOn w:val="1"/>
    <w:qFormat/>
    <w:uiPriority w:val="99"/>
    <w:pPr>
      <w:ind w:firstLine="420" w:firstLineChars="200"/>
    </w:pPr>
    <w:rPr>
      <w:szCs w:val="22"/>
    </w:r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4961</Words>
  <Characters>562</Characters>
  <Lines>4</Lines>
  <Paragraphs>11</Paragraphs>
  <TotalTime>19</TotalTime>
  <ScaleCrop>false</ScaleCrop>
  <LinksUpToDate>false</LinksUpToDate>
  <CharactersWithSpaces>5512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2021-03-24T07:50:00Z</dcterms:created>
  <dc:creator>Administrator</dc:creator>
  <cp:lastModifiedBy>言言女</cp:lastModifiedBy>
  <cp:lastPrinted>2021-06-21T07:19:00Z</cp:lastPrinted>
  <dcterms:modified xsi:type="dcterms:W3CDTF">2021-10-14T02:23:21Z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C0D2B4ABE6534168BD15758585F2E83C</vt:lpwstr>
  </property>
</Properties>
</file>