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atLeast"/>
        <w:jc w:val="center"/>
        <w:rPr>
          <w:rStyle w:val="5"/>
          <w:rFonts w:hint="eastAsia" w:ascii="方正小标宋简体" w:eastAsia="方正小标宋简体" w:cs="Arial"/>
          <w:b w:val="0"/>
          <w:color w:val="000000"/>
          <w:sz w:val="36"/>
          <w:szCs w:val="36"/>
        </w:rPr>
      </w:pPr>
      <w:bookmarkStart w:id="0" w:name="_GoBack"/>
      <w:r>
        <w:rPr>
          <w:rStyle w:val="5"/>
          <w:rFonts w:hint="eastAsia" w:ascii="方正小标宋简体" w:eastAsia="方正小标宋简体" w:cs="Arial"/>
          <w:b w:val="0"/>
          <w:color w:val="000000"/>
          <w:sz w:val="36"/>
          <w:szCs w:val="36"/>
        </w:rPr>
        <w:t>2018年度浏阳市烤烟生产指导中心部门整体支出</w:t>
      </w:r>
    </w:p>
    <w:p>
      <w:pPr>
        <w:pStyle w:val="2"/>
        <w:spacing w:line="480" w:lineRule="atLeast"/>
        <w:jc w:val="center"/>
        <w:rPr>
          <w:rFonts w:hint="eastAsia" w:ascii="方正小标宋简体" w:hAnsi="Arial" w:eastAsia="方正小标宋简体" w:cs="Arial"/>
          <w:b/>
          <w:color w:val="000000"/>
          <w:sz w:val="36"/>
          <w:szCs w:val="36"/>
        </w:rPr>
      </w:pPr>
      <w:r>
        <w:rPr>
          <w:rStyle w:val="5"/>
          <w:rFonts w:hint="eastAsia" w:ascii="方正小标宋简体" w:eastAsia="方正小标宋简体" w:cs="Arial"/>
          <w:b w:val="0"/>
          <w:color w:val="000000"/>
          <w:sz w:val="36"/>
          <w:szCs w:val="36"/>
        </w:rPr>
        <w:t>绩效评价报告</w:t>
      </w:r>
    </w:p>
    <w:p>
      <w:pPr>
        <w:pStyle w:val="2"/>
        <w:spacing w:before="0" w:beforeAutospacing="0" w:after="0" w:afterAutospacing="0"/>
        <w:ind w:firstLine="482"/>
        <w:rPr>
          <w:rFonts w:hint="eastAsia"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一、部门概况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（一）部门职能概述。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负责全市烤烟生产的规划布局；组织制定烤烟生产有关政策、方案并监督实施；负责全市烟叶生产基础设施项目的规划、建设和管理；承办市委、市人民政府交办的其他事项。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（二）部门组织机构及人员情况。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浏阳市烤烟生产指导中心包括下设的综合信息科、督查指导科、烟基建设管理科三个科室，和1个临时机构——烟区土地整理办公室（以下简称土整办），现有在职人员14人，本中心退休人员1人，原浏阳市科学技术研究所退休人员3人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（三）年度重点工作计划。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1、抓培训，促提质增效。突出生产环节要点培训，坚持以提高烟叶成熟度和纯度为核心，确保烤烟生产从备耕到分级全过程的技术措施100%落实到位，做到精益生产。 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2、抓考核，促优质服务。包括考核方案科学可行、考核过程、创先争优竞赛。 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3、抓基础，促生产保障。包括完善烤房管护机制、市场化服务体制，基本烟田土地整理项目、金鸡水库等烟基项目建设，分级场地和设施设备建设的投入和管护。    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4、抓保险，促风险降低。完善定损、赔付的时效机制，细化理赔方案，及时勘灾，公正定损。   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5、抓规范，促施政廉洁。包括资金使用申报程序，资金拨付流程，资金使用监管。   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6、抓项目，促产业影响力。争取湖南中烟“长沙卷烟厂技改”项目搬迁至浏阳高新区内，形成2000亩以上现代烟草工业园；解决制约质量的“瓶颈”，抓好G80特色烟叶开发项目。      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7、抓扶贫，促烟农增收。包括烟叶产业扶贫，烟农专业合作社带动作用，烟基建设多元化综合利用，官桥镇石灰嘴村精准扶贫工作。        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8、抓创新，促现代化进程。包括生产技术和操作规程创新；“一联社五分社”的融合互动；烤房和分级场地综合运用；现代烟草农业发展的生产技术；农业面源污染治理。 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 xml:space="preserve">9、抓宣传，促优质形象。包括利用各级媒体加大烤烟宣传。     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10、抓党建，促队伍建设。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（三）部门整体支出规模、使用方向、主要内容和涉及范围。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2018年一般部门整体支出规模为1974.44万元，其中：一般公共服务支出2.5万元，占总支出0.13 %；社会保障和就业支出2.21万元，占总支出0.11%；农林水支出 1969.73万元，占总支出99.76%。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使用方向为：人员经费211.24万元，占10.7%；公用经费4.23万元，占0.21%；项目支出1758.97万元，占89.09%。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主要内容和涉及范围：人员经费包括基本工资、绩效工资、津贴补贴、奖金、其他社会保障缴费、退休费、生活补助、住房公积金以及其他对个人和家庭的补助支出；公用经费主要包括工会经费、福利费等；项目支出主要包括其他工资福利支出、办公费、印刷费、邮电费、差旅费、维修（护）费、会议费、培训费、公务接待费、劳务费、委托业务费、公务用车运行维护费、其他交通费及其他商品和服务支出等。涉及人员经费、维护机关基本运转、开展各项烤烟生产督促检查工作、精准扶贫、基本烟田土地整理、浓香型烟叶项目、中烟官渡烟科所等专项所发生的全部支出。</w:t>
      </w:r>
    </w:p>
    <w:p>
      <w:pPr>
        <w:pStyle w:val="2"/>
        <w:spacing w:before="0" w:beforeAutospacing="0" w:after="0" w:afterAutospacing="0"/>
        <w:ind w:firstLine="482"/>
        <w:rPr>
          <w:rFonts w:hint="eastAsia"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二、部门整体支出管理及使用情况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（一）基本支出。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实际整体收支情况。浏阳市烤烟生产指导中心2018年度一般公共预算财政拨款基本支出1974.44万元，其中：人员经费211.24万元，占10.7%，主要包括：基本工资、津贴补贴、奖金、其他社会保障缴费、退休费、生活补助、医疗费、住房公积金以及其他对个人和家庭的补助支出；公用经费4.23万元，占0.21%，主要包括：工会经费、福利费等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“三公” 经费总支出情况。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2018年度“三公”经费财政拨款支出5.48万元。其中：因公出国（境）费支出预算0万元，决算0万元；公务用车购置及运行维护费支出预算9.5万元，决算4.79万元，其中：公务用车购置支出0万元，公务用车运行维护费4.79万元；公务接待费预算12万元，支出决算0.69万元，支出决算数都远低于预算金额，相比2017年也有大幅度降低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（二）项目支出。项目支出1758.97万元，主要包括办公费、印刷费、邮电费、差旅费、维修（护）费、会议费、培训费、公务接待费、劳务费、委托业务费、公务用车运行维护费、其他交通费及其他商品服务支出等。其中：一般行政管理事务支出0.85万元（主要用于办公费、物业管理费、其他交通费等）；科技转化与推广服务支出553.14万元（主要用于浓香型烟叶和中烟官渡烟科所项目，包括人员经费、办公费、印刷费、邮电费、差旅费、会议费、培训费、公务接待费、劳务费、公务用车运行维护费、其他交通费及其他商品服务支出等）；农业组织化与产业化经营支出1193.51万元（主要用于基本烟田土地整理项目和烤烟生产发展项目，包括设计费、评审费、法律服务费、工程款费和其他商品服务支出）；其他农业支出4.82万元（主要用于人员经费、印刷费、其他交通费和其他商品服务支出）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（三）财务管理状况。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1、建立健全财务部门。根据《中华人民共和国会计法》的规定建立会计机构，配备了具有相应资格和能力的会计人员，实施必要的不相容岗位分类和轮岗。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2、理顺财务管理体制。实行“统一领导、归口管理”的财务管理体制。财务工作实行办公室负责制，办公室主任对财务工作负有领导责任。财会人员在办公室主任的领导下，根据工作任务和工作职责开展财会工作。财务工作应当自觉接受财政、审计、税务部门的领导、检查、监督和业务指导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3、完善财务管理制度。制订了各项财务管理制度，如制度财务管理办法、经费支出标准、差旅费报销管理办法、会议费报销管理办法、采购管理办法等内部管理制度等。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4、依法依规开展会计工作。根据实际发生的经济业务事项，按照国家统一的会计制度及进行账务处理、编制财务会计报告，确保财务信息真实、完整。</w:t>
      </w:r>
    </w:p>
    <w:p>
      <w:pPr>
        <w:pStyle w:val="2"/>
        <w:spacing w:before="0" w:beforeAutospacing="0" w:after="0" w:afterAutospacing="0"/>
        <w:ind w:firstLine="482"/>
        <w:rPr>
          <w:rFonts w:hint="eastAsia"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三、部门项目组织实施情况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（一）项目组织和管理情况分析。项目实施单位浏阳市烤烟生产指导中心财务管理制度健全，部门整体支出合法依规，资金的拨付都有完整的审批程序和手续，限额以上所需物资和服务全部使用政府采购形式，无截留、挤占、挪用、虚列支出资金等情况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（二）项目管理情况分析。市烤烟生产指导中心成立了财经领导小组，由烟办主任罗旭任顾问，副主任彭江副组长，李菊英、施立新、吴升礼、张瑾为成员，负责烟办整体支出的日常工作，严格执行财经纪律，严格执行中央八项规定，反对四风、厉行节约，确保财政资金的安全有效支出。</w:t>
      </w:r>
    </w:p>
    <w:p>
      <w:pPr>
        <w:pStyle w:val="2"/>
        <w:spacing w:before="0" w:beforeAutospacing="0" w:after="0" w:afterAutospacing="0"/>
        <w:ind w:firstLine="482"/>
        <w:rPr>
          <w:rFonts w:hint="eastAsia"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四、其他需要说明的问题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（一）后续工作计划。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市烤烟生产指导中心2019年总体思路是：以党的十九大精神为总揽，继续以现代烟草农业建设为统领，进一步突出市场导向，坚持以“稳规模、提质量、增效益”为重点，用好用活资源，夯实基础，强化管理，推动烤烟产业高质量发展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一是稳定产业规模，巩固浏阳烟叶地位。主要抓控红线稳规模，科学安排生产布局，加强优质生产指导。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二是提高烟叶质量，提升种烟综合效益。主要是创新技术培训，抓落实关键环节指导，完善烟叶保险管理，打造环保型烟区，推进规模经营，提高规模效益，保障烟农合法利益，深入推进合作社建设，加强综合利用多渠道增加烟农收入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三是致力产业招商，打造烟叶全产业链。主要是持续发力长沙卷烟厂技改项目，围绕产业争（融）资，做实烟基项目、争取科技项目。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四是抓实党建基础，强化队伍建设保障。主要做好党建领航、党支部建设，制度完善，廉洁行政，加强党管意识形态工作，考核完善，提高乡镇贡献产业积极性。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（二）主要经验做法、存在的问题和建议。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1、加强内部控制，增强内控意识，自我监督。成立了以主任为组长的内部控制小组，对单位内部的各项经济行为实行严格的控制。制定了各项财务管理制度，如制定财务管理办法、经费支出标准、差旅费报销管理办法、会议费报销管理办法、采购管理办法等内部管理制度，加强机关财务管理、强化财务监督。</w:t>
      </w:r>
    </w:p>
    <w:p>
      <w:pPr>
        <w:pStyle w:val="2"/>
        <w:spacing w:before="0" w:beforeAutospacing="0" w:after="0" w:afterAutospacing="0"/>
        <w:ind w:firstLine="482"/>
        <w:rPr>
          <w:rFonts w:hint="eastAsia" w:ascii="仿宋_GB2312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eastAsia="仿宋_GB2312" w:cs="Arial"/>
          <w:color w:val="000000"/>
          <w:sz w:val="32"/>
          <w:szCs w:val="32"/>
        </w:rPr>
        <w:t>2、坚持“勤俭节约、量入为出、收支平衡、统筹安排”的原则，严格遵守财经纪律和有关法律法规。严格按照会计制度核算，对所有资金实行统一管理、统一核算、集中支付、按权限审批。建立健全财务内控体系，做到会计人员岗位职责分明，财务审批印章，包括财务专用章、财务负责人（即分管财务领导，下同）私章、会计私章，与支票分离。建立健全财务通报制度，每月向财务负责人报送收支情况表，半年向党组通报财务预算、执行情况及收支情况。</w:t>
      </w:r>
    </w:p>
    <w:p>
      <w:pPr>
        <w:spacing w:line="220" w:lineRule="atLeast"/>
      </w:pPr>
    </w:p>
    <w:bookmarkEnd w:id="0"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932DC"/>
    <w:rsid w:val="003D37D8"/>
    <w:rsid w:val="00426133"/>
    <w:rsid w:val="004358AB"/>
    <w:rsid w:val="008B7726"/>
    <w:rsid w:val="00B6162B"/>
    <w:rsid w:val="00D31D50"/>
    <w:rsid w:val="5E46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509</Words>
  <Characters>2904</Characters>
  <Lines>24</Lines>
  <Paragraphs>6</Paragraphs>
  <TotalTime>3</TotalTime>
  <ScaleCrop>false</ScaleCrop>
  <LinksUpToDate>false</LinksUpToDate>
  <CharactersWithSpaces>3407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飛</cp:lastModifiedBy>
  <dcterms:modified xsi:type="dcterms:W3CDTF">2022-09-28T02:00:13Z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