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2020年部门整体支出绩效自评表</w:t>
      </w:r>
    </w:p>
    <w:bookmarkEnd w:id="0"/>
    <w:p>
      <w:pPr>
        <w:adjustRightInd w:val="0"/>
        <w:snapToGrid w:val="0"/>
        <w:spacing w:line="2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3"/>
        <w:tblW w:w="107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92"/>
        <w:gridCol w:w="2160"/>
        <w:gridCol w:w="2659"/>
        <w:gridCol w:w="1795"/>
        <w:gridCol w:w="102"/>
        <w:gridCol w:w="957"/>
        <w:gridCol w:w="561"/>
        <w:gridCol w:w="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9039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60" w:firstLineChars="1200"/>
              <w:jc w:val="both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浏阳市档案馆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55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455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557.2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1019.22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182.92%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455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455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337.36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371.91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110.24%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455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219.84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647.31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294.45%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54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422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1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1、立足存史资政，搞好党史、地方志编纂编研和综合利用</w:t>
            </w:r>
          </w:p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2、做好地方志档案宣传，加强地方志依法管理</w:t>
            </w:r>
          </w:p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4、加快档案信息化步伐，突出实现档案管理和应用技术转型</w:t>
            </w:r>
          </w:p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5、加快地方志、党史、档案资源征集力度，实现应收尽收</w:t>
            </w:r>
          </w:p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6、拓展服务领域，推进深度开发，强化党史、地方志、档案利用效果。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22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强基固本，档案工作再上新台阶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。一是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数字档案实现“一体化”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；二是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档案服务做细“一本账”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三是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档案管理坚持“一盘棋”。</w:t>
            </w:r>
          </w:p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推陈出新，方志工作再求新突破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。一是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从“精”聚力编年鉴。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二是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从“广”发力修名镇名村志。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三是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从“新”着力出小区志。</w:t>
            </w:r>
          </w:p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、真抓实干，党史工作再创新局面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。一是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矢志一流办好重大活动。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二是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深耕一层加强党史编研。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三是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别具一格开展党史宣教。</w:t>
            </w:r>
          </w:p>
          <w:p>
            <w:pPr>
              <w:spacing w:line="250" w:lineRule="exact"/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党建领航，机关建设再现新气象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。一是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机关党建“强基”。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二是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红色兰台“铸魂”。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三是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结对帮扶“聚力”。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728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65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79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1059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  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4454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4454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182.92%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超预算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部门结转结余资金管理（4）</w:t>
            </w:r>
          </w:p>
        </w:tc>
        <w:tc>
          <w:tcPr>
            <w:tcW w:w="4454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4454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both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有待完善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预决算信息公开管理（4）</w:t>
            </w:r>
          </w:p>
        </w:tc>
        <w:tc>
          <w:tcPr>
            <w:tcW w:w="4454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4454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4454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4454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有待加强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数量指标（6）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档案查阅接待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2万余人次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33983人次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调卷调档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3万卷册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37657卷册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档案利用事例编写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20例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20例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档案安全检查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馆藏档案信息化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130万页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160万页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民生档案信息化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168万页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168万页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发放红色浏阳读本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1万册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2万册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党史知识进校园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陈列馆爱教基地活动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40次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档案、地方志条例宣传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质量指标（8）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纪念红一方面军成立90周年暨第六届湘鄂赣苏区历史研讨会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提升了浏阳在党史、军史上的历史地位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《浏阳年鉴（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2020卷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）》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精品年鉴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档案清理核对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合格率≥90%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档案整理验收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验收率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时效指标（5）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《浏阳革命斗争史》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完成编撰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《浏阳改革开放四十年》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完成编撰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《湖南年鉴》《长沙市志》《长沙年鉴》浏阳部分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完成编撰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档案安全检查</w:t>
            </w:r>
          </w:p>
        </w:tc>
        <w:tc>
          <w:tcPr>
            <w:tcW w:w="17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11月份之前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11月份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成本指标（6）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档案信息化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160万元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124.96%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有待加强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民生档案信息化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106万元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88.28%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经济效益指标（10）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为山林、土地、财产、赔偿等纠纷提供凭证和材料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服务民生，为复退军人落实政策待遇、为退休年龄核定养老保险领取、结（离）婚证明等提供详实的资料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充分利用“浏阳记忆”展览平台，发挥地方志档案资政、存史、教化、服务的功能优势；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优化库房环境，提升档案保管保护条件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落实库房安全措施，确保安全保卫工作到位，全年无重大事故发生。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立足存史资政，做好党史、地方志编纂编研和综合利用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拓展服务领域，推进深度开发，强化地方志档案利用效果。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left="219" w:leftChars="0" w:hanging="219" w:hangingChars="122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1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265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社会公众及档案利用者满意度</w:t>
            </w:r>
          </w:p>
        </w:tc>
        <w:tc>
          <w:tcPr>
            <w:tcW w:w="17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849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551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1485" w:leftChars="1" w:right="-1153" w:rightChars="-549" w:hanging="1483" w:hangingChars="824"/>
        <w:rPr>
          <w:rFonts w:ascii="Times New Roman" w:hAnsi="Times New Roman" w:eastAsia="楷体_GB2312"/>
          <w:kern w:val="0"/>
          <w:sz w:val="18"/>
          <w:szCs w:val="18"/>
        </w:rPr>
      </w:pPr>
      <w:r>
        <w:rPr>
          <w:rFonts w:ascii="Times New Roman" w:hAnsi="Times New Roman" w:eastAsia="楷体_GB2312"/>
          <w:kern w:val="0"/>
          <w:sz w:val="18"/>
          <w:szCs w:val="18"/>
        </w:rPr>
        <w:t>注：</w:t>
      </w:r>
      <w:r>
        <w:rPr>
          <w:rFonts w:ascii="Times New Roman" w:hAnsi="Times New Roman" w:eastAsia="楷体_GB2312"/>
          <w:spacing w:val="-4"/>
          <w:kern w:val="0"/>
          <w:sz w:val="18"/>
          <w:szCs w:val="18"/>
        </w:rPr>
        <w:t>上述产出指标和效益指标既可以按照重点任务完成情况分别填列，也可以依据所有重点任务归纳提炼综合指标。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678A1"/>
    <w:rsid w:val="30B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方正小标宋简体" w:hAnsi="Calibri" w:eastAsia="方正大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2021-10-20T05:57:00Z</dcterms:created>
  <dc:creator>神经蛙</dc:creator>
  <cp:lastModifiedBy>神经蛙</cp:lastModifiedBy>
  <dcterms:modified xsi:type="dcterms:W3CDTF">2021-10-20T05:58:28Z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