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
        <w:jc w:val="center"/>
        <w:rPr>
          <w:color w:val="000000"/>
        </w:rPr>
      </w:pPr>
      <w:r>
        <w:rPr>
          <w:rFonts w:hint="eastAsia" w:ascii="宋体" w:hAnsi="宋体" w:eastAsia="宋体"/>
          <w:color w:val="000000"/>
          <w:sz w:val="44"/>
          <w:szCs w:val="44"/>
        </w:rPr>
        <w:t>浏阳市统计局2022年度部门决算</w:t>
      </w:r>
      <w:r>
        <w:rPr>
          <w:rFonts w:hint="eastAsia"/>
          <w:color w:val="000000"/>
        </w:rPr>
        <w:t xml:space="preserve"> </w:t>
      </w:r>
      <w:bookmarkStart w:id="0" w:name="_GoBack"/>
      <w:bookmarkEnd w:id="0"/>
    </w:p>
    <w:p>
      <w:pPr>
        <w:spacing w:after="2"/>
        <w:jc w:val="center"/>
        <w:rPr>
          <w:color w:val="000000"/>
          <w:szCs w:val="21"/>
        </w:rPr>
      </w:pPr>
      <w:r>
        <w:rPr>
          <w:rFonts w:hint="eastAsia"/>
          <w:color w:val="000000"/>
          <w:sz w:val="32"/>
          <w:szCs w:val="32"/>
        </w:rPr>
        <w:t> </w:t>
      </w:r>
      <w:r>
        <w:rPr>
          <w:rFonts w:hint="eastAsia"/>
          <w:color w:val="000000"/>
          <w:szCs w:val="21"/>
        </w:rPr>
        <w:t xml:space="preserve"> </w:t>
      </w:r>
    </w:p>
    <w:p>
      <w:pPr>
        <w:spacing w:after="2"/>
        <w:jc w:val="center"/>
        <w:rPr>
          <w:rFonts w:ascii="宋体" w:hAnsi="宋体" w:eastAsia="宋体"/>
          <w:color w:val="000000"/>
          <w:szCs w:val="21"/>
        </w:rPr>
      </w:pPr>
      <w:r>
        <w:rPr>
          <w:rFonts w:hint="eastAsia" w:ascii="宋体" w:hAnsi="宋体" w:eastAsia="宋体"/>
          <w:color w:val="000000"/>
          <w:sz w:val="32"/>
          <w:szCs w:val="32"/>
        </w:rPr>
        <w:t>目 录</w:t>
      </w:r>
      <w:r>
        <w:rPr>
          <w:rFonts w:hint="eastAsia" w:ascii="宋体" w:hAnsi="宋体" w:eastAsia="宋体"/>
          <w:color w:val="000000"/>
          <w:szCs w:val="21"/>
        </w:rPr>
        <w:t xml:space="preserve"> </w:t>
      </w:r>
    </w:p>
    <w:p>
      <w:pPr>
        <w:spacing w:after="2"/>
        <w:jc w:val="center"/>
        <w:rPr>
          <w:color w:val="000000"/>
          <w:szCs w:val="21"/>
        </w:rPr>
      </w:pPr>
    </w:p>
    <w:p>
      <w:pPr>
        <w:pStyle w:val="9"/>
        <w:spacing w:after="2"/>
        <w:ind w:firstLine="641"/>
        <w:rPr>
          <w:color w:val="000000"/>
          <w:sz w:val="27"/>
          <w:szCs w:val="27"/>
        </w:rPr>
      </w:pPr>
      <w:r>
        <w:rPr>
          <w:rFonts w:hint="eastAsia" w:ascii="宋体" w:hAnsi="宋体" w:eastAsia="宋体"/>
          <w:b/>
          <w:bCs/>
          <w:color w:val="000000"/>
          <w:sz w:val="32"/>
          <w:szCs w:val="32"/>
        </w:rPr>
        <w:t>第一部分 浏阳市统计局概况</w:t>
      </w:r>
      <w:r>
        <w:rPr>
          <w:rFonts w:hint="eastAsia"/>
          <w:color w:val="000000"/>
          <w:sz w:val="27"/>
          <w:szCs w:val="27"/>
        </w:rPr>
        <w:t xml:space="preserve"> </w:t>
      </w:r>
    </w:p>
    <w:p>
      <w:pPr>
        <w:pStyle w:val="9"/>
        <w:spacing w:after="2"/>
        <w:ind w:firstLine="700"/>
        <w:rPr>
          <w:color w:val="000000"/>
        </w:rPr>
      </w:pPr>
      <w:r>
        <w:rPr>
          <w:rFonts w:hint="eastAsia" w:ascii="宋体" w:hAnsi="宋体" w:eastAsia="宋体"/>
          <w:color w:val="000000"/>
          <w:sz w:val="28"/>
          <w:szCs w:val="28"/>
        </w:rPr>
        <w:t>一、部门职责</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二、机构设置</w:t>
      </w:r>
      <w:r>
        <w:rPr>
          <w:rFonts w:hint="eastAsia"/>
          <w:color w:val="000000"/>
        </w:rPr>
        <w:t xml:space="preserve"> </w:t>
      </w:r>
    </w:p>
    <w:p>
      <w:pPr>
        <w:pStyle w:val="9"/>
        <w:spacing w:after="2"/>
        <w:ind w:firstLine="641"/>
        <w:rPr>
          <w:color w:val="000000"/>
          <w:sz w:val="27"/>
          <w:szCs w:val="27"/>
        </w:rPr>
      </w:pPr>
      <w:r>
        <w:rPr>
          <w:rFonts w:hint="eastAsia" w:ascii="宋体" w:hAnsi="宋体" w:eastAsia="宋体"/>
          <w:b/>
          <w:bCs/>
          <w:color w:val="000000"/>
          <w:sz w:val="32"/>
          <w:szCs w:val="32"/>
        </w:rPr>
        <w:t>第二部分 2022年度部门决算表</w:t>
      </w:r>
      <w:r>
        <w:rPr>
          <w:rFonts w:hint="eastAsia"/>
          <w:color w:val="000000"/>
          <w:sz w:val="27"/>
          <w:szCs w:val="27"/>
        </w:rPr>
        <w:t xml:space="preserve"> </w:t>
      </w:r>
    </w:p>
    <w:p>
      <w:pPr>
        <w:pStyle w:val="9"/>
        <w:spacing w:after="2"/>
        <w:ind w:firstLine="700"/>
        <w:rPr>
          <w:color w:val="000000"/>
        </w:rPr>
      </w:pPr>
      <w:r>
        <w:rPr>
          <w:rFonts w:hint="eastAsia" w:ascii="宋体" w:hAnsi="宋体" w:eastAsia="宋体"/>
          <w:color w:val="000000"/>
          <w:sz w:val="28"/>
          <w:szCs w:val="28"/>
        </w:rPr>
        <w:t>一、收入支出决算总表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二、收入决算表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三、支出决算表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四、财政拨款收入支出决算总表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六、一般公共预算财政拨款基本支出决算明细表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七、政府性基金预算财政拨款收入支出决算表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八、国有资本经营预算财政拨款支出决算表</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九、财政拨款“三公”经费支出决算表</w:t>
      </w:r>
      <w:r>
        <w:rPr>
          <w:rFonts w:hint="eastAsia"/>
          <w:color w:val="000000"/>
        </w:rPr>
        <w:t xml:space="preserve"> </w:t>
      </w:r>
    </w:p>
    <w:p>
      <w:pPr>
        <w:pStyle w:val="9"/>
        <w:spacing w:after="2"/>
        <w:ind w:firstLine="700"/>
        <w:rPr>
          <w:color w:val="000000"/>
        </w:rPr>
      </w:pPr>
      <w:r>
        <w:rPr>
          <w:rFonts w:hint="eastAsia" w:ascii="宋体" w:hAnsi="宋体" w:eastAsia="宋体"/>
          <w:b/>
          <w:bCs/>
          <w:color w:val="000000"/>
          <w:sz w:val="32"/>
          <w:szCs w:val="32"/>
        </w:rPr>
        <w:t>第三部分 2022年度部门决算情况说明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一、收入支出决算总体情况说明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二、收入决算情况说明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三、支出决算情况说明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七、财政拨款三公经费支出决算情况说明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八、政府性基金预算收入支出决算情况说明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九、国有资本经营预算收入支出决算情况说明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十、关于机关运行经费支出说明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十一、一般性支出情况说明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十二、关于政府采购支出说明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十三、关于国有资产占用情况说明</w:t>
      </w:r>
      <w:r>
        <w:rPr>
          <w:rFonts w:hint="eastAsia"/>
          <w:color w:val="000000"/>
        </w:rPr>
        <w:t xml:space="preserve"> </w:t>
      </w:r>
    </w:p>
    <w:p>
      <w:pPr>
        <w:pStyle w:val="9"/>
        <w:spacing w:after="2"/>
        <w:ind w:firstLine="700"/>
        <w:rPr>
          <w:color w:val="000000"/>
        </w:rPr>
      </w:pPr>
      <w:r>
        <w:rPr>
          <w:rFonts w:hint="eastAsia" w:ascii="宋体" w:hAnsi="宋体" w:eastAsia="宋体"/>
          <w:color w:val="000000"/>
          <w:sz w:val="28"/>
          <w:szCs w:val="28"/>
        </w:rPr>
        <w:t>十四、关于2022年度预算绩效情况的说明</w:t>
      </w:r>
      <w:r>
        <w:rPr>
          <w:rFonts w:hint="eastAsia"/>
          <w:color w:val="000000"/>
        </w:rPr>
        <w:t xml:space="preserve"> </w:t>
      </w:r>
    </w:p>
    <w:p>
      <w:pPr>
        <w:pStyle w:val="9"/>
        <w:spacing w:after="2"/>
        <w:ind w:firstLine="641"/>
        <w:rPr>
          <w:color w:val="000000"/>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pPr>
        <w:rPr>
          <w:color w:val="000000"/>
        </w:rPr>
      </w:pPr>
    </w:p>
    <w:p>
      <w:pPr>
        <w:rPr>
          <w:color w:val="000000"/>
        </w:rPr>
      </w:pPr>
    </w:p>
    <w:p>
      <w:pPr>
        <w:rPr>
          <w:color w:val="000000"/>
        </w:rPr>
      </w:pPr>
    </w:p>
    <w:p>
      <w:pPr>
        <w:rPr>
          <w:color w:val="000000"/>
        </w:rPr>
      </w:pPr>
    </w:p>
    <w:p>
      <w:pPr>
        <w:rPr>
          <w:color w:val="000000"/>
        </w:rPr>
      </w:pPr>
    </w:p>
    <w:p>
      <w:pPr>
        <w:spacing w:after="2" w:line="600" w:lineRule="atLeast"/>
        <w:jc w:val="center"/>
        <w:rPr>
          <w:color w:val="000000"/>
          <w:szCs w:val="21"/>
        </w:rPr>
      </w:pPr>
      <w:r>
        <w:rPr>
          <w:rFonts w:hint="eastAsia" w:ascii="宋体" w:hAnsi="宋体" w:eastAsia="宋体"/>
          <w:b/>
          <w:bCs/>
          <w:color w:val="000000"/>
          <w:sz w:val="36"/>
          <w:szCs w:val="36"/>
        </w:rPr>
        <w:t>第一部分 浏阳市统计局概况</w:t>
      </w:r>
      <w:r>
        <w:rPr>
          <w:rFonts w:hint="eastAsia"/>
          <w:b/>
          <w:bCs/>
          <w:color w:val="000000"/>
          <w:szCs w:val="21"/>
        </w:rPr>
        <w:t xml:space="preserve"> </w:t>
      </w:r>
    </w:p>
    <w:p>
      <w:pPr>
        <w:pStyle w:val="5"/>
        <w:spacing w:before="0" w:beforeAutospacing="0" w:after="2" w:afterAutospacing="0"/>
        <w:rPr>
          <w:color w:val="000000"/>
        </w:rPr>
      </w:pPr>
    </w:p>
    <w:p>
      <w:pPr>
        <w:pStyle w:val="10"/>
        <w:spacing w:before="0" w:beforeAutospacing="0" w:after="2" w:afterAutospacing="0"/>
        <w:rPr>
          <w:color w:val="000000"/>
        </w:rPr>
      </w:pPr>
      <w:r>
        <w:rPr>
          <w:rFonts w:hint="eastAsia"/>
          <w:color w:val="000000"/>
          <w:sz w:val="32"/>
          <w:szCs w:val="32"/>
        </w:rPr>
        <w:t> </w:t>
      </w:r>
      <w:r>
        <w:rPr>
          <w:color w:val="000000"/>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（一）贯彻执行国家、省、长沙市统计工作的方针、政策和统计法律、法规，完成国家和地方统计调查任务。</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（二）指导和协调全市统计业务工作，组织实施各项统计专项调查；指导统计基层业务与基础建设，推进统计现代化建设。</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（三）建立健全统计数据质量审核、监控和评估制度，开展对重要统计数据的审核、监控和评估；依法审批或备案统计调查项目、部门统计调查方案。</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（四）检查监督统计法规的实施情况，查处各类统计违法行为；组织实施全市统计人员</w:t>
      </w:r>
      <w:r>
        <w:rPr>
          <w:rFonts w:hint="eastAsia" w:ascii="宋体" w:hAnsi="宋体" w:eastAsia="宋体"/>
          <w:color w:val="000000"/>
          <w:sz w:val="32"/>
          <w:szCs w:val="32"/>
          <w:lang w:eastAsia="zh-CN"/>
        </w:rPr>
        <w:t>进行</w:t>
      </w:r>
      <w:r>
        <w:rPr>
          <w:rFonts w:hint="eastAsia" w:ascii="宋体" w:hAnsi="宋体" w:eastAsia="宋体"/>
          <w:color w:val="000000"/>
          <w:sz w:val="32"/>
          <w:szCs w:val="32"/>
        </w:rPr>
        <w:t>培训。</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（五）组织实施全市人口普查、经济普查、农业普查等重大国情国力普查，汇总、整理和提供有关市情市力方面的基础统计数据。</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（六）对全市国民经济和社会发展等情况进行统计分析和预测，统一核定、管理和定期发布统计公报以及有关普查和专项调查公报，为市委、市政府提供统计信息和咨询建议。</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（七）组织实施各项社情民意调查，汇总整理、分析研究调查资料，提供有关社会动态和社情民意信息。</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color w:val="000000"/>
          <w:sz w:val="32"/>
          <w:szCs w:val="32"/>
        </w:rPr>
        <w:t>（八）承办市委、市人民政府和上级主管部门交办的其他事项。</w:t>
      </w:r>
      <w:r>
        <w:rPr>
          <w:rFonts w:hint="eastAsia"/>
          <w:color w:val="000000"/>
          <w:sz w:val="32"/>
          <w:szCs w:val="32"/>
        </w:rPr>
        <w:t xml:space="preserve"> </w:t>
      </w:r>
    </w:p>
    <w:p>
      <w:pPr>
        <w:pStyle w:val="9"/>
        <w:spacing w:after="2"/>
        <w:ind w:firstLine="641"/>
        <w:rPr>
          <w:color w:val="000000"/>
          <w:sz w:val="27"/>
          <w:szCs w:val="27"/>
        </w:rPr>
      </w:pPr>
      <w:r>
        <w:rPr>
          <w:rFonts w:hint="eastAsia" w:ascii="宋体" w:hAnsi="宋体" w:eastAsia="宋体"/>
          <w:b/>
          <w:bCs/>
          <w:color w:val="000000"/>
          <w:sz w:val="32"/>
          <w:szCs w:val="32"/>
        </w:rPr>
        <w:t xml:space="preserve">二、机构设置及决算单位构成 </w:t>
      </w:r>
    </w:p>
    <w:p>
      <w:pPr>
        <w:pStyle w:val="9"/>
        <w:spacing w:after="2"/>
        <w:ind w:firstLine="641"/>
        <w:rPr>
          <w:color w:val="000000"/>
          <w:sz w:val="27"/>
          <w:szCs w:val="27"/>
        </w:rPr>
      </w:pPr>
      <w:r>
        <w:rPr>
          <w:rFonts w:hint="eastAsia" w:ascii="宋体" w:hAnsi="宋体" w:eastAsia="宋体"/>
          <w:b/>
          <w:bCs/>
          <w:color w:val="000000"/>
          <w:sz w:val="32"/>
          <w:szCs w:val="32"/>
        </w:rPr>
        <w:t>（一）内设机构设置</w:t>
      </w:r>
      <w:r>
        <w:rPr>
          <w:rFonts w:hint="eastAsia"/>
          <w:b/>
          <w:bCs/>
          <w:color w:val="000000"/>
          <w:sz w:val="27"/>
          <w:szCs w:val="27"/>
        </w:rPr>
        <w:t xml:space="preserve"> </w:t>
      </w:r>
    </w:p>
    <w:p>
      <w:pPr>
        <w:pStyle w:val="15"/>
        <w:spacing w:after="2"/>
        <w:ind w:firstLine="641"/>
        <w:rPr>
          <w:rFonts w:hint="default"/>
          <w:sz w:val="27"/>
          <w:szCs w:val="27"/>
        </w:rPr>
      </w:pPr>
      <w:r>
        <w:rPr>
          <w:color w:val="000000"/>
          <w:sz w:val="27"/>
          <w:szCs w:val="27"/>
        </w:rPr>
        <w:t xml:space="preserve"> </w:t>
      </w:r>
      <w:r>
        <w:rPr>
          <w:rFonts w:ascii="宋体" w:hAnsi="宋体" w:eastAsia="宋体" w:cs="宋体"/>
          <w:sz w:val="32"/>
          <w:szCs w:val="32"/>
        </w:rPr>
        <w:t>浏阳市统计局由4个内设机构及3个二级机构组成，内设机构分别为：办公室（财务室）、业务一科、业务二科、综合分析科；二级机构分别为：普查中心、经济调查队、民意调查中心。本部门共有编制人数29人,实有人数29人。</w:t>
      </w:r>
      <w:r>
        <w:rPr>
          <w:sz w:val="27"/>
          <w:szCs w:val="27"/>
        </w:rPr>
        <w:t xml:space="preserve"> </w:t>
      </w:r>
    </w:p>
    <w:p>
      <w:pPr>
        <w:pStyle w:val="15"/>
        <w:spacing w:after="2"/>
        <w:ind w:firstLine="641"/>
        <w:rPr>
          <w:rFonts w:hint="default" w:ascii="宋体" w:hAnsi="宋体" w:eastAsia="宋体" w:cs="宋体"/>
          <w:sz w:val="32"/>
          <w:szCs w:val="32"/>
        </w:rPr>
      </w:pPr>
      <w:r>
        <w:rPr>
          <w:rFonts w:ascii="宋体" w:hAnsi="宋体" w:eastAsia="宋体"/>
          <w:b/>
          <w:bCs/>
          <w:color w:val="000000"/>
          <w:sz w:val="32"/>
          <w:szCs w:val="32"/>
        </w:rPr>
        <w:t>（二）决算单位构成</w:t>
      </w:r>
      <w:r>
        <w:rPr>
          <w:rFonts w:ascii="宋体" w:hAnsi="宋体" w:eastAsia="宋体" w:cs="宋体"/>
          <w:sz w:val="32"/>
          <w:szCs w:val="32"/>
        </w:rPr>
        <w:t xml:space="preserve"> </w:t>
      </w:r>
    </w:p>
    <w:p>
      <w:pPr>
        <w:pStyle w:val="15"/>
        <w:spacing w:after="2"/>
        <w:ind w:firstLine="641"/>
        <w:rPr>
          <w:rFonts w:hint="default" w:ascii="宋体" w:hAnsi="宋体" w:eastAsia="宋体" w:cs="宋体"/>
          <w:sz w:val="32"/>
          <w:szCs w:val="32"/>
        </w:rPr>
      </w:pPr>
      <w:r>
        <w:rPr>
          <w:rFonts w:ascii="宋体" w:hAnsi="宋体" w:eastAsia="宋体" w:cs="宋体"/>
          <w:sz w:val="32"/>
          <w:szCs w:val="32"/>
        </w:rPr>
        <w:t xml:space="preserve">浏阳市统计局2022年部门决算汇总公开单位构成：浏阳市统计局只有本级，没有其他二级预算单位，因此，纳入2022年度部门决算编制范围的只有浏阳市统计局本级。 </w:t>
      </w:r>
    </w:p>
    <w:p>
      <w:pPr>
        <w:pStyle w:val="9"/>
        <w:spacing w:after="2"/>
        <w:ind w:firstLine="641"/>
        <w:rPr>
          <w:color w:val="000000"/>
          <w:sz w:val="27"/>
          <w:szCs w:val="27"/>
        </w:rPr>
      </w:pPr>
    </w:p>
    <w:p>
      <w:pPr>
        <w:pStyle w:val="5"/>
        <w:spacing w:before="0" w:beforeAutospacing="0" w:after="2" w:afterAutospacing="0"/>
        <w:rPr>
          <w:color w:val="000000"/>
        </w:rPr>
      </w:pPr>
    </w:p>
    <w:p>
      <w:pPr>
        <w:pStyle w:val="5"/>
        <w:spacing w:before="0" w:beforeAutospacing="0" w:after="2" w:afterAutospacing="0"/>
        <w:rPr>
          <w:color w:val="000000"/>
        </w:rPr>
      </w:pPr>
    </w:p>
    <w:p>
      <w:pPr>
        <w:pStyle w:val="5"/>
        <w:spacing w:before="0" w:beforeAutospacing="0" w:after="2" w:afterAutospacing="0"/>
        <w:rPr>
          <w:color w:val="000000"/>
        </w:rPr>
      </w:pPr>
    </w:p>
    <w:p>
      <w:pPr>
        <w:widowControl/>
        <w:jc w:val="left"/>
        <w:rPr>
          <w:rFonts w:ascii="宋体" w:hAnsi="宋体" w:eastAsia="宋体" w:cs="宋体"/>
          <w:color w:val="000000"/>
          <w:kern w:val="0"/>
          <w:sz w:val="24"/>
          <w:szCs w:val="24"/>
        </w:rPr>
        <w:sectPr>
          <w:pgSz w:w="11906" w:h="16838" w:orient="landscape"/>
          <w:pgMar w:top="1440" w:right="1080" w:bottom="1440" w:left="1080" w:header="851" w:footer="992" w:gutter="0"/>
          <w:cols w:space="425" w:num="1"/>
          <w:docGrid w:type="lines" w:linePitch="160" w:charSpace="0"/>
        </w:sectPr>
      </w:pPr>
    </w:p>
    <w:p>
      <w:pPr>
        <w:spacing w:after="2"/>
        <w:ind w:firstLine="721"/>
        <w:jc w:val="center"/>
        <w:rPr>
          <w:color w:val="000000"/>
          <w:szCs w:val="21"/>
        </w:rPr>
      </w:pPr>
    </w:p>
    <w:p>
      <w:pPr>
        <w:spacing w:after="2"/>
        <w:ind w:firstLine="721"/>
        <w:jc w:val="center"/>
        <w:rPr>
          <w:color w:val="000000"/>
          <w:szCs w:val="21"/>
        </w:rPr>
      </w:pPr>
      <w:r>
        <w:rPr>
          <w:rFonts w:hint="eastAsia" w:ascii="宋体" w:hAnsi="宋体" w:eastAsia="宋体"/>
          <w:b/>
          <w:bCs/>
          <w:color w:val="000000"/>
          <w:sz w:val="36"/>
          <w:szCs w:val="36"/>
        </w:rPr>
        <w:t>第二部分 2022年度部门决算表</w:t>
      </w:r>
      <w:r>
        <w:rPr>
          <w:rFonts w:hint="eastAsia"/>
          <w:color w:val="000000"/>
          <w:szCs w:val="21"/>
        </w:rPr>
        <w:t xml:space="preserve"> </w:t>
      </w:r>
    </w:p>
    <w:p>
      <w:pPr>
        <w:pStyle w:val="5"/>
        <w:spacing w:before="0" w:beforeAutospacing="0" w:after="2" w:afterAutospacing="0"/>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tblCellSpacing w:w="0" w:type="dxa"/>
          <w:jc w:val="center"/>
        </w:trPr>
        <w:tc>
          <w:tcPr>
            <w:tcW w:w="5000" w:type="pct"/>
            <w:gridSpan w:val="6"/>
            <w:vAlign w:val="center"/>
          </w:tcPr>
          <w:p>
            <w:pPr>
              <w:pStyle w:val="5"/>
              <w:jc w:val="center"/>
              <w:rPr>
                <w:sz w:val="40"/>
                <w:szCs w:val="40"/>
              </w:rPr>
            </w:pPr>
            <w:r>
              <w:rPr>
                <w:rFonts w:hint="eastAsia"/>
                <w:sz w:val="40"/>
                <w:szCs w:val="40"/>
              </w:rPr>
              <w:t xml:space="preserve">收入支出决算总表 </w:t>
            </w:r>
          </w:p>
        </w:tc>
      </w:tr>
      <w:tr>
        <w:tblPrEx>
          <w:tblCellMar>
            <w:top w:w="0" w:type="dxa"/>
            <w:left w:w="0" w:type="dxa"/>
            <w:bottom w:w="0" w:type="dxa"/>
            <w:right w:w="0" w:type="dxa"/>
          </w:tblCellMar>
        </w:tblPrEx>
        <w:trPr>
          <w:tblCellSpacing w:w="0" w:type="dxa"/>
          <w:jc w:val="center"/>
        </w:trPr>
        <w:tc>
          <w:tcPr>
            <w:tcW w:w="1497" w:type="pct"/>
            <w:vAlign w:val="center"/>
          </w:tcPr>
          <w:p>
            <w:pPr>
              <w:pStyle w:val="5"/>
            </w:pPr>
          </w:p>
        </w:tc>
        <w:tc>
          <w:tcPr>
            <w:tcW w:w="202" w:type="pct"/>
            <w:vAlign w:val="center"/>
          </w:tcPr>
          <w:p>
            <w:pPr>
              <w:pStyle w:val="5"/>
            </w:pPr>
          </w:p>
        </w:tc>
        <w:tc>
          <w:tcPr>
            <w:tcW w:w="799" w:type="pct"/>
            <w:vAlign w:val="center"/>
          </w:tcPr>
          <w:p>
            <w:pPr>
              <w:pStyle w:val="5"/>
            </w:pPr>
          </w:p>
        </w:tc>
        <w:tc>
          <w:tcPr>
            <w:tcW w:w="1497" w:type="pct"/>
            <w:vAlign w:val="center"/>
          </w:tcPr>
          <w:p>
            <w:pPr>
              <w:pStyle w:val="5"/>
            </w:pPr>
          </w:p>
        </w:tc>
        <w:tc>
          <w:tcPr>
            <w:tcW w:w="1002" w:type="pct"/>
            <w:gridSpan w:val="2"/>
            <w:vAlign w:val="center"/>
          </w:tcPr>
          <w:p>
            <w:pPr>
              <w:pStyle w:val="5"/>
              <w:jc w:val="right"/>
            </w:pPr>
            <w:r>
              <w:rPr>
                <w:rFonts w:hint="eastAsia"/>
              </w:rPr>
              <w:t xml:space="preserve">公开01表 </w:t>
            </w:r>
          </w:p>
        </w:tc>
      </w:tr>
      <w:tr>
        <w:tblPrEx>
          <w:tblCellMar>
            <w:top w:w="0" w:type="dxa"/>
            <w:left w:w="0" w:type="dxa"/>
            <w:bottom w:w="0" w:type="dxa"/>
            <w:right w:w="0" w:type="dxa"/>
          </w:tblCellMar>
        </w:tblPrEx>
        <w:trPr>
          <w:tblCellSpacing w:w="0" w:type="dxa"/>
          <w:jc w:val="center"/>
        </w:trPr>
        <w:tc>
          <w:tcPr>
            <w:tcW w:w="3997" w:type="pct"/>
            <w:gridSpan w:val="4"/>
            <w:vAlign w:val="center"/>
          </w:tcPr>
          <w:p>
            <w:pPr>
              <w:pStyle w:val="5"/>
            </w:pPr>
            <w:r>
              <w:rPr>
                <w:rFonts w:hint="eastAsia"/>
              </w:rPr>
              <w:t xml:space="preserve">部门：浏阳市统计局 </w:t>
            </w:r>
          </w:p>
        </w:tc>
        <w:tc>
          <w:tcPr>
            <w:tcW w:w="1002"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收入 </w:t>
            </w:r>
          </w:p>
        </w:tc>
        <w:tc>
          <w:tcPr>
            <w:tcW w:w="250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支出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金额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行次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金额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一、一般公共预算财政拨款收入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1,169.22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一、一般公共服务支出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1,094.51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二、政府性基金预算财政拨款收入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二、外交支出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三、国有资本经营预算财政拨款收入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三、国防支出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四、上级补助收入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四、公共安全支出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五、事业收入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五、教育支出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六、经营收入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六、科学技术支出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七、附属单位上缴收入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七、文化旅游体育与传媒支出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八、其他收入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2.28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八、社会保障和就业支出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九、卫生健康支出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十、节能环保支出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十一、城乡社区支出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十二、农林水支出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十三、交通运输支出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十四、资源勘探工业信息等支出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十五、商业服务业等支出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十六、金融支出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十七、援助其他地区支出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十八、自然资源海洋气象等支出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十九、住房保障支出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二十、粮油物资储备支出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二十一、国有资本经营预算支出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二十二、灾害防治及应急管理支出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23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二十三、其他支出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24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二十四、债务还本支出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25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二十五、债务付息支出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26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二十六、抗疫特别国债安排的支出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本年收入合计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27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本年支出合计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使用非财政拨款结余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28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结余分配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年初结转和结余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29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年末结转和结余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30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pPr>
          </w:p>
        </w:tc>
      </w:tr>
      <w:tr>
        <w:tblPrEx>
          <w:tblCellMar>
            <w:top w:w="0" w:type="dxa"/>
            <w:left w:w="0" w:type="dxa"/>
            <w:bottom w:w="0" w:type="dxa"/>
            <w:right w:w="0" w:type="dxa"/>
          </w:tblCellMar>
        </w:tblPrEx>
        <w:trPr>
          <w:tblCellSpacing w:w="0" w:type="dxa"/>
          <w:jc w:val="center"/>
        </w:trPr>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31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c>
          <w:tcPr>
            <w:tcW w:w="1497"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总计 </w:t>
            </w:r>
          </w:p>
        </w:tc>
        <w:tc>
          <w:tcPr>
            <w:tcW w:w="202"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62 </w:t>
            </w:r>
          </w:p>
        </w:tc>
        <w:tc>
          <w:tcPr>
            <w:tcW w:w="79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r>
      <w:tr>
        <w:tblPrEx>
          <w:tblCellMar>
            <w:top w:w="0" w:type="dxa"/>
            <w:left w:w="0" w:type="dxa"/>
            <w:bottom w:w="0" w:type="dxa"/>
            <w:right w:w="0" w:type="dxa"/>
          </w:tblCellMar>
        </w:tblPrEx>
        <w:trPr>
          <w:tblCellSpacing w:w="0" w:type="dxa"/>
          <w:jc w:val="center"/>
        </w:trPr>
        <w:tc>
          <w:tcPr>
            <w:tcW w:w="5000" w:type="pct"/>
            <w:gridSpan w:val="6"/>
            <w:vAlign w:val="center"/>
          </w:tcPr>
          <w:p>
            <w:pPr>
              <w:pStyle w:val="5"/>
            </w:pPr>
            <w:r>
              <w:rPr>
                <w:rFonts w:hint="eastAsia"/>
              </w:rPr>
              <w:t xml:space="preserve">注：1.本表反映部门本年度的总收支和年末结转结余情况。2.本套报表金额单位转换时可能存在尾数误差。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484"/>
        <w:gridCol w:w="484"/>
        <w:gridCol w:w="491"/>
        <w:gridCol w:w="3060"/>
        <w:gridCol w:w="2085"/>
        <w:gridCol w:w="1530"/>
        <w:gridCol w:w="1530"/>
        <w:gridCol w:w="1530"/>
        <w:gridCol w:w="1530"/>
        <w:gridCol w:w="1780"/>
        <w:gridCol w:w="1534"/>
      </w:tblGrid>
      <w:tr>
        <w:tblPrEx>
          <w:tblCellMar>
            <w:top w:w="0" w:type="dxa"/>
            <w:left w:w="0" w:type="dxa"/>
            <w:bottom w:w="0" w:type="dxa"/>
            <w:right w:w="0" w:type="dxa"/>
          </w:tblCellMar>
        </w:tblPrEx>
        <w:trPr>
          <w:tblCellSpacing w:w="0" w:type="dxa"/>
          <w:jc w:val="center"/>
        </w:trPr>
        <w:tc>
          <w:tcPr>
            <w:tcW w:w="5000" w:type="pct"/>
            <w:gridSpan w:val="11"/>
            <w:vAlign w:val="center"/>
          </w:tcPr>
          <w:p>
            <w:pPr>
              <w:pStyle w:val="5"/>
              <w:jc w:val="center"/>
              <w:rPr>
                <w:sz w:val="40"/>
                <w:szCs w:val="40"/>
              </w:rPr>
            </w:pPr>
            <w:r>
              <w:rPr>
                <w:rFonts w:hint="eastAsia"/>
                <w:sz w:val="40"/>
                <w:szCs w:val="40"/>
              </w:rPr>
              <w:t xml:space="preserve">收入决算表 </w:t>
            </w:r>
          </w:p>
        </w:tc>
      </w:tr>
      <w:tr>
        <w:tblPrEx>
          <w:tblCellMar>
            <w:top w:w="0" w:type="dxa"/>
            <w:left w:w="0" w:type="dxa"/>
            <w:bottom w:w="0" w:type="dxa"/>
            <w:right w:w="0" w:type="dxa"/>
          </w:tblCellMar>
        </w:tblPrEx>
        <w:trPr>
          <w:tblCellSpacing w:w="0" w:type="dxa"/>
          <w:jc w:val="center"/>
        </w:trPr>
        <w:tc>
          <w:tcPr>
            <w:tcW w:w="151" w:type="pct"/>
            <w:vAlign w:val="center"/>
          </w:tcPr>
          <w:p>
            <w:pPr>
              <w:pStyle w:val="5"/>
            </w:pPr>
          </w:p>
        </w:tc>
        <w:tc>
          <w:tcPr>
            <w:tcW w:w="151" w:type="pct"/>
            <w:vAlign w:val="center"/>
          </w:tcPr>
          <w:p>
            <w:pPr>
              <w:pStyle w:val="5"/>
            </w:pPr>
          </w:p>
        </w:tc>
        <w:tc>
          <w:tcPr>
            <w:tcW w:w="151" w:type="pct"/>
            <w:vAlign w:val="center"/>
          </w:tcPr>
          <w:p>
            <w:pPr>
              <w:pStyle w:val="5"/>
            </w:pPr>
          </w:p>
        </w:tc>
        <w:tc>
          <w:tcPr>
            <w:tcW w:w="954" w:type="pct"/>
            <w:vAlign w:val="center"/>
          </w:tcPr>
          <w:p>
            <w:pPr>
              <w:pStyle w:val="5"/>
            </w:pPr>
          </w:p>
        </w:tc>
        <w:tc>
          <w:tcPr>
            <w:tcW w:w="650" w:type="pct"/>
            <w:vAlign w:val="center"/>
          </w:tcPr>
          <w:p>
            <w:pPr>
              <w:pStyle w:val="5"/>
            </w:pPr>
          </w:p>
        </w:tc>
        <w:tc>
          <w:tcPr>
            <w:tcW w:w="477" w:type="pct"/>
            <w:vAlign w:val="center"/>
          </w:tcPr>
          <w:p>
            <w:pPr>
              <w:pStyle w:val="5"/>
            </w:pPr>
          </w:p>
        </w:tc>
        <w:tc>
          <w:tcPr>
            <w:tcW w:w="477" w:type="pct"/>
            <w:vAlign w:val="center"/>
          </w:tcPr>
          <w:p>
            <w:pPr>
              <w:pStyle w:val="5"/>
            </w:pPr>
          </w:p>
        </w:tc>
        <w:tc>
          <w:tcPr>
            <w:tcW w:w="477" w:type="pct"/>
            <w:vAlign w:val="center"/>
          </w:tcPr>
          <w:p>
            <w:pPr>
              <w:pStyle w:val="5"/>
            </w:pPr>
          </w:p>
        </w:tc>
        <w:tc>
          <w:tcPr>
            <w:tcW w:w="477" w:type="pct"/>
            <w:vAlign w:val="center"/>
          </w:tcPr>
          <w:p>
            <w:pPr>
              <w:pStyle w:val="5"/>
            </w:pPr>
          </w:p>
        </w:tc>
        <w:tc>
          <w:tcPr>
            <w:tcW w:w="1032" w:type="pct"/>
            <w:gridSpan w:val="2"/>
            <w:vAlign w:val="center"/>
          </w:tcPr>
          <w:p>
            <w:pPr>
              <w:pStyle w:val="5"/>
              <w:jc w:val="right"/>
            </w:pPr>
            <w:r>
              <w:rPr>
                <w:rFonts w:hint="eastAsia"/>
              </w:rPr>
              <w:t xml:space="preserve">公开02表 </w:t>
            </w:r>
          </w:p>
        </w:tc>
      </w:tr>
      <w:tr>
        <w:tblPrEx>
          <w:tblCellMar>
            <w:top w:w="0" w:type="dxa"/>
            <w:left w:w="0" w:type="dxa"/>
            <w:bottom w:w="0" w:type="dxa"/>
            <w:right w:w="0" w:type="dxa"/>
          </w:tblCellMar>
        </w:tblPrEx>
        <w:trPr>
          <w:tblCellSpacing w:w="0" w:type="dxa"/>
          <w:jc w:val="center"/>
        </w:trPr>
        <w:tc>
          <w:tcPr>
            <w:tcW w:w="3967" w:type="pct"/>
            <w:gridSpan w:val="9"/>
            <w:vAlign w:val="center"/>
          </w:tcPr>
          <w:p>
            <w:pPr>
              <w:pStyle w:val="5"/>
            </w:pPr>
            <w:r>
              <w:rPr>
                <w:rFonts w:hint="eastAsia"/>
              </w:rPr>
              <w:t xml:space="preserve">部门：浏阳市统计局 </w:t>
            </w:r>
          </w:p>
        </w:tc>
        <w:tc>
          <w:tcPr>
            <w:tcW w:w="1032"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455"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本年收入合计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财政拨款收入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上级补助收入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事业收入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经营收入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附属单位上缴收入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其他收入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7 </w:t>
            </w:r>
          </w:p>
        </w:tc>
      </w:tr>
      <w:tr>
        <w:tblPrEx>
          <w:tblCellMar>
            <w:top w:w="0" w:type="dxa"/>
            <w:left w:w="0" w:type="dxa"/>
            <w:bottom w:w="0" w:type="dxa"/>
            <w:right w:w="0" w:type="dxa"/>
          </w:tblCellMar>
        </w:tblPrEx>
        <w:trPr>
          <w:tblCellSpacing w:w="0" w:type="dxa"/>
          <w:jc w:val="center"/>
        </w:trPr>
        <w:tc>
          <w:tcPr>
            <w:tcW w:w="140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2.28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一般公共服务支出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1,094.51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1,092.22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发展与改革事务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2010499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其他发展与改革事务支出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统计信息事务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1,085.53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1,083.25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行政运行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2010502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一般行政管理事务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260.81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258.53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2.28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2010507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专项普查活动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统计抽样调查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社会保障和就业支出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行政事业单位养老支出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2080501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行政单位离退休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455"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2080506 </w:t>
            </w:r>
          </w:p>
        </w:tc>
        <w:tc>
          <w:tcPr>
            <w:tcW w:w="954"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机关事业单位职业年金缴费支出 </w:t>
            </w:r>
          </w:p>
        </w:tc>
        <w:tc>
          <w:tcPr>
            <w:tcW w:w="65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5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77"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1"/>
            <w:vAlign w:val="center"/>
          </w:tcPr>
          <w:p>
            <w:pPr>
              <w:pStyle w:val="5"/>
            </w:pPr>
            <w:r>
              <w:rPr>
                <w:rFonts w:hint="eastAsia"/>
              </w:rPr>
              <w:t xml:space="preserve">注：本表反映部门本年度取得的各项收入情况。本表金额转换为万元时，因四舍五入可能存在尾数误差。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545"/>
        <w:gridCol w:w="545"/>
        <w:gridCol w:w="552"/>
        <w:gridCol w:w="3442"/>
        <w:gridCol w:w="2345"/>
        <w:gridCol w:w="1719"/>
        <w:gridCol w:w="1719"/>
        <w:gridCol w:w="1726"/>
        <w:gridCol w:w="1719"/>
        <w:gridCol w:w="1726"/>
      </w:tblGrid>
      <w:tr>
        <w:trPr>
          <w:tblCellSpacing w:w="0" w:type="dxa"/>
          <w:jc w:val="center"/>
        </w:trPr>
        <w:tc>
          <w:tcPr>
            <w:tcW w:w="5000" w:type="pct"/>
            <w:gridSpan w:val="10"/>
            <w:vAlign w:val="center"/>
          </w:tcPr>
          <w:p>
            <w:pPr>
              <w:pStyle w:val="5"/>
              <w:jc w:val="center"/>
              <w:rPr>
                <w:sz w:val="40"/>
                <w:szCs w:val="40"/>
              </w:rPr>
            </w:pPr>
            <w:r>
              <w:rPr>
                <w:rFonts w:hint="eastAsia"/>
                <w:sz w:val="40"/>
                <w:szCs w:val="40"/>
              </w:rPr>
              <w:t xml:space="preserve">支出决算表 </w:t>
            </w:r>
          </w:p>
        </w:tc>
      </w:tr>
      <w:tr>
        <w:trPr>
          <w:tblCellSpacing w:w="0" w:type="dxa"/>
          <w:jc w:val="center"/>
        </w:trPr>
        <w:tc>
          <w:tcPr>
            <w:tcW w:w="170" w:type="pct"/>
            <w:vAlign w:val="center"/>
          </w:tcPr>
          <w:p>
            <w:pPr>
              <w:pStyle w:val="5"/>
            </w:pPr>
          </w:p>
        </w:tc>
        <w:tc>
          <w:tcPr>
            <w:tcW w:w="170" w:type="pct"/>
            <w:vAlign w:val="center"/>
          </w:tcPr>
          <w:p>
            <w:pPr>
              <w:pStyle w:val="5"/>
            </w:pPr>
          </w:p>
        </w:tc>
        <w:tc>
          <w:tcPr>
            <w:tcW w:w="170" w:type="pct"/>
            <w:vAlign w:val="center"/>
          </w:tcPr>
          <w:p>
            <w:pPr>
              <w:pStyle w:val="5"/>
            </w:pPr>
          </w:p>
        </w:tc>
        <w:tc>
          <w:tcPr>
            <w:tcW w:w="1073" w:type="pct"/>
            <w:vAlign w:val="center"/>
          </w:tcPr>
          <w:p>
            <w:pPr>
              <w:pStyle w:val="5"/>
            </w:pPr>
          </w:p>
        </w:tc>
        <w:tc>
          <w:tcPr>
            <w:tcW w:w="731" w:type="pct"/>
            <w:vAlign w:val="center"/>
          </w:tcPr>
          <w:p>
            <w:pPr>
              <w:pStyle w:val="5"/>
            </w:pPr>
          </w:p>
        </w:tc>
        <w:tc>
          <w:tcPr>
            <w:tcW w:w="536" w:type="pct"/>
            <w:vAlign w:val="center"/>
          </w:tcPr>
          <w:p>
            <w:pPr>
              <w:pStyle w:val="5"/>
            </w:pPr>
          </w:p>
        </w:tc>
        <w:tc>
          <w:tcPr>
            <w:tcW w:w="536" w:type="pct"/>
            <w:vAlign w:val="center"/>
          </w:tcPr>
          <w:p>
            <w:pPr>
              <w:pStyle w:val="5"/>
            </w:pPr>
          </w:p>
        </w:tc>
        <w:tc>
          <w:tcPr>
            <w:tcW w:w="536" w:type="pct"/>
            <w:vAlign w:val="center"/>
          </w:tcPr>
          <w:p>
            <w:pPr>
              <w:pStyle w:val="5"/>
            </w:pPr>
          </w:p>
        </w:tc>
        <w:tc>
          <w:tcPr>
            <w:tcW w:w="1073" w:type="pct"/>
            <w:gridSpan w:val="2"/>
            <w:vAlign w:val="center"/>
          </w:tcPr>
          <w:p>
            <w:pPr>
              <w:pStyle w:val="5"/>
              <w:jc w:val="right"/>
            </w:pPr>
            <w:r>
              <w:rPr>
                <w:rFonts w:hint="eastAsia"/>
              </w:rPr>
              <w:t xml:space="preserve">公开03表 </w:t>
            </w:r>
          </w:p>
        </w:tc>
      </w:tr>
      <w:tr>
        <w:trPr>
          <w:tblCellSpacing w:w="0" w:type="dxa"/>
          <w:jc w:val="center"/>
        </w:trPr>
        <w:tc>
          <w:tcPr>
            <w:tcW w:w="3926" w:type="pct"/>
            <w:gridSpan w:val="8"/>
            <w:vAlign w:val="center"/>
          </w:tcPr>
          <w:p>
            <w:pPr>
              <w:pStyle w:val="5"/>
            </w:pPr>
            <w:r>
              <w:rPr>
                <w:rFonts w:hint="eastAsia"/>
              </w:rPr>
              <w:t xml:space="preserve">部门：浏阳市统计局 </w:t>
            </w:r>
          </w:p>
        </w:tc>
        <w:tc>
          <w:tcPr>
            <w:tcW w:w="1073"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rHeight w:val="311" w:hRule="atLeast"/>
          <w:tblCellSpacing w:w="0" w:type="dxa"/>
          <w:jc w:val="center"/>
        </w:trPr>
        <w:tc>
          <w:tcPr>
            <w:tcW w:w="512"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本年支出合计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上缴上级支出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经营支出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对附属单位补助支出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585"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1,171.50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758.06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413.44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一般公共服务支出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1,094.51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413.44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发展与改革事务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2010499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其他发展与改革事务支出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统计信息事务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1,085.53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404.46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行政运行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2010502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一般行政管理事务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260.81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260.81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2010507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专项普查活动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统计抽样调查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社会保障和就业支出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行政事业单位养老支出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2080501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行政单位离退休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1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2080506 </w:t>
            </w:r>
          </w:p>
        </w:tc>
        <w:tc>
          <w:tcPr>
            <w:tcW w:w="107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机关事业单位职业年金缴费支出 </w:t>
            </w:r>
          </w:p>
        </w:tc>
        <w:tc>
          <w:tcPr>
            <w:tcW w:w="731"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53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5"/>
            </w:pPr>
            <w:r>
              <w:rPr>
                <w:rFonts w:hint="eastAsia"/>
              </w:rPr>
              <w:t xml:space="preserve">注：本表反映部门本年度各项支出情况。本表金额转换为万元时，因四舍五入可能存在尾数误差。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3258"/>
        <w:gridCol w:w="536"/>
        <w:gridCol w:w="1591"/>
        <w:gridCol w:w="3474"/>
        <w:gridCol w:w="536"/>
        <w:gridCol w:w="2168"/>
        <w:gridCol w:w="1495"/>
        <w:gridCol w:w="1488"/>
        <w:gridCol w:w="1492"/>
      </w:tblGrid>
      <w:tr>
        <w:trPr>
          <w:tblCellSpacing w:w="0" w:type="dxa"/>
          <w:jc w:val="center"/>
        </w:trPr>
        <w:tc>
          <w:tcPr>
            <w:tcW w:w="5000" w:type="pct"/>
            <w:gridSpan w:val="9"/>
            <w:vAlign w:val="center"/>
          </w:tcPr>
          <w:p>
            <w:pPr>
              <w:pStyle w:val="5"/>
              <w:jc w:val="center"/>
              <w:rPr>
                <w:sz w:val="40"/>
                <w:szCs w:val="40"/>
              </w:rPr>
            </w:pPr>
            <w:r>
              <w:rPr>
                <w:rFonts w:hint="eastAsia"/>
                <w:sz w:val="40"/>
                <w:szCs w:val="40"/>
              </w:rPr>
              <w:t xml:space="preserve">财政拨款收入支出决算总表 </w:t>
            </w:r>
          </w:p>
        </w:tc>
      </w:tr>
      <w:tr>
        <w:trPr>
          <w:tblCellSpacing w:w="0" w:type="dxa"/>
          <w:jc w:val="center"/>
        </w:trPr>
        <w:tc>
          <w:tcPr>
            <w:tcW w:w="1016" w:type="pct"/>
            <w:vAlign w:val="center"/>
          </w:tcPr>
          <w:p>
            <w:pPr>
              <w:pStyle w:val="5"/>
            </w:pPr>
          </w:p>
        </w:tc>
        <w:tc>
          <w:tcPr>
            <w:tcW w:w="167" w:type="pct"/>
            <w:vAlign w:val="center"/>
          </w:tcPr>
          <w:p>
            <w:pPr>
              <w:pStyle w:val="5"/>
            </w:pPr>
          </w:p>
        </w:tc>
        <w:tc>
          <w:tcPr>
            <w:tcW w:w="495" w:type="pct"/>
            <w:vAlign w:val="center"/>
          </w:tcPr>
          <w:p>
            <w:pPr>
              <w:pStyle w:val="5"/>
            </w:pPr>
          </w:p>
        </w:tc>
        <w:tc>
          <w:tcPr>
            <w:tcW w:w="1083" w:type="pct"/>
            <w:vAlign w:val="center"/>
          </w:tcPr>
          <w:p>
            <w:pPr>
              <w:pStyle w:val="5"/>
            </w:pPr>
          </w:p>
        </w:tc>
        <w:tc>
          <w:tcPr>
            <w:tcW w:w="167" w:type="pct"/>
            <w:vAlign w:val="center"/>
          </w:tcPr>
          <w:p>
            <w:pPr>
              <w:pStyle w:val="5"/>
            </w:pPr>
          </w:p>
        </w:tc>
        <w:tc>
          <w:tcPr>
            <w:tcW w:w="676" w:type="pct"/>
            <w:vAlign w:val="center"/>
          </w:tcPr>
          <w:p>
            <w:pPr>
              <w:pStyle w:val="5"/>
            </w:pPr>
          </w:p>
        </w:tc>
        <w:tc>
          <w:tcPr>
            <w:tcW w:w="464" w:type="pct"/>
            <w:vAlign w:val="center"/>
          </w:tcPr>
          <w:p>
            <w:pPr>
              <w:pStyle w:val="5"/>
            </w:pPr>
          </w:p>
        </w:tc>
        <w:tc>
          <w:tcPr>
            <w:tcW w:w="928" w:type="pct"/>
            <w:gridSpan w:val="2"/>
            <w:vAlign w:val="center"/>
          </w:tcPr>
          <w:p>
            <w:pPr>
              <w:pStyle w:val="5"/>
              <w:jc w:val="right"/>
            </w:pPr>
            <w:r>
              <w:rPr>
                <w:rFonts w:hint="eastAsia"/>
              </w:rPr>
              <w:t xml:space="preserve">公开04表 </w:t>
            </w:r>
          </w:p>
        </w:tc>
      </w:tr>
      <w:tr>
        <w:tblPrEx>
          <w:tblCellMar>
            <w:top w:w="0" w:type="dxa"/>
            <w:left w:w="0" w:type="dxa"/>
            <w:bottom w:w="0" w:type="dxa"/>
            <w:right w:w="0" w:type="dxa"/>
          </w:tblCellMar>
        </w:tblPrEx>
        <w:trPr>
          <w:tblCellSpacing w:w="0" w:type="dxa"/>
          <w:jc w:val="center"/>
        </w:trPr>
        <w:tc>
          <w:tcPr>
            <w:tcW w:w="4071" w:type="pct"/>
            <w:gridSpan w:val="7"/>
            <w:vAlign w:val="center"/>
          </w:tcPr>
          <w:p>
            <w:pPr>
              <w:pStyle w:val="5"/>
            </w:pPr>
            <w:r>
              <w:rPr>
                <w:rFonts w:hint="eastAsia"/>
              </w:rPr>
              <w:t xml:space="preserve">部门：浏阳市统计局 </w:t>
            </w:r>
          </w:p>
        </w:tc>
        <w:tc>
          <w:tcPr>
            <w:tcW w:w="928"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79"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收 入 </w:t>
            </w:r>
          </w:p>
        </w:tc>
        <w:tc>
          <w:tcPr>
            <w:tcW w:w="3320"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支 出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金额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行次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一般公共预算财政拨款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政府性基金预算财政拨款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国有资本经营预算财政拨款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一、一般公共预算财政拨款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1,169.22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一、一般公共服务支出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1,092.22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1,092.22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二、政府性基金预算财政拨款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二、外交支出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三、国有资本经营财政拨款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三、国防支出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四、公共安全支出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五、教育支出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六、科学技术支出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七、文化旅游体育与传媒支出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八、社会保障和就业支出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九、卫生健康支出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十、节能环保支出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十一、城乡社区支出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十二、农林水支出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十三、交通运输支出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十四、资源勘探工业信息等支出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十五、商业服务业等支出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十六、金融支出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十七、援助其他地区支出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十八、自然资源海洋气象等支出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十九、住房保障支出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二十、粮油物资储备支出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二十一、国有资本经营预算支出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二十二、灾害防治及应急管理支出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23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二十三、其他支出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55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24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二十四、债务还本支出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56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25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二十五、债务付息支出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57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26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二十六、抗疫特别国债安排的支出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58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本年收入合计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27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本年支出合计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59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年初财政拨款结转和结余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28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年末财政拨款结转和结余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60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一般公共预算财政拨款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29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61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政府性基金预算财政拨款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30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62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国有资本经营预算财政拨款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31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63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016"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总计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32 </w:t>
            </w:r>
          </w:p>
        </w:tc>
        <w:tc>
          <w:tcPr>
            <w:tcW w:w="495"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1083" w:type="pct"/>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总计 </w:t>
            </w:r>
          </w:p>
        </w:tc>
        <w:tc>
          <w:tcPr>
            <w:tcW w:w="167"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64 </w:t>
            </w:r>
          </w:p>
        </w:tc>
        <w:tc>
          <w:tcPr>
            <w:tcW w:w="676"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c>
          <w:tcPr>
            <w:tcW w:w="464"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5"/>
            </w:pPr>
            <w:r>
              <w:rPr>
                <w:rFonts w:hint="eastAsia"/>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834"/>
        <w:gridCol w:w="834"/>
        <w:gridCol w:w="840"/>
        <w:gridCol w:w="4770"/>
        <w:gridCol w:w="2919"/>
        <w:gridCol w:w="2919"/>
        <w:gridCol w:w="2922"/>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5"/>
              <w:jc w:val="center"/>
              <w:rPr>
                <w:sz w:val="40"/>
                <w:szCs w:val="40"/>
              </w:rPr>
            </w:pPr>
            <w:r>
              <w:rPr>
                <w:rFonts w:hint="eastAsia"/>
                <w:sz w:val="40"/>
                <w:szCs w:val="40"/>
              </w:rPr>
              <w:t xml:space="preserve">一般公共预算财政拨款支出决算表 </w:t>
            </w:r>
          </w:p>
        </w:tc>
      </w:tr>
      <w:tr>
        <w:trPr>
          <w:tblCellSpacing w:w="0" w:type="dxa"/>
          <w:jc w:val="center"/>
        </w:trPr>
        <w:tc>
          <w:tcPr>
            <w:tcW w:w="260" w:type="pct"/>
            <w:vAlign w:val="center"/>
          </w:tcPr>
          <w:p>
            <w:pPr>
              <w:pStyle w:val="5"/>
            </w:pPr>
          </w:p>
        </w:tc>
        <w:tc>
          <w:tcPr>
            <w:tcW w:w="260" w:type="pct"/>
            <w:vAlign w:val="center"/>
          </w:tcPr>
          <w:p>
            <w:pPr>
              <w:pStyle w:val="5"/>
            </w:pPr>
          </w:p>
        </w:tc>
        <w:tc>
          <w:tcPr>
            <w:tcW w:w="260" w:type="pct"/>
            <w:vAlign w:val="center"/>
          </w:tcPr>
          <w:p>
            <w:pPr>
              <w:pStyle w:val="5"/>
            </w:pPr>
          </w:p>
        </w:tc>
        <w:tc>
          <w:tcPr>
            <w:tcW w:w="1486" w:type="pct"/>
            <w:vAlign w:val="center"/>
          </w:tcPr>
          <w:p>
            <w:pPr>
              <w:pStyle w:val="5"/>
            </w:pPr>
          </w:p>
        </w:tc>
        <w:tc>
          <w:tcPr>
            <w:tcW w:w="910" w:type="pct"/>
            <w:vAlign w:val="center"/>
          </w:tcPr>
          <w:p>
            <w:pPr>
              <w:pStyle w:val="5"/>
            </w:pPr>
          </w:p>
        </w:tc>
        <w:tc>
          <w:tcPr>
            <w:tcW w:w="1820" w:type="pct"/>
            <w:gridSpan w:val="2"/>
            <w:vAlign w:val="center"/>
          </w:tcPr>
          <w:p>
            <w:pPr>
              <w:pStyle w:val="5"/>
              <w:jc w:val="right"/>
            </w:pPr>
            <w:r>
              <w:rPr>
                <w:rFonts w:hint="eastAsia"/>
              </w:rPr>
              <w:t xml:space="preserve">公开05表 </w:t>
            </w:r>
          </w:p>
        </w:tc>
      </w:tr>
      <w:tr>
        <w:trPr>
          <w:tblCellSpacing w:w="0" w:type="dxa"/>
          <w:jc w:val="center"/>
        </w:trPr>
        <w:tc>
          <w:tcPr>
            <w:tcW w:w="3179" w:type="pct"/>
            <w:gridSpan w:val="5"/>
            <w:vAlign w:val="center"/>
          </w:tcPr>
          <w:p>
            <w:pPr>
              <w:pStyle w:val="5"/>
            </w:pPr>
            <w:r>
              <w:rPr>
                <w:rFonts w:hint="eastAsia"/>
              </w:rPr>
              <w:t xml:space="preserve">部门：浏阳市统计局 </w:t>
            </w:r>
          </w:p>
        </w:tc>
        <w:tc>
          <w:tcPr>
            <w:tcW w:w="1820"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782"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273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782"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9 </w:t>
            </w:r>
          </w:p>
        </w:tc>
      </w:tr>
      <w:tr>
        <w:tblPrEx>
          <w:tblCellMar>
            <w:top w:w="0" w:type="dxa"/>
            <w:left w:w="0" w:type="dxa"/>
            <w:bottom w:w="0" w:type="dxa"/>
            <w:right w:w="0" w:type="dxa"/>
          </w:tblCellMar>
        </w:tblPrEx>
        <w:trPr>
          <w:tblCellSpacing w:w="0" w:type="dxa"/>
          <w:jc w:val="center"/>
        </w:trPr>
        <w:tc>
          <w:tcPr>
            <w:tcW w:w="2269"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1,169.22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758.06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411.16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一般公共服务支出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1,092.22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411.16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发展与改革事务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2010499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其他发展与改革事务支出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8.98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统计信息事务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1,083.25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402.18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行政运行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681.07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2010502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一般行政管理事务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258.53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258.53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2010507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专项普查活动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112.11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2010508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统计抽样调查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31.55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社会保障和就业支出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行政事业单位养老支出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76.99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2080501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行政单位离退休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782" w:type="pct"/>
            <w:gridSpan w:val="3"/>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2080506 </w:t>
            </w:r>
          </w:p>
        </w:tc>
        <w:tc>
          <w:tcPr>
            <w:tcW w:w="1486"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机关事业单位职业年金缴费支出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7.81 </w:t>
            </w:r>
          </w:p>
        </w:tc>
        <w:tc>
          <w:tcPr>
            <w:tcW w:w="910"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5"/>
            </w:pPr>
            <w:r>
              <w:rPr>
                <w:rFonts w:hint="eastAsia"/>
              </w:rPr>
              <w:t xml:space="preserve">注：本表反映部门本年度一般公共预算财政拨款支出情况。本表金额转换为万元时，因四舍五入可能存在尾数误差。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827"/>
        <w:gridCol w:w="3191"/>
        <w:gridCol w:w="1324"/>
        <w:gridCol w:w="828"/>
        <w:gridCol w:w="3192"/>
        <w:gridCol w:w="1325"/>
        <w:gridCol w:w="831"/>
        <w:gridCol w:w="3192"/>
        <w:gridCol w:w="1328"/>
      </w:tblGrid>
      <w:tr>
        <w:trPr>
          <w:tblCellSpacing w:w="0" w:type="dxa"/>
          <w:jc w:val="center"/>
        </w:trPr>
        <w:tc>
          <w:tcPr>
            <w:tcW w:w="5000" w:type="pct"/>
            <w:gridSpan w:val="9"/>
            <w:vAlign w:val="center"/>
          </w:tcPr>
          <w:p>
            <w:pPr>
              <w:pStyle w:val="5"/>
              <w:jc w:val="center"/>
              <w:rPr>
                <w:sz w:val="40"/>
                <w:szCs w:val="40"/>
              </w:rPr>
            </w:pPr>
            <w:r>
              <w:rPr>
                <w:rFonts w:hint="eastAsia"/>
                <w:sz w:val="40"/>
                <w:szCs w:val="40"/>
              </w:rPr>
              <w:t xml:space="preserve">一般公共预算财政拨款基本支出决算明细表 </w:t>
            </w:r>
          </w:p>
        </w:tc>
      </w:tr>
      <w:tr>
        <w:trPr>
          <w:tblCellSpacing w:w="0" w:type="dxa"/>
          <w:jc w:val="center"/>
        </w:trPr>
        <w:tc>
          <w:tcPr>
            <w:tcW w:w="258" w:type="pct"/>
            <w:vAlign w:val="center"/>
          </w:tcPr>
          <w:p>
            <w:pPr>
              <w:pStyle w:val="5"/>
            </w:pPr>
          </w:p>
        </w:tc>
        <w:tc>
          <w:tcPr>
            <w:tcW w:w="995" w:type="pct"/>
            <w:vAlign w:val="center"/>
          </w:tcPr>
          <w:p>
            <w:pPr>
              <w:pStyle w:val="5"/>
            </w:pPr>
          </w:p>
        </w:tc>
        <w:tc>
          <w:tcPr>
            <w:tcW w:w="413" w:type="pct"/>
            <w:vAlign w:val="center"/>
          </w:tcPr>
          <w:p>
            <w:pPr>
              <w:pStyle w:val="5"/>
            </w:pPr>
          </w:p>
        </w:tc>
        <w:tc>
          <w:tcPr>
            <w:tcW w:w="258" w:type="pct"/>
            <w:vAlign w:val="center"/>
          </w:tcPr>
          <w:p>
            <w:pPr>
              <w:pStyle w:val="5"/>
            </w:pPr>
          </w:p>
        </w:tc>
        <w:tc>
          <w:tcPr>
            <w:tcW w:w="995" w:type="pct"/>
            <w:vAlign w:val="center"/>
          </w:tcPr>
          <w:p>
            <w:pPr>
              <w:pStyle w:val="5"/>
            </w:pPr>
          </w:p>
        </w:tc>
        <w:tc>
          <w:tcPr>
            <w:tcW w:w="413" w:type="pct"/>
            <w:vAlign w:val="center"/>
          </w:tcPr>
          <w:p>
            <w:pPr>
              <w:pStyle w:val="5"/>
            </w:pPr>
          </w:p>
        </w:tc>
        <w:tc>
          <w:tcPr>
            <w:tcW w:w="258" w:type="pct"/>
            <w:vAlign w:val="center"/>
          </w:tcPr>
          <w:p>
            <w:pPr>
              <w:pStyle w:val="5"/>
            </w:pPr>
          </w:p>
        </w:tc>
        <w:tc>
          <w:tcPr>
            <w:tcW w:w="1408" w:type="pct"/>
            <w:gridSpan w:val="2"/>
            <w:vAlign w:val="center"/>
          </w:tcPr>
          <w:p>
            <w:pPr>
              <w:pStyle w:val="5"/>
              <w:jc w:val="right"/>
            </w:pPr>
            <w:r>
              <w:rPr>
                <w:rFonts w:hint="eastAsia"/>
              </w:rPr>
              <w:t xml:space="preserve">公开06表 </w:t>
            </w:r>
          </w:p>
        </w:tc>
      </w:tr>
      <w:tr>
        <w:tblPrEx>
          <w:tblCellMar>
            <w:top w:w="0" w:type="dxa"/>
            <w:left w:w="0" w:type="dxa"/>
            <w:bottom w:w="0" w:type="dxa"/>
            <w:right w:w="0" w:type="dxa"/>
          </w:tblCellMar>
        </w:tblPrEx>
        <w:trPr>
          <w:tblCellSpacing w:w="0" w:type="dxa"/>
          <w:jc w:val="center"/>
        </w:trPr>
        <w:tc>
          <w:tcPr>
            <w:tcW w:w="3591" w:type="pct"/>
            <w:gridSpan w:val="7"/>
            <w:vAlign w:val="center"/>
          </w:tcPr>
          <w:p>
            <w:pPr>
              <w:pStyle w:val="5"/>
            </w:pPr>
            <w:r>
              <w:rPr>
                <w:rFonts w:hint="eastAsia"/>
              </w:rPr>
              <w:t xml:space="preserve">部门：浏阳市统计局 </w:t>
            </w:r>
          </w:p>
        </w:tc>
        <w:tc>
          <w:tcPr>
            <w:tcW w:w="1408"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1666"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人员经费 </w:t>
            </w:r>
          </w:p>
        </w:tc>
        <w:tc>
          <w:tcPr>
            <w:tcW w:w="3333"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公用经费 </w:t>
            </w:r>
          </w:p>
        </w:tc>
      </w:tr>
      <w:tr>
        <w:tblPrEx>
          <w:tblCellMar>
            <w:top w:w="0" w:type="dxa"/>
            <w:left w:w="0" w:type="dxa"/>
            <w:bottom w:w="0" w:type="dxa"/>
            <w:right w:w="0" w:type="dxa"/>
          </w:tblCellMar>
        </w:tblPrEx>
        <w:trPr>
          <w:trHeight w:val="311" w:hRule="atLeast"/>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决算数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决算数 </w:t>
            </w:r>
          </w:p>
        </w:tc>
      </w:tr>
      <w:tr>
        <w:tblPrEx>
          <w:tblCellMar>
            <w:top w:w="0" w:type="dxa"/>
            <w:left w:w="0" w:type="dxa"/>
            <w:bottom w:w="0" w:type="dxa"/>
            <w:right w:w="0" w:type="dxa"/>
          </w:tblCellMar>
        </w:tblPrEx>
        <w:trPr>
          <w:trHeight w:val="311" w:hRule="atLeast"/>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工资福利支出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664.18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商品和服务支出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24.70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债务利息及费用支出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基本工资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123.95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办公费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1.73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30701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国内债务付息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津贴补贴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96.74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印刷费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30702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国外债务付息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奖金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306.05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咨询费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资本性支出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伙食补助费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手续费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房屋建筑物购建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绩效工资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办公设备购置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机关事业单位基本养老保险缴费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36.60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电费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专用设备购置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职业年金缴费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10.84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邮电费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基础设施建设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职工基本医疗保险缴费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19.24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取暖费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大型修缮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公务员医疗补助缴费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32.24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物业管理费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信息网络及软件购置更新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其他社会保障缴费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1.04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差旅费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物资储备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住房公积金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37.47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因公出国（境）费用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土地补偿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30114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医疗费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维修（护）费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安置补助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30199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其他工资福利支出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租赁费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地上附着物和青苗补偿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对个人和家庭的补助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69.18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会议费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31012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拆迁补偿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离休费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培训费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31013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公务用车购置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退休费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69.18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公务接待费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31019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其他交通工具购置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30303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退职（役）费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30218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专用材料费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31021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文物和陈列品购置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抚恤金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30224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被装购置费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31022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无形资产购置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生活补助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30225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专用燃料费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31099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其他资本性支出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救济费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劳务费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0.18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399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rPr>
                <w:b/>
                <w:bCs/>
              </w:rPr>
            </w:pPr>
            <w:r>
              <w:rPr>
                <w:rFonts w:hint="eastAsia"/>
                <w:b/>
                <w:bCs/>
              </w:rPr>
              <w:t xml:space="preserve">其他支出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医疗费补助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委托业务费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39906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赠与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助学金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工会经费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16.64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39907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国家赔偿费用支出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30309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奖励金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30229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福利费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0.79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39908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对民间非营利组织和群众性自治组织补贴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30310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个人农业生产补贴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30231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公务用车运行维护费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39999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30311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代缴社会保险费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30239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其他交通费用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3.30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30399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其他对个人和家庭的补助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30240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税金及附加费用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30299 </w:t>
            </w: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r>
              <w:rPr>
                <w:rFonts w:hint="eastAsia"/>
              </w:rPr>
              <w:t xml:space="preserve">其他商品和服务支出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2.06 </w:t>
            </w:r>
          </w:p>
        </w:tc>
        <w:tc>
          <w:tcPr>
            <w:tcW w:w="25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95"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1253" w:type="pct"/>
            <w:gridSpan w:val="2"/>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人员经费合计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733.36 </w:t>
            </w:r>
          </w:p>
        </w:tc>
        <w:tc>
          <w:tcPr>
            <w:tcW w:w="2920" w:type="pct"/>
            <w:gridSpan w:val="5"/>
            <w:tcBorders>
              <w:top w:val="single" w:color="666666" w:sz="6" w:space="0"/>
              <w:left w:val="single" w:color="666666" w:sz="6" w:space="0"/>
              <w:bottom w:val="single" w:color="666666" w:sz="6" w:space="0"/>
              <w:right w:val="single" w:color="666666" w:sz="6" w:space="0"/>
            </w:tcBorders>
            <w:vAlign w:val="center"/>
          </w:tcPr>
          <w:p>
            <w:pPr>
              <w:pStyle w:val="5"/>
              <w:jc w:val="center"/>
              <w:rPr>
                <w:b/>
                <w:bCs/>
              </w:rPr>
            </w:pPr>
            <w:r>
              <w:rPr>
                <w:rFonts w:hint="eastAsia"/>
                <w:b/>
                <w:bCs/>
              </w:rPr>
              <w:t xml:space="preserve">公用经费合计 </w:t>
            </w:r>
          </w:p>
        </w:tc>
        <w:tc>
          <w:tcPr>
            <w:tcW w:w="413"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r>
              <w:rPr>
                <w:rFonts w:hint="eastAsia"/>
                <w:b/>
                <w:bCs/>
              </w:rPr>
              <w:t xml:space="preserve">24.70 </w:t>
            </w:r>
          </w:p>
        </w:tc>
      </w:tr>
      <w:tr>
        <w:tblPrEx>
          <w:tblCellMar>
            <w:top w:w="0" w:type="dxa"/>
            <w:left w:w="0" w:type="dxa"/>
            <w:bottom w:w="0" w:type="dxa"/>
            <w:right w:w="0" w:type="dxa"/>
          </w:tblCellMar>
        </w:tblPrEx>
        <w:trPr>
          <w:tblCellSpacing w:w="0" w:type="dxa"/>
          <w:jc w:val="center"/>
        </w:trPr>
        <w:tc>
          <w:tcPr>
            <w:tcW w:w="5000" w:type="pct"/>
            <w:gridSpan w:val="9"/>
            <w:vAlign w:val="center"/>
          </w:tcPr>
          <w:p>
            <w:pPr>
              <w:pStyle w:val="5"/>
            </w:pPr>
            <w:r>
              <w:rPr>
                <w:rFonts w:hint="eastAsia"/>
              </w:rPr>
              <w:t xml:space="preserve">注：本表反映部门本年度一般公共预算财政拨款基本支出明细情况。本表金额转换为万元时，因四舍五入可能存在尾数误差。 </w:t>
            </w:r>
          </w:p>
        </w:tc>
      </w:tr>
    </w:tbl>
    <w:p>
      <w:pPr>
        <w:pStyle w:val="5"/>
        <w:rPr>
          <w:color w:val="000000"/>
        </w:rPr>
      </w:pPr>
    </w:p>
    <w:p>
      <w:pPr>
        <w:spacing w:after="2"/>
        <w:jc w:val="center"/>
        <w:rPr>
          <w:color w:val="000000"/>
          <w:szCs w:val="21"/>
        </w:rPr>
      </w:pPr>
    </w:p>
    <w:tbl>
      <w:tblPr>
        <w:tblStyle w:val="6"/>
        <w:tblW w:w="5000" w:type="pct"/>
        <w:jc w:val="center"/>
        <w:tblCellSpacing w:w="0" w:type="dxa"/>
        <w:tblLayout w:type="autofit"/>
        <w:tblCellMar>
          <w:top w:w="0" w:type="dxa"/>
          <w:left w:w="0" w:type="dxa"/>
          <w:bottom w:w="0" w:type="dxa"/>
          <w:right w:w="0" w:type="dxa"/>
        </w:tblCellMar>
      </w:tblPr>
      <w:tblGrid>
        <w:gridCol w:w="359"/>
        <w:gridCol w:w="359"/>
        <w:gridCol w:w="366"/>
        <w:gridCol w:w="3589"/>
        <w:gridCol w:w="1854"/>
        <w:gridCol w:w="2043"/>
        <w:gridCol w:w="1809"/>
        <w:gridCol w:w="1771"/>
        <w:gridCol w:w="1809"/>
        <w:gridCol w:w="2079"/>
      </w:tblGrid>
      <w:tr>
        <w:trPr>
          <w:tblCellSpacing w:w="0" w:type="dxa"/>
          <w:jc w:val="center"/>
        </w:trPr>
        <w:tc>
          <w:tcPr>
            <w:tcW w:w="5000" w:type="pct"/>
            <w:gridSpan w:val="10"/>
            <w:vAlign w:val="center"/>
          </w:tcPr>
          <w:p>
            <w:pPr>
              <w:pStyle w:val="5"/>
              <w:jc w:val="center"/>
              <w:rPr>
                <w:sz w:val="40"/>
                <w:szCs w:val="40"/>
              </w:rPr>
            </w:pPr>
            <w:r>
              <w:rPr>
                <w:rFonts w:hint="eastAsia"/>
                <w:sz w:val="40"/>
                <w:szCs w:val="40"/>
              </w:rPr>
              <w:t xml:space="preserve">政府性基金预算财政拨款收入支出决算表 </w:t>
            </w:r>
          </w:p>
        </w:tc>
      </w:tr>
      <w:tr>
        <w:trPr>
          <w:tblCellSpacing w:w="0" w:type="dxa"/>
          <w:jc w:val="center"/>
        </w:trPr>
        <w:tc>
          <w:tcPr>
            <w:tcW w:w="112" w:type="pct"/>
            <w:vAlign w:val="center"/>
          </w:tcPr>
          <w:p>
            <w:pPr>
              <w:pStyle w:val="5"/>
            </w:pPr>
          </w:p>
        </w:tc>
        <w:tc>
          <w:tcPr>
            <w:tcW w:w="112" w:type="pct"/>
            <w:vAlign w:val="center"/>
          </w:tcPr>
          <w:p>
            <w:pPr>
              <w:pStyle w:val="5"/>
            </w:pPr>
          </w:p>
        </w:tc>
        <w:tc>
          <w:tcPr>
            <w:tcW w:w="112" w:type="pct"/>
            <w:vAlign w:val="center"/>
          </w:tcPr>
          <w:p>
            <w:pPr>
              <w:pStyle w:val="5"/>
            </w:pPr>
          </w:p>
        </w:tc>
        <w:tc>
          <w:tcPr>
            <w:tcW w:w="1118" w:type="pct"/>
            <w:vAlign w:val="center"/>
          </w:tcPr>
          <w:p>
            <w:pPr>
              <w:pStyle w:val="5"/>
            </w:pPr>
          </w:p>
        </w:tc>
        <w:tc>
          <w:tcPr>
            <w:tcW w:w="578" w:type="pct"/>
            <w:vAlign w:val="center"/>
          </w:tcPr>
          <w:p>
            <w:pPr>
              <w:pStyle w:val="5"/>
            </w:pPr>
          </w:p>
        </w:tc>
        <w:tc>
          <w:tcPr>
            <w:tcW w:w="637" w:type="pct"/>
            <w:vAlign w:val="center"/>
          </w:tcPr>
          <w:p>
            <w:pPr>
              <w:pStyle w:val="5"/>
            </w:pPr>
          </w:p>
        </w:tc>
        <w:tc>
          <w:tcPr>
            <w:tcW w:w="564" w:type="pct"/>
            <w:vAlign w:val="center"/>
          </w:tcPr>
          <w:p>
            <w:pPr>
              <w:pStyle w:val="5"/>
            </w:pPr>
          </w:p>
        </w:tc>
        <w:tc>
          <w:tcPr>
            <w:tcW w:w="549" w:type="pct"/>
            <w:vAlign w:val="center"/>
          </w:tcPr>
          <w:p>
            <w:pPr>
              <w:pStyle w:val="5"/>
            </w:pPr>
          </w:p>
        </w:tc>
        <w:tc>
          <w:tcPr>
            <w:tcW w:w="564" w:type="pct"/>
            <w:vAlign w:val="center"/>
          </w:tcPr>
          <w:p>
            <w:pPr>
              <w:pStyle w:val="5"/>
            </w:pPr>
          </w:p>
        </w:tc>
        <w:tc>
          <w:tcPr>
            <w:tcW w:w="647" w:type="pct"/>
            <w:vAlign w:val="center"/>
          </w:tcPr>
          <w:p>
            <w:pPr>
              <w:pStyle w:val="5"/>
              <w:jc w:val="right"/>
            </w:pPr>
            <w:r>
              <w:rPr>
                <w:rFonts w:hint="eastAsia"/>
              </w:rPr>
              <w:t xml:space="preserve">公开07表 </w:t>
            </w:r>
          </w:p>
        </w:tc>
      </w:tr>
      <w:tr>
        <w:trPr>
          <w:tblCellSpacing w:w="0" w:type="dxa"/>
          <w:jc w:val="center"/>
        </w:trPr>
        <w:tc>
          <w:tcPr>
            <w:tcW w:w="3788" w:type="pct"/>
            <w:gridSpan w:val="8"/>
            <w:vAlign w:val="center"/>
          </w:tcPr>
          <w:p>
            <w:pPr>
              <w:pStyle w:val="5"/>
            </w:pPr>
            <w:r>
              <w:rPr>
                <w:rFonts w:hint="eastAsia"/>
              </w:rPr>
              <w:t xml:space="preserve">部门：浏阳市统计局 </w:t>
            </w:r>
          </w:p>
        </w:tc>
        <w:tc>
          <w:tcPr>
            <w:tcW w:w="564" w:type="pct"/>
            <w:vAlign w:val="center"/>
          </w:tcPr>
          <w:p>
            <w:pPr>
              <w:pStyle w:val="5"/>
            </w:pPr>
          </w:p>
        </w:tc>
        <w:tc>
          <w:tcPr>
            <w:tcW w:w="647" w:type="pct"/>
            <w:vAlign w:val="center"/>
          </w:tcPr>
          <w:p>
            <w:pPr>
              <w:pStyle w:val="5"/>
              <w:jc w:val="right"/>
            </w:pPr>
            <w:r>
              <w:rPr>
                <w:rFonts w:hint="eastAsia"/>
              </w:rPr>
              <w:t xml:space="preserve">金额单位：万元 </w:t>
            </w:r>
          </w:p>
        </w:tc>
      </w:tr>
      <w:tr>
        <w:trPr>
          <w:tblCellSpacing w:w="0" w:type="dxa"/>
          <w:jc w:val="center"/>
        </w:trPr>
        <w:tc>
          <w:tcPr>
            <w:tcW w:w="1457"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 </w:t>
            </w:r>
          </w:p>
        </w:tc>
        <w:tc>
          <w:tcPr>
            <w:tcW w:w="0" w:type="pct"/>
            <w:vMerge w:val="restart"/>
            <w:tcBorders>
              <w:top w:val="single" w:color="666666" w:sz="6" w:space="0"/>
              <w:bottom w:val="single" w:color="666666" w:sz="6" w:space="0"/>
              <w:right w:val="single" w:color="666666" w:sz="6" w:space="0"/>
            </w:tcBorders>
            <w:vAlign w:val="center"/>
          </w:tcPr>
          <w:p>
            <w:pPr>
              <w:pStyle w:val="5"/>
              <w:jc w:val="center"/>
            </w:pPr>
            <w:r>
              <w:rPr>
                <w:rFonts w:hint="eastAsia"/>
              </w:rPr>
              <w:t xml:space="preserve">年初结转和结余 </w:t>
            </w:r>
          </w:p>
        </w:tc>
        <w:tc>
          <w:tcPr>
            <w:tcW w:w="0" w:type="pct"/>
            <w:vMerge w:val="restart"/>
            <w:tcBorders>
              <w:top w:val="single" w:color="666666" w:sz="6" w:space="0"/>
              <w:bottom w:val="single" w:color="666666" w:sz="6" w:space="0"/>
              <w:right w:val="single" w:color="666666" w:sz="6" w:space="0"/>
            </w:tcBorders>
            <w:vAlign w:val="center"/>
          </w:tcPr>
          <w:p>
            <w:pPr>
              <w:pStyle w:val="5"/>
              <w:jc w:val="center"/>
            </w:pPr>
            <w:r>
              <w:rPr>
                <w:rFonts w:hint="eastAsia"/>
              </w:rPr>
              <w:t xml:space="preserve">本年收入 </w:t>
            </w:r>
          </w:p>
        </w:tc>
        <w:tc>
          <w:tcPr>
            <w:tcW w:w="1678" w:type="pct"/>
            <w:gridSpan w:val="3"/>
            <w:tcBorders>
              <w:top w:val="single" w:color="666666" w:sz="6" w:space="0"/>
              <w:bottom w:val="single" w:color="666666" w:sz="6" w:space="0"/>
              <w:right w:val="single" w:color="666666" w:sz="6" w:space="0"/>
            </w:tcBorders>
            <w:vAlign w:val="center"/>
          </w:tcPr>
          <w:p>
            <w:pPr>
              <w:pStyle w:val="5"/>
              <w:jc w:val="center"/>
            </w:pPr>
            <w:r>
              <w:rPr>
                <w:rFonts w:hint="eastAsia"/>
              </w:rPr>
              <w:t xml:space="preserve">本年支出 </w:t>
            </w:r>
          </w:p>
        </w:tc>
        <w:tc>
          <w:tcPr>
            <w:tcW w:w="0" w:type="pct"/>
            <w:vMerge w:val="restart"/>
            <w:tcBorders>
              <w:top w:val="single" w:color="666666" w:sz="6" w:space="0"/>
              <w:bottom w:val="single" w:color="666666" w:sz="6" w:space="0"/>
              <w:right w:val="single" w:color="666666" w:sz="6" w:space="0"/>
            </w:tcBorders>
            <w:vAlign w:val="center"/>
          </w:tcPr>
          <w:p>
            <w:pPr>
              <w:pStyle w:val="5"/>
              <w:jc w:val="center"/>
            </w:pPr>
            <w:r>
              <w:rPr>
                <w:rFonts w:hint="eastAsia"/>
              </w:rPr>
              <w:t xml:space="preserve">年末结转和结余 </w:t>
            </w:r>
          </w:p>
        </w:tc>
      </w:tr>
      <w:tr>
        <w:tblPrEx>
          <w:tblCellMar>
            <w:top w:w="0" w:type="dxa"/>
            <w:left w:w="0" w:type="dxa"/>
            <w:bottom w:w="0" w:type="dxa"/>
            <w:right w:w="0" w:type="dxa"/>
          </w:tblCellMar>
        </w:tblPrEx>
        <w:trPr>
          <w:trHeight w:val="311" w:hRule="atLeast"/>
          <w:tblCellSpacing w:w="0" w:type="dxa"/>
          <w:jc w:val="center"/>
        </w:trPr>
        <w:tc>
          <w:tcPr>
            <w:tcW w:w="338" w:type="pct"/>
            <w:gridSpan w:val="3"/>
            <w:vMerge w:val="restart"/>
            <w:tcBorders>
              <w:left w:val="single" w:color="666666" w:sz="6" w:space="0"/>
              <w:bottom w:val="single" w:color="666666" w:sz="6" w:space="0"/>
              <w:right w:val="single" w:color="666666" w:sz="6" w:space="0"/>
            </w:tcBorders>
            <w:vAlign w:val="center"/>
          </w:tcPr>
          <w:p>
            <w:pPr>
              <w:pStyle w:val="5"/>
              <w:jc w:val="center"/>
            </w:pPr>
            <w:r>
              <w:rPr>
                <w:rFonts w:hint="eastAsia"/>
              </w:rPr>
              <w:t xml:space="preserve">科目代码 </w:t>
            </w:r>
          </w:p>
        </w:tc>
        <w:tc>
          <w:tcPr>
            <w:tcW w:w="0" w:type="pct"/>
            <w:vMerge w:val="restart"/>
            <w:tcBorders>
              <w:bottom w:val="single" w:color="666666" w:sz="6" w:space="0"/>
              <w:right w:val="single" w:color="666666" w:sz="6" w:space="0"/>
            </w:tcBorders>
            <w:vAlign w:val="center"/>
          </w:tcPr>
          <w:p>
            <w:pPr>
              <w:pStyle w:val="5"/>
              <w:jc w:val="center"/>
            </w:pPr>
            <w:r>
              <w:rPr>
                <w:rFonts w:hint="eastAsia"/>
              </w:rPr>
              <w:t xml:space="preserve">科目名称 </w:t>
            </w: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pct"/>
            <w:vMerge w:val="restart"/>
            <w:tcBorders>
              <w:bottom w:val="single" w:color="666666" w:sz="6" w:space="0"/>
              <w:right w:val="single" w:color="666666" w:sz="6" w:space="0"/>
            </w:tcBorders>
            <w:vAlign w:val="center"/>
          </w:tcPr>
          <w:p>
            <w:pPr>
              <w:pStyle w:val="5"/>
              <w:jc w:val="center"/>
            </w:pPr>
            <w:r>
              <w:rPr>
                <w:rFonts w:hint="eastAsia"/>
              </w:rPr>
              <w:t xml:space="preserve">小计 </w:t>
            </w:r>
          </w:p>
        </w:tc>
        <w:tc>
          <w:tcPr>
            <w:tcW w:w="0" w:type="pct"/>
            <w:vMerge w:val="restart"/>
            <w:tcBorders>
              <w:bottom w:val="single" w:color="666666" w:sz="6" w:space="0"/>
              <w:right w:val="single" w:color="666666" w:sz="6" w:space="0"/>
            </w:tcBorders>
            <w:vAlign w:val="center"/>
          </w:tcPr>
          <w:p>
            <w:pPr>
              <w:pStyle w:val="5"/>
              <w:jc w:val="center"/>
            </w:pPr>
            <w:r>
              <w:rPr>
                <w:rFonts w:hint="eastAsia"/>
              </w:rPr>
              <w:t xml:space="preserve">基本支出 </w:t>
            </w:r>
          </w:p>
        </w:tc>
        <w:tc>
          <w:tcPr>
            <w:tcW w:w="0" w:type="pct"/>
            <w:vMerge w:val="restart"/>
            <w:tcBorders>
              <w:bottom w:val="single" w:color="666666" w:sz="6" w:space="0"/>
              <w:right w:val="single" w:color="666666" w:sz="6" w:space="0"/>
            </w:tcBorders>
            <w:vAlign w:val="center"/>
          </w:tcPr>
          <w:p>
            <w:pPr>
              <w:pStyle w:val="5"/>
              <w:jc w:val="center"/>
            </w:pPr>
            <w:r>
              <w:rPr>
                <w:rFonts w:hint="eastAsia"/>
              </w:rPr>
              <w:t xml:space="preserve">项目支出 </w:t>
            </w: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1457" w:type="pct"/>
            <w:gridSpan w:val="4"/>
            <w:tcBorders>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578" w:type="pct"/>
            <w:tcBorders>
              <w:bottom w:val="single" w:color="666666" w:sz="6" w:space="0"/>
              <w:right w:val="single" w:color="666666" w:sz="6" w:space="0"/>
            </w:tcBorders>
            <w:vAlign w:val="center"/>
          </w:tcPr>
          <w:p>
            <w:pPr>
              <w:pStyle w:val="5"/>
              <w:jc w:val="center"/>
            </w:pPr>
            <w:r>
              <w:rPr>
                <w:rFonts w:hint="eastAsia"/>
              </w:rPr>
              <w:t xml:space="preserve">1 </w:t>
            </w:r>
          </w:p>
        </w:tc>
        <w:tc>
          <w:tcPr>
            <w:tcW w:w="637" w:type="pct"/>
            <w:tcBorders>
              <w:bottom w:val="single" w:color="666666" w:sz="6" w:space="0"/>
              <w:right w:val="single" w:color="666666" w:sz="6" w:space="0"/>
            </w:tcBorders>
            <w:vAlign w:val="center"/>
          </w:tcPr>
          <w:p>
            <w:pPr>
              <w:pStyle w:val="5"/>
              <w:jc w:val="center"/>
            </w:pPr>
            <w:r>
              <w:rPr>
                <w:rFonts w:hint="eastAsia"/>
              </w:rPr>
              <w:t xml:space="preserve">2 </w:t>
            </w:r>
          </w:p>
        </w:tc>
        <w:tc>
          <w:tcPr>
            <w:tcW w:w="564" w:type="pct"/>
            <w:tcBorders>
              <w:bottom w:val="single" w:color="666666" w:sz="6" w:space="0"/>
              <w:right w:val="single" w:color="666666" w:sz="6" w:space="0"/>
            </w:tcBorders>
            <w:vAlign w:val="center"/>
          </w:tcPr>
          <w:p>
            <w:pPr>
              <w:pStyle w:val="5"/>
              <w:jc w:val="center"/>
            </w:pPr>
            <w:r>
              <w:rPr>
                <w:rFonts w:hint="eastAsia"/>
              </w:rPr>
              <w:t xml:space="preserve">3 </w:t>
            </w:r>
          </w:p>
        </w:tc>
        <w:tc>
          <w:tcPr>
            <w:tcW w:w="549" w:type="pct"/>
            <w:tcBorders>
              <w:bottom w:val="single" w:color="666666" w:sz="6" w:space="0"/>
              <w:right w:val="single" w:color="666666" w:sz="6" w:space="0"/>
            </w:tcBorders>
            <w:vAlign w:val="center"/>
          </w:tcPr>
          <w:p>
            <w:pPr>
              <w:pStyle w:val="5"/>
              <w:jc w:val="center"/>
            </w:pPr>
            <w:r>
              <w:rPr>
                <w:rFonts w:hint="eastAsia"/>
              </w:rPr>
              <w:t xml:space="preserve">4 </w:t>
            </w:r>
          </w:p>
        </w:tc>
        <w:tc>
          <w:tcPr>
            <w:tcW w:w="564" w:type="pct"/>
            <w:tcBorders>
              <w:bottom w:val="single" w:color="666666" w:sz="6" w:space="0"/>
              <w:right w:val="single" w:color="666666" w:sz="6" w:space="0"/>
            </w:tcBorders>
            <w:vAlign w:val="center"/>
          </w:tcPr>
          <w:p>
            <w:pPr>
              <w:pStyle w:val="5"/>
              <w:jc w:val="center"/>
            </w:pPr>
            <w:r>
              <w:rPr>
                <w:rFonts w:hint="eastAsia"/>
              </w:rPr>
              <w:t xml:space="preserve">5 </w:t>
            </w:r>
          </w:p>
        </w:tc>
        <w:tc>
          <w:tcPr>
            <w:tcW w:w="647" w:type="pct"/>
            <w:tcBorders>
              <w:bottom w:val="single" w:color="666666" w:sz="6" w:space="0"/>
              <w:right w:val="single" w:color="666666" w:sz="6" w:space="0"/>
            </w:tcBorders>
            <w:vAlign w:val="center"/>
          </w:tcPr>
          <w:p>
            <w:pPr>
              <w:pStyle w:val="5"/>
              <w:jc w:val="center"/>
            </w:pPr>
            <w:r>
              <w:rPr>
                <w:rFonts w:hint="eastAsia"/>
              </w:rPr>
              <w:t xml:space="preserve">6 </w:t>
            </w:r>
          </w:p>
        </w:tc>
      </w:tr>
      <w:tr>
        <w:tblPrEx>
          <w:tblCellMar>
            <w:top w:w="0" w:type="dxa"/>
            <w:left w:w="0" w:type="dxa"/>
            <w:bottom w:w="0" w:type="dxa"/>
            <w:right w:w="0" w:type="dxa"/>
          </w:tblCellMar>
        </w:tblPrEx>
        <w:trPr>
          <w:tblCellSpacing w:w="0" w:type="dxa"/>
          <w:jc w:val="center"/>
        </w:trPr>
        <w:tc>
          <w:tcPr>
            <w:tcW w:w="1457" w:type="pct"/>
            <w:gridSpan w:val="4"/>
            <w:tcBorders>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578" w:type="pct"/>
            <w:tcBorders>
              <w:bottom w:val="single" w:color="666666" w:sz="6" w:space="0"/>
              <w:right w:val="single" w:color="666666" w:sz="6" w:space="0"/>
            </w:tcBorders>
            <w:vAlign w:val="center"/>
          </w:tcPr>
          <w:p>
            <w:pPr>
              <w:pStyle w:val="5"/>
              <w:jc w:val="right"/>
              <w:rPr>
                <w:b/>
                <w:bCs/>
              </w:rPr>
            </w:pPr>
          </w:p>
        </w:tc>
        <w:tc>
          <w:tcPr>
            <w:tcW w:w="637" w:type="pct"/>
            <w:tcBorders>
              <w:bottom w:val="single" w:color="666666" w:sz="6" w:space="0"/>
              <w:right w:val="single" w:color="666666" w:sz="6" w:space="0"/>
            </w:tcBorders>
            <w:vAlign w:val="center"/>
          </w:tcPr>
          <w:p>
            <w:pPr>
              <w:pStyle w:val="5"/>
              <w:jc w:val="right"/>
              <w:rPr>
                <w:b/>
                <w:bCs/>
              </w:rPr>
            </w:pPr>
          </w:p>
        </w:tc>
        <w:tc>
          <w:tcPr>
            <w:tcW w:w="564" w:type="pct"/>
            <w:tcBorders>
              <w:bottom w:val="single" w:color="666666" w:sz="6" w:space="0"/>
              <w:right w:val="single" w:color="666666" w:sz="6" w:space="0"/>
            </w:tcBorders>
            <w:vAlign w:val="center"/>
          </w:tcPr>
          <w:p>
            <w:pPr>
              <w:pStyle w:val="5"/>
              <w:jc w:val="right"/>
              <w:rPr>
                <w:b/>
                <w:bCs/>
              </w:rPr>
            </w:pPr>
          </w:p>
        </w:tc>
        <w:tc>
          <w:tcPr>
            <w:tcW w:w="549" w:type="pct"/>
            <w:tcBorders>
              <w:bottom w:val="single" w:color="666666" w:sz="6" w:space="0"/>
              <w:right w:val="single" w:color="666666" w:sz="6" w:space="0"/>
            </w:tcBorders>
            <w:vAlign w:val="center"/>
          </w:tcPr>
          <w:p>
            <w:pPr>
              <w:pStyle w:val="5"/>
              <w:jc w:val="right"/>
              <w:rPr>
                <w:b/>
                <w:bCs/>
              </w:rPr>
            </w:pPr>
          </w:p>
        </w:tc>
        <w:tc>
          <w:tcPr>
            <w:tcW w:w="564" w:type="pct"/>
            <w:tcBorders>
              <w:bottom w:val="single" w:color="666666" w:sz="6" w:space="0"/>
              <w:right w:val="single" w:color="666666" w:sz="6" w:space="0"/>
            </w:tcBorders>
            <w:vAlign w:val="center"/>
          </w:tcPr>
          <w:p>
            <w:pPr>
              <w:pStyle w:val="5"/>
              <w:jc w:val="right"/>
              <w:rPr>
                <w:b/>
                <w:bCs/>
              </w:rPr>
            </w:pPr>
          </w:p>
        </w:tc>
        <w:tc>
          <w:tcPr>
            <w:tcW w:w="647" w:type="pct"/>
            <w:tcBorders>
              <w:bottom w:val="single" w:color="666666" w:sz="6" w:space="0"/>
              <w:right w:val="single" w:color="666666" w:sz="6" w:space="0"/>
            </w:tcBorders>
            <w:vAlign w:val="center"/>
          </w:tcPr>
          <w:p>
            <w:pPr>
              <w:pStyle w:val="5"/>
              <w:jc w:val="right"/>
              <w:rPr>
                <w:b/>
                <w:bCs/>
              </w:rPr>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338" w:type="pct"/>
            <w:gridSpan w:val="3"/>
            <w:tcBorders>
              <w:left w:val="single" w:color="666666" w:sz="6" w:space="0"/>
              <w:bottom w:val="single" w:color="666666" w:sz="6" w:space="0"/>
              <w:right w:val="single" w:color="666666" w:sz="6" w:space="0"/>
            </w:tcBorders>
            <w:vAlign w:val="center"/>
          </w:tcPr>
          <w:p>
            <w:pPr>
              <w:pStyle w:val="5"/>
            </w:pPr>
          </w:p>
        </w:tc>
        <w:tc>
          <w:tcPr>
            <w:tcW w:w="1118" w:type="pct"/>
            <w:tcBorders>
              <w:bottom w:val="single" w:color="666666" w:sz="6" w:space="0"/>
              <w:right w:val="single" w:color="666666" w:sz="6" w:space="0"/>
            </w:tcBorders>
            <w:vAlign w:val="center"/>
          </w:tcPr>
          <w:p>
            <w:pPr>
              <w:pStyle w:val="5"/>
            </w:pPr>
          </w:p>
        </w:tc>
        <w:tc>
          <w:tcPr>
            <w:tcW w:w="578" w:type="pct"/>
            <w:tcBorders>
              <w:bottom w:val="single" w:color="666666" w:sz="6" w:space="0"/>
              <w:right w:val="single" w:color="666666" w:sz="6" w:space="0"/>
            </w:tcBorders>
            <w:vAlign w:val="center"/>
          </w:tcPr>
          <w:p>
            <w:pPr>
              <w:pStyle w:val="5"/>
              <w:jc w:val="right"/>
            </w:pPr>
          </w:p>
        </w:tc>
        <w:tc>
          <w:tcPr>
            <w:tcW w:w="637"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549" w:type="pct"/>
            <w:tcBorders>
              <w:bottom w:val="single" w:color="666666" w:sz="6" w:space="0"/>
              <w:right w:val="single" w:color="666666" w:sz="6" w:space="0"/>
            </w:tcBorders>
            <w:vAlign w:val="center"/>
          </w:tcPr>
          <w:p>
            <w:pPr>
              <w:pStyle w:val="5"/>
              <w:jc w:val="right"/>
            </w:pPr>
          </w:p>
        </w:tc>
        <w:tc>
          <w:tcPr>
            <w:tcW w:w="564" w:type="pct"/>
            <w:tcBorders>
              <w:bottom w:val="single" w:color="666666" w:sz="6" w:space="0"/>
              <w:right w:val="single" w:color="666666" w:sz="6" w:space="0"/>
            </w:tcBorders>
            <w:vAlign w:val="center"/>
          </w:tcPr>
          <w:p>
            <w:pPr>
              <w:pStyle w:val="5"/>
              <w:jc w:val="right"/>
            </w:pPr>
          </w:p>
        </w:tc>
        <w:tc>
          <w:tcPr>
            <w:tcW w:w="647" w:type="pct"/>
            <w:tcBorders>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5000" w:type="pct"/>
            <w:gridSpan w:val="10"/>
            <w:vAlign w:val="center"/>
          </w:tcPr>
          <w:p>
            <w:pPr>
              <w:pStyle w:val="5"/>
            </w:pPr>
            <w:r>
              <w:rPr>
                <w:rFonts w:hint="eastAsia"/>
              </w:rPr>
              <w:t xml:space="preserve">注：本表反映部门本年度政府性基金预算财政拨款收入、支出及结转和结余情况。本表金额转换为万元时，因四舍五入可能存在尾数误差。 </w:t>
            </w:r>
          </w:p>
        </w:tc>
      </w:tr>
    </w:tbl>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说明：我单位没有政府性基金收入，也没有使用政府性基金安排的支出，故本表无数据。</w:t>
      </w:r>
      <w:r>
        <w:rPr>
          <w:rFonts w:ascii="宋体" w:hAnsi="宋体" w:eastAsia="宋体" w:cs="宋体"/>
          <w:color w:val="000000"/>
          <w:kern w:val="0"/>
          <w:sz w:val="24"/>
          <w:szCs w:val="24"/>
        </w:rPr>
        <w:t xml:space="preserve"> </w:t>
      </w:r>
    </w:p>
    <w:p>
      <w:pPr>
        <w:pStyle w:val="5"/>
        <w:rPr>
          <w:color w:val="000000"/>
        </w:rPr>
      </w:pPr>
    </w:p>
    <w:p>
      <w:pPr>
        <w:pStyle w:val="5"/>
        <w:spacing w:before="0" w:beforeAutospacing="0" w:after="2" w:afterAutospacing="0"/>
        <w:rPr>
          <w:color w:val="000000"/>
        </w:rPr>
      </w:pPr>
    </w:p>
    <w:tbl>
      <w:tblPr>
        <w:tblStyle w:val="6"/>
        <w:tblW w:w="5000" w:type="pct"/>
        <w:jc w:val="center"/>
        <w:tblCellSpacing w:w="0" w:type="dxa"/>
        <w:tblLayout w:type="autofit"/>
        <w:tblCellMar>
          <w:top w:w="0" w:type="dxa"/>
          <w:left w:w="0" w:type="dxa"/>
          <w:bottom w:w="0" w:type="dxa"/>
          <w:right w:w="0" w:type="dxa"/>
        </w:tblCellMar>
      </w:tblPr>
      <w:tblGrid>
        <w:gridCol w:w="641"/>
        <w:gridCol w:w="641"/>
        <w:gridCol w:w="645"/>
        <w:gridCol w:w="5065"/>
        <w:gridCol w:w="3012"/>
        <w:gridCol w:w="3012"/>
        <w:gridCol w:w="3022"/>
      </w:tblGrid>
      <w:tr>
        <w:tblPrEx>
          <w:tblCellMar>
            <w:top w:w="0" w:type="dxa"/>
            <w:left w:w="0" w:type="dxa"/>
            <w:bottom w:w="0" w:type="dxa"/>
            <w:right w:w="0" w:type="dxa"/>
          </w:tblCellMar>
        </w:tblPrEx>
        <w:trPr>
          <w:tblCellSpacing w:w="0" w:type="dxa"/>
          <w:jc w:val="center"/>
        </w:trPr>
        <w:tc>
          <w:tcPr>
            <w:tcW w:w="5000" w:type="pct"/>
            <w:gridSpan w:val="7"/>
            <w:vAlign w:val="center"/>
          </w:tcPr>
          <w:p>
            <w:pPr>
              <w:pStyle w:val="5"/>
              <w:jc w:val="center"/>
              <w:rPr>
                <w:sz w:val="40"/>
                <w:szCs w:val="40"/>
              </w:rPr>
            </w:pPr>
            <w:r>
              <w:rPr>
                <w:rFonts w:hint="eastAsia"/>
                <w:sz w:val="40"/>
                <w:szCs w:val="40"/>
              </w:rPr>
              <w:t xml:space="preserve">国有资本经营预算财政拨款支出决算表 </w:t>
            </w:r>
          </w:p>
        </w:tc>
      </w:tr>
      <w:tr>
        <w:trPr>
          <w:tblCellSpacing w:w="0" w:type="dxa"/>
          <w:jc w:val="center"/>
        </w:trPr>
        <w:tc>
          <w:tcPr>
            <w:tcW w:w="200" w:type="pct"/>
            <w:vAlign w:val="center"/>
          </w:tcPr>
          <w:p>
            <w:pPr>
              <w:pStyle w:val="5"/>
            </w:pPr>
          </w:p>
        </w:tc>
        <w:tc>
          <w:tcPr>
            <w:tcW w:w="200" w:type="pct"/>
            <w:vAlign w:val="center"/>
          </w:tcPr>
          <w:p>
            <w:pPr>
              <w:pStyle w:val="5"/>
            </w:pPr>
          </w:p>
        </w:tc>
        <w:tc>
          <w:tcPr>
            <w:tcW w:w="200" w:type="pct"/>
            <w:vAlign w:val="center"/>
          </w:tcPr>
          <w:p>
            <w:pPr>
              <w:pStyle w:val="5"/>
            </w:pPr>
          </w:p>
        </w:tc>
        <w:tc>
          <w:tcPr>
            <w:tcW w:w="1578" w:type="pct"/>
            <w:vAlign w:val="center"/>
          </w:tcPr>
          <w:p>
            <w:pPr>
              <w:pStyle w:val="5"/>
            </w:pPr>
          </w:p>
        </w:tc>
        <w:tc>
          <w:tcPr>
            <w:tcW w:w="939" w:type="pct"/>
            <w:vAlign w:val="center"/>
          </w:tcPr>
          <w:p>
            <w:pPr>
              <w:pStyle w:val="5"/>
              <w:jc w:val="right"/>
            </w:pPr>
          </w:p>
        </w:tc>
        <w:tc>
          <w:tcPr>
            <w:tcW w:w="1879" w:type="pct"/>
            <w:gridSpan w:val="2"/>
            <w:vAlign w:val="center"/>
          </w:tcPr>
          <w:p>
            <w:pPr>
              <w:pStyle w:val="5"/>
              <w:jc w:val="right"/>
            </w:pPr>
            <w:r>
              <w:rPr>
                <w:rFonts w:hint="eastAsia"/>
              </w:rPr>
              <w:t xml:space="preserve">公开08表 </w:t>
            </w:r>
          </w:p>
        </w:tc>
      </w:tr>
      <w:tr>
        <w:tblPrEx>
          <w:tblCellMar>
            <w:top w:w="0" w:type="dxa"/>
            <w:left w:w="0" w:type="dxa"/>
            <w:bottom w:w="0" w:type="dxa"/>
            <w:right w:w="0" w:type="dxa"/>
          </w:tblCellMar>
        </w:tblPrEx>
        <w:trPr>
          <w:tblCellSpacing w:w="0" w:type="dxa"/>
          <w:jc w:val="center"/>
        </w:trPr>
        <w:tc>
          <w:tcPr>
            <w:tcW w:w="2180" w:type="pct"/>
            <w:gridSpan w:val="4"/>
            <w:vAlign w:val="center"/>
          </w:tcPr>
          <w:p>
            <w:pPr>
              <w:pStyle w:val="5"/>
            </w:pPr>
            <w:r>
              <w:rPr>
                <w:rFonts w:hint="eastAsia"/>
              </w:rPr>
              <w:t xml:space="preserve">部门：浏阳市统计局 </w:t>
            </w:r>
          </w:p>
        </w:tc>
        <w:tc>
          <w:tcPr>
            <w:tcW w:w="939" w:type="pct"/>
            <w:vAlign w:val="center"/>
          </w:tcPr>
          <w:p>
            <w:pPr>
              <w:pStyle w:val="5"/>
              <w:jc w:val="right"/>
            </w:pPr>
          </w:p>
        </w:tc>
        <w:tc>
          <w:tcPr>
            <w:tcW w:w="1879"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601" w:type="pct"/>
            <w:gridSpan w:val="3"/>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科目编码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科目名称 </w:t>
            </w:r>
          </w:p>
        </w:tc>
        <w:tc>
          <w:tcPr>
            <w:tcW w:w="2819"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本年支出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601"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基本支出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项目支出 </w:t>
            </w: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rHeight w:val="311" w:hRule="atLeast"/>
          <w:tblCellSpacing w:w="0" w:type="dxa"/>
          <w:jc w:val="center"/>
        </w:trPr>
        <w:tc>
          <w:tcPr>
            <w:tcW w:w="0" w:type="auto"/>
            <w:gridSpan w:val="3"/>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栏次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r>
      <w:tr>
        <w:tblPrEx>
          <w:tblCellMar>
            <w:top w:w="0" w:type="dxa"/>
            <w:left w:w="0" w:type="dxa"/>
            <w:bottom w:w="0" w:type="dxa"/>
            <w:right w:w="0" w:type="dxa"/>
          </w:tblCellMar>
        </w:tblPrEx>
        <w:trPr>
          <w:tblCellSpacing w:w="0" w:type="dxa"/>
          <w:jc w:val="center"/>
        </w:trPr>
        <w:tc>
          <w:tcPr>
            <w:tcW w:w="2180" w:type="pct"/>
            <w:gridSpan w:val="4"/>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rPr>
                <w:b/>
                <w:bCs/>
              </w:rPr>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601" w:type="pct"/>
            <w:gridSpan w:val="3"/>
            <w:tcBorders>
              <w:top w:val="single" w:color="666666" w:sz="6" w:space="0"/>
              <w:left w:val="single" w:color="666666" w:sz="6" w:space="0"/>
              <w:bottom w:val="single" w:color="666666" w:sz="6" w:space="0"/>
              <w:right w:val="single" w:color="666666" w:sz="6" w:space="0"/>
            </w:tcBorders>
            <w:vAlign w:val="center"/>
          </w:tcPr>
          <w:p>
            <w:pPr>
              <w:pStyle w:val="5"/>
            </w:pPr>
          </w:p>
        </w:tc>
        <w:tc>
          <w:tcPr>
            <w:tcW w:w="1578" w:type="pct"/>
            <w:tcBorders>
              <w:top w:val="single" w:color="666666" w:sz="6" w:space="0"/>
              <w:left w:val="single" w:color="666666" w:sz="6" w:space="0"/>
              <w:bottom w:val="single" w:color="666666" w:sz="6" w:space="0"/>
              <w:right w:val="single" w:color="666666" w:sz="6" w:space="0"/>
            </w:tcBorders>
            <w:vAlign w:val="center"/>
          </w:tcPr>
          <w:p>
            <w:pPr>
              <w:pStyle w:val="5"/>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c>
          <w:tcPr>
            <w:tcW w:w="939" w:type="pct"/>
            <w:tcBorders>
              <w:top w:val="single" w:color="666666" w:sz="6" w:space="0"/>
              <w:left w:val="single" w:color="666666" w:sz="6" w:space="0"/>
              <w:bottom w:val="single" w:color="666666" w:sz="6" w:space="0"/>
              <w:right w:val="single" w:color="666666" w:sz="6" w:space="0"/>
            </w:tcBorders>
            <w:vAlign w:val="center"/>
          </w:tcPr>
          <w:p>
            <w:pPr>
              <w:pStyle w:val="5"/>
              <w:jc w:val="right"/>
            </w:pPr>
          </w:p>
        </w:tc>
      </w:tr>
      <w:tr>
        <w:tblPrEx>
          <w:tblCellMar>
            <w:top w:w="0" w:type="dxa"/>
            <w:left w:w="0" w:type="dxa"/>
            <w:bottom w:w="0" w:type="dxa"/>
            <w:right w:w="0" w:type="dxa"/>
          </w:tblCellMar>
        </w:tblPrEx>
        <w:trPr>
          <w:tblCellSpacing w:w="0" w:type="dxa"/>
          <w:jc w:val="center"/>
        </w:trPr>
        <w:tc>
          <w:tcPr>
            <w:tcW w:w="5000" w:type="pct"/>
            <w:gridSpan w:val="7"/>
            <w:vAlign w:val="center"/>
          </w:tcPr>
          <w:p>
            <w:pPr>
              <w:pStyle w:val="5"/>
            </w:pPr>
            <w:r>
              <w:rPr>
                <w:rFonts w:hint="eastAsia"/>
              </w:rPr>
              <w:t xml:space="preserve">注：本表反映部门本年度国有资本经营预算财政拨款支出情况。本表金额转换为万元时，因四舍五入可能存在尾数误差。 </w:t>
            </w:r>
          </w:p>
        </w:tc>
      </w:tr>
    </w:tbl>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说明：我单位没有使用国有资本经营预算安排的支出，故本表无数据。</w:t>
      </w:r>
      <w:r>
        <w:rPr>
          <w:rFonts w:ascii="宋体" w:hAnsi="宋体" w:eastAsia="宋体" w:cs="宋体"/>
          <w:color w:val="000000"/>
          <w:kern w:val="0"/>
          <w:sz w:val="24"/>
          <w:szCs w:val="24"/>
        </w:rPr>
        <w:t xml:space="preserve"> </w:t>
      </w:r>
    </w:p>
    <w:p>
      <w:pPr>
        <w:pStyle w:val="5"/>
        <w:rPr>
          <w:color w:val="000000"/>
        </w:rPr>
      </w:pPr>
    </w:p>
    <w:p>
      <w:pPr>
        <w:pStyle w:val="5"/>
        <w:spacing w:before="0" w:beforeAutospacing="0" w:after="2" w:afterAutospacing="0"/>
        <w:rPr>
          <w:color w:val="000000"/>
        </w:rPr>
      </w:pPr>
      <w:r>
        <w:rPr>
          <w:rFonts w:hint="eastAsia"/>
          <w:color w:val="000000"/>
        </w:rPr>
        <w:br w:type="textWrapping"/>
      </w:r>
    </w:p>
    <w:tbl>
      <w:tblPr>
        <w:tblStyle w:val="6"/>
        <w:tblW w:w="5000" w:type="pct"/>
        <w:jc w:val="center"/>
        <w:tblCellSpacing w:w="0" w:type="dxa"/>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CellMar>
            <w:top w:w="0" w:type="dxa"/>
            <w:left w:w="0" w:type="dxa"/>
            <w:bottom w:w="0" w:type="dxa"/>
            <w:right w:w="0" w:type="dxa"/>
          </w:tblCellMar>
        </w:tblPrEx>
        <w:trPr>
          <w:tblCellSpacing w:w="0" w:type="dxa"/>
          <w:jc w:val="center"/>
        </w:trPr>
        <w:tc>
          <w:tcPr>
            <w:tcW w:w="5000" w:type="pct"/>
            <w:gridSpan w:val="12"/>
            <w:vAlign w:val="center"/>
          </w:tcPr>
          <w:p>
            <w:pPr>
              <w:pStyle w:val="5"/>
              <w:jc w:val="center"/>
              <w:rPr>
                <w:sz w:val="40"/>
                <w:szCs w:val="40"/>
              </w:rPr>
            </w:pPr>
            <w:r>
              <w:rPr>
                <w:rFonts w:hint="eastAsia"/>
                <w:sz w:val="40"/>
                <w:szCs w:val="40"/>
              </w:rPr>
              <w:t xml:space="preserve">财政拨款“三公”经费支出决算表 </w:t>
            </w:r>
          </w:p>
        </w:tc>
      </w:tr>
      <w:tr>
        <w:trPr>
          <w:tblCellSpacing w:w="0" w:type="dxa"/>
          <w:jc w:val="center"/>
        </w:trPr>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416" w:type="pct"/>
            <w:vAlign w:val="center"/>
          </w:tcPr>
          <w:p>
            <w:pPr>
              <w:pStyle w:val="5"/>
            </w:pPr>
          </w:p>
        </w:tc>
        <w:tc>
          <w:tcPr>
            <w:tcW w:w="833" w:type="pct"/>
            <w:gridSpan w:val="2"/>
            <w:vAlign w:val="center"/>
          </w:tcPr>
          <w:p>
            <w:pPr>
              <w:pStyle w:val="5"/>
              <w:jc w:val="right"/>
            </w:pPr>
            <w:r>
              <w:rPr>
                <w:rFonts w:hint="eastAsia"/>
              </w:rPr>
              <w:t xml:space="preserve">公开09表 </w:t>
            </w:r>
          </w:p>
        </w:tc>
      </w:tr>
      <w:tr>
        <w:tblPrEx>
          <w:tblCellMar>
            <w:top w:w="0" w:type="dxa"/>
            <w:left w:w="0" w:type="dxa"/>
            <w:bottom w:w="0" w:type="dxa"/>
            <w:right w:w="0" w:type="dxa"/>
          </w:tblCellMar>
        </w:tblPrEx>
        <w:trPr>
          <w:tblCellSpacing w:w="0" w:type="dxa"/>
          <w:jc w:val="center"/>
        </w:trPr>
        <w:tc>
          <w:tcPr>
            <w:tcW w:w="4166" w:type="pct"/>
            <w:gridSpan w:val="10"/>
            <w:vAlign w:val="center"/>
          </w:tcPr>
          <w:p>
            <w:pPr>
              <w:pStyle w:val="5"/>
            </w:pPr>
            <w:r>
              <w:rPr>
                <w:rFonts w:hint="eastAsia"/>
              </w:rPr>
              <w:t xml:space="preserve">部门：浏阳市统计局 </w:t>
            </w:r>
          </w:p>
        </w:tc>
        <w:tc>
          <w:tcPr>
            <w:tcW w:w="833" w:type="pct"/>
            <w:gridSpan w:val="2"/>
            <w:vAlign w:val="center"/>
          </w:tcPr>
          <w:p>
            <w:pPr>
              <w:pStyle w:val="5"/>
              <w:jc w:val="right"/>
            </w:pPr>
            <w:r>
              <w:rPr>
                <w:rFonts w:hint="eastAsia"/>
              </w:rPr>
              <w:t xml:space="preserve">金额单位：万元 </w:t>
            </w:r>
          </w:p>
        </w:tc>
      </w:tr>
      <w:tr>
        <w:tblPrEx>
          <w:tblCellMar>
            <w:top w:w="0" w:type="dxa"/>
            <w:left w:w="0" w:type="dxa"/>
            <w:bottom w:w="0" w:type="dxa"/>
            <w:right w:w="0" w:type="dxa"/>
          </w:tblCellMar>
        </w:tblPrEx>
        <w:trPr>
          <w:tblCellSpacing w:w="0" w:type="dxa"/>
          <w:jc w:val="center"/>
        </w:trPr>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预算数 </w:t>
            </w:r>
          </w:p>
        </w:tc>
        <w:tc>
          <w:tcPr>
            <w:tcW w:w="2500" w:type="pct"/>
            <w:gridSpan w:val="6"/>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决算数 </w:t>
            </w:r>
          </w:p>
        </w:tc>
      </w:tr>
      <w:tr>
        <w:trPr>
          <w:tblCellSpacing w:w="0" w:type="dxa"/>
          <w:jc w:val="center"/>
        </w:trPr>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公务接待费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合计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因公出国（境）费 </w:t>
            </w:r>
          </w:p>
        </w:tc>
        <w:tc>
          <w:tcPr>
            <w:tcW w:w="1250" w:type="pct"/>
            <w:gridSpan w:val="3"/>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公务用车购置及运行费 </w:t>
            </w:r>
          </w:p>
        </w:tc>
        <w:tc>
          <w:tcPr>
            <w:tcW w:w="0" w:type="pct"/>
            <w:vMerge w:val="restar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公务接待费 </w:t>
            </w:r>
          </w:p>
        </w:tc>
      </w:tr>
      <w:tr>
        <w:tblPrEx>
          <w:tblCellMar>
            <w:top w:w="0" w:type="dxa"/>
            <w:left w:w="0" w:type="dxa"/>
            <w:bottom w:w="0" w:type="dxa"/>
            <w:right w:w="0" w:type="dxa"/>
          </w:tblCellMar>
        </w:tblPrEx>
        <w:trPr>
          <w:tblCellSpacing w:w="0" w:type="dxa"/>
          <w:jc w:val="center"/>
        </w:trPr>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小计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公务用车购置费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公务用车运行费 </w:t>
            </w:r>
          </w:p>
        </w:tc>
        <w:tc>
          <w:tcPr>
            <w:tcW w:w="0" w:type="auto"/>
            <w:vMerge w:val="continue"/>
            <w:tcBorders>
              <w:top w:val="single" w:color="666666" w:sz="6" w:space="0"/>
              <w:left w:val="single" w:color="666666" w:sz="6" w:space="0"/>
              <w:bottom w:val="single" w:color="666666" w:sz="6" w:space="0"/>
              <w:right w:val="single" w:color="666666" w:sz="6"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3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4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5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6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7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8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9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11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center"/>
            </w:pPr>
            <w:r>
              <w:rPr>
                <w:rFonts w:hint="eastAsia"/>
              </w:rPr>
              <w:t xml:space="preserve">12 </w:t>
            </w:r>
          </w:p>
        </w:tc>
      </w:tr>
      <w:tr>
        <w:tblPrEx>
          <w:tblCellMar>
            <w:top w:w="0" w:type="dxa"/>
            <w:left w:w="0" w:type="dxa"/>
            <w:bottom w:w="0" w:type="dxa"/>
            <w:right w:w="0" w:type="dxa"/>
          </w:tblCellMar>
        </w:tblPrEx>
        <w:trPr>
          <w:tblCellSpacing w:w="0" w:type="dxa"/>
          <w:jc w:val="center"/>
        </w:trPr>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1.20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1.20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0.32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0.00 </w:t>
            </w:r>
          </w:p>
        </w:tc>
        <w:tc>
          <w:tcPr>
            <w:tcW w:w="416" w:type="pct"/>
            <w:tcBorders>
              <w:top w:val="single" w:color="666666" w:sz="6" w:space="0"/>
              <w:left w:val="single" w:color="666666" w:sz="6" w:space="0"/>
              <w:bottom w:val="single" w:color="666666" w:sz="6" w:space="0"/>
              <w:right w:val="single" w:color="666666" w:sz="6" w:space="0"/>
            </w:tcBorders>
            <w:vAlign w:val="center"/>
          </w:tcPr>
          <w:p>
            <w:pPr>
              <w:pStyle w:val="5"/>
              <w:jc w:val="right"/>
            </w:pPr>
            <w:r>
              <w:rPr>
                <w:rFonts w:hint="eastAsia"/>
              </w:rPr>
              <w:t xml:space="preserve">0.32 </w:t>
            </w:r>
          </w:p>
        </w:tc>
      </w:tr>
      <w:tr>
        <w:trPr>
          <w:tblCellSpacing w:w="0" w:type="dxa"/>
          <w:jc w:val="center"/>
        </w:trPr>
        <w:tc>
          <w:tcPr>
            <w:tcW w:w="5000" w:type="pct"/>
            <w:gridSpan w:val="12"/>
            <w:vAlign w:val="center"/>
          </w:tcPr>
          <w:p>
            <w:pPr>
              <w:pStyle w:val="5"/>
            </w:pPr>
            <w:r>
              <w:rPr>
                <w:rFonts w:hint="eastAsia"/>
              </w:rPr>
              <w:t xml:space="preserve">注：本表反映部门本年度财政拨款“三公”经费支出预决算情况。其中，预算数为“三公”经费全年预算数，反映按规定程序调整后的预算数；决算数是包括当年财政拨款和以前年度结转资金安排的实际支出。本表金额转换为万元时，因四舍五入可能存在尾数误差。 </w:t>
            </w:r>
          </w:p>
        </w:tc>
      </w:tr>
    </w:tbl>
    <w:p>
      <w:pPr>
        <w:pStyle w:val="5"/>
        <w:rPr>
          <w:color w:val="000000"/>
        </w:rPr>
      </w:pPr>
    </w:p>
    <w:p>
      <w:pPr>
        <w:widowControl/>
        <w:jc w:val="left"/>
        <w:rPr>
          <w:rFonts w:ascii="宋体" w:hAnsi="宋体" w:eastAsia="宋体" w:cs="宋体"/>
          <w:color w:val="000000"/>
          <w:kern w:val="0"/>
          <w:sz w:val="24"/>
          <w:szCs w:val="24"/>
        </w:rPr>
        <w:sectPr>
          <w:pgSz w:w="16838" w:h="11906"/>
          <w:pgMar w:top="1080" w:right="400" w:bottom="1080" w:left="400" w:header="851" w:footer="992" w:gutter="0"/>
          <w:cols w:space="720" w:num="1"/>
          <w:docGrid w:type="lines" w:linePitch="160" w:charSpace="0"/>
        </w:sectPr>
      </w:pPr>
    </w:p>
    <w:p>
      <w:pPr>
        <w:spacing w:after="2"/>
        <w:jc w:val="center"/>
        <w:rPr>
          <w:color w:val="000000"/>
          <w:szCs w:val="21"/>
        </w:rPr>
      </w:pPr>
      <w:r>
        <w:rPr>
          <w:rFonts w:hint="eastAsia" w:ascii="宋体" w:hAnsi="宋体" w:eastAsia="宋体"/>
          <w:b/>
          <w:bCs/>
          <w:color w:val="000000"/>
          <w:sz w:val="36"/>
          <w:szCs w:val="36"/>
        </w:rPr>
        <w:t>第三部分 2022年度部门决算情况说明</w:t>
      </w:r>
      <w:r>
        <w:rPr>
          <w:rFonts w:hint="eastAsia"/>
          <w:color w:val="000000"/>
          <w:szCs w:val="21"/>
        </w:rPr>
        <w:t xml:space="preserve"> </w:t>
      </w:r>
    </w:p>
    <w:p>
      <w:pPr>
        <w:rPr>
          <w:color w:val="000000"/>
        </w:rPr>
      </w:pPr>
    </w:p>
    <w:p>
      <w:pPr>
        <w:pStyle w:val="9"/>
        <w:spacing w:after="2"/>
        <w:ind w:firstLine="641"/>
        <w:rPr>
          <w:color w:val="000000"/>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2022年度收、支总计1,171.5万元。与上一年度相比，收、支总计各增加194.94万元，增长19.96%。主要原因是</w:t>
      </w:r>
      <w:r>
        <w:rPr>
          <w:rFonts w:hint="eastAsia" w:ascii="宋体" w:hAnsi="宋体" w:eastAsia="宋体"/>
          <w:color w:val="000000"/>
          <w:sz w:val="32"/>
          <w:szCs w:val="32"/>
          <w:lang w:eastAsia="zh-CN"/>
        </w:rPr>
        <w:t>增加</w:t>
      </w:r>
      <w:r>
        <w:rPr>
          <w:rStyle w:val="11"/>
          <w:rFonts w:hint="eastAsia" w:ascii="宋体" w:hAnsi="宋体" w:eastAsia="宋体"/>
          <w:color w:val="000000"/>
          <w:sz w:val="32"/>
          <w:szCs w:val="32"/>
        </w:rPr>
        <w:t>第七次全国人口普查经费、百强进位工作经费增加、基本支出政策性增资和新增人员经费</w:t>
      </w:r>
      <w:r>
        <w:rPr>
          <w:rFonts w:hint="eastAsia" w:ascii="宋体" w:hAnsi="宋体" w:eastAsia="宋体"/>
          <w:color w:val="000000"/>
          <w:sz w:val="32"/>
          <w:szCs w:val="32"/>
        </w:rPr>
        <w:t>。</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2022年度收入合计1,171.5万元，其中：财政拨款收入1,169.22万元，占99.81%；上级补助收入0万元，占0%；事业收入0万元，占0%；经营收入0万元，占0%；附属单位上缴收入0万元，占0%；其他收入2.28万元，占0.19%。</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2022年度支出合计1,171.5万元，其中：基本支出758.06万元，占64.71%；项目支出413.44万元，占35.29%；上缴上级支出0万元，占0%；经营支出0万元，占0%；对附属单位补助支出0万元，占0%。</w:t>
      </w:r>
    </w:p>
    <w:p>
      <w:pPr>
        <w:pStyle w:val="9"/>
        <w:spacing w:after="2"/>
        <w:ind w:firstLine="640"/>
        <w:rPr>
          <w:color w:val="000000"/>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2022年度财政拨款收、支总计1,169.22万元。与上一年度相比，财政拨款收、支总计各增加202.66万元，增长20.97%。主要原因是</w:t>
      </w:r>
      <w:r>
        <w:rPr>
          <w:rFonts w:hint="eastAsia" w:ascii="宋体" w:hAnsi="宋体" w:eastAsia="宋体"/>
          <w:color w:val="000000"/>
          <w:sz w:val="32"/>
          <w:szCs w:val="32"/>
          <w:lang w:eastAsia="zh-CN"/>
        </w:rPr>
        <w:t>增加</w:t>
      </w:r>
      <w:r>
        <w:rPr>
          <w:rStyle w:val="11"/>
          <w:rFonts w:hint="eastAsia" w:ascii="宋体" w:hAnsi="宋体" w:eastAsia="宋体"/>
          <w:color w:val="000000"/>
          <w:sz w:val="32"/>
          <w:szCs w:val="32"/>
        </w:rPr>
        <w:t>第七次全国人口普查经费、百强进位工作经费增加、基本支出政策性增资和新增人员经费</w:t>
      </w:r>
      <w:r>
        <w:rPr>
          <w:rFonts w:hint="eastAsia" w:ascii="宋体" w:hAnsi="宋体" w:eastAsia="宋体"/>
          <w:color w:val="000000"/>
          <w:sz w:val="32"/>
          <w:szCs w:val="32"/>
        </w:rPr>
        <w:t>。</w:t>
      </w:r>
    </w:p>
    <w:p>
      <w:pPr>
        <w:pStyle w:val="9"/>
        <w:spacing w:after="2"/>
        <w:ind w:firstLine="640"/>
        <w:rPr>
          <w:color w:val="000000"/>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2022年度财政拨款支出1,169.22万元，占本年支出合计的99.81%。与上一年度相比，财政拨款支出增加202.66万元，增长20.97%。主要是因为</w:t>
      </w:r>
      <w:r>
        <w:rPr>
          <w:rStyle w:val="11"/>
          <w:rFonts w:hint="eastAsia" w:ascii="宋体" w:hAnsi="宋体" w:eastAsia="宋体"/>
          <w:color w:val="000000"/>
          <w:sz w:val="32"/>
          <w:szCs w:val="32"/>
        </w:rPr>
        <w:t>第七次全国人口普查经费、百强进位工作经费增加、基本支出政策性增资和新增人员经费</w:t>
      </w:r>
      <w:r>
        <w:rPr>
          <w:rFonts w:hint="eastAsia" w:ascii="宋体" w:hAnsi="宋体" w:eastAsia="宋体"/>
          <w:color w:val="000000"/>
          <w:sz w:val="32"/>
          <w:szCs w:val="32"/>
        </w:rPr>
        <w:t>。</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（二）财政拨款支出决算结构情况</w:t>
      </w:r>
    </w:p>
    <w:p>
      <w:pPr>
        <w:pStyle w:val="9"/>
        <w:spacing w:after="2"/>
        <w:ind w:firstLine="640"/>
        <w:rPr>
          <w:color w:val="000000"/>
          <w:sz w:val="27"/>
          <w:szCs w:val="27"/>
        </w:rPr>
      </w:pPr>
      <w:r>
        <w:rPr>
          <w:rFonts w:hint="eastAsia" w:ascii="宋体" w:hAnsi="宋体" w:eastAsia="宋体"/>
          <w:color w:val="000000"/>
          <w:sz w:val="32"/>
          <w:szCs w:val="32"/>
        </w:rPr>
        <w:t>2022年度财政拨款支出1,169.22万元，主要用于以下方面：一般公共服务支出1,092.22万元，占93.42%；社会保障和就业支出76.99万元，占6.58%。</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9"/>
        <w:spacing w:after="2"/>
        <w:ind w:firstLine="640"/>
        <w:rPr>
          <w:color w:val="000000"/>
          <w:sz w:val="27"/>
          <w:szCs w:val="27"/>
        </w:rPr>
      </w:pPr>
      <w:r>
        <w:rPr>
          <w:rFonts w:hint="eastAsia" w:ascii="宋体" w:hAnsi="宋体" w:eastAsia="宋体"/>
          <w:color w:val="000000"/>
          <w:sz w:val="32"/>
          <w:szCs w:val="32"/>
        </w:rPr>
        <w:t>2022年度财政拨款支出年初预算数为715.75万元，支出决算数为1,169.22万元，完成年初预算的163.35%，其中：</w:t>
      </w:r>
      <w:r>
        <w:rPr>
          <w:rFonts w:hint="eastAsia"/>
          <w:color w:val="000000"/>
          <w:sz w:val="27"/>
          <w:szCs w:val="27"/>
        </w:rPr>
        <w:t xml:space="preserve"> </w:t>
      </w:r>
    </w:p>
    <w:p>
      <w:pPr>
        <w:pStyle w:val="9"/>
        <w:spacing w:before="100" w:after="100"/>
        <w:ind w:firstLine="855"/>
        <w:rPr>
          <w:color w:val="000000"/>
        </w:rPr>
      </w:pPr>
      <w:r>
        <w:rPr>
          <w:rStyle w:val="8"/>
          <w:rFonts w:hint="eastAsia" w:ascii="宋体" w:hAnsi="宋体" w:eastAsia="宋体"/>
          <w:color w:val="000000"/>
          <w:sz w:val="32"/>
          <w:szCs w:val="32"/>
        </w:rPr>
        <w:t>1、一般公共服务支出（类）发展与改革事务（款）其他发展与改革事务支出（项）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年初预算为0万元，支出决算为8.98万元，无完成预算数百分比（备注：由于预算数为0万元，无法计算完成预算的百分比）。决算数大于年初预算数的主要原因是：业务</w:t>
      </w:r>
      <w:r>
        <w:rPr>
          <w:rStyle w:val="11"/>
          <w:rFonts w:hint="eastAsia" w:ascii="宋体" w:hAnsi="宋体" w:eastAsia="宋体"/>
          <w:color w:val="000000"/>
          <w:sz w:val="32"/>
          <w:szCs w:val="32"/>
        </w:rPr>
        <w:t>工作经费增加</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2、一般公共服务支出（类）统计信息事务（款）行政运行（项）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年初预算为545.65万元，支出决算为681.07万元，完成年初预算的124.82%。决算数大于年初预算数的主要原因是：</w:t>
      </w:r>
      <w:r>
        <w:rPr>
          <w:rStyle w:val="11"/>
          <w:rFonts w:hint="eastAsia" w:ascii="宋体" w:hAnsi="宋体" w:eastAsia="宋体"/>
          <w:color w:val="000000"/>
          <w:sz w:val="32"/>
          <w:szCs w:val="32"/>
        </w:rPr>
        <w:t>政策性增资和新增人员经费</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3、一般公共服务支出（类）统计信息事务（款）一般行政管理事务（项）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年初预算为90万元，支出决算为258.53万元，完成年初预算的287.26%。决算数大于年初预算数的主要原因是：</w:t>
      </w:r>
      <w:r>
        <w:rPr>
          <w:rStyle w:val="11"/>
          <w:rFonts w:hint="eastAsia" w:ascii="宋体" w:hAnsi="宋体" w:eastAsia="宋体"/>
          <w:color w:val="000000"/>
          <w:sz w:val="32"/>
          <w:szCs w:val="32"/>
        </w:rPr>
        <w:t>追加重点项目民意调查中心搬迁经费、百强进位工作经费</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4、一般公共服务支出（类）统计信息事务（款）专项普查活动（项）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年初预算为4万元，支出决算为112.11万元，完成年初预算的2,802.75%。决算数大于年初预算数的主要原因是：追加</w:t>
      </w:r>
      <w:r>
        <w:rPr>
          <w:rStyle w:val="11"/>
          <w:rFonts w:hint="eastAsia" w:ascii="宋体" w:hAnsi="宋体" w:eastAsia="宋体"/>
          <w:color w:val="000000"/>
          <w:sz w:val="32"/>
          <w:szCs w:val="32"/>
        </w:rPr>
        <w:t>第七次人口普查经费</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5、一般公共服务支出（类）统计信息事务（款）统计抽样调查（项）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年初预算为44.42万元，支出决算为31.55万元，完成年初预算的71.03%。决算数小于年初预算数的主要原因是：</w:t>
      </w:r>
      <w:r>
        <w:rPr>
          <w:rStyle w:val="11"/>
          <w:rFonts w:hint="eastAsia" w:ascii="宋体" w:hAnsi="宋体" w:eastAsia="宋体"/>
          <w:color w:val="000000"/>
          <w:sz w:val="32"/>
          <w:szCs w:val="32"/>
        </w:rPr>
        <w:t>因工作需要调整</w:t>
      </w:r>
      <w:r>
        <w:rPr>
          <w:rStyle w:val="11"/>
          <w:rFonts w:hint="eastAsia" w:ascii="宋体" w:hAnsi="宋体" w:eastAsia="宋体"/>
          <w:color w:val="000000"/>
          <w:sz w:val="32"/>
          <w:szCs w:val="32"/>
          <w:lang w:eastAsia="zh-CN"/>
        </w:rPr>
        <w:t>项目</w:t>
      </w:r>
      <w:r>
        <w:rPr>
          <w:rStyle w:val="11"/>
          <w:rFonts w:hint="eastAsia" w:ascii="宋体" w:hAnsi="宋体" w:eastAsia="宋体"/>
          <w:color w:val="000000"/>
          <w:sz w:val="32"/>
          <w:szCs w:val="32"/>
        </w:rPr>
        <w:t>目</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6、社会保障和就业支出（类）行政事业单位养老支出（款）行政单位离退休（项）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年初预算为31.68万元，支出决算为69.18万元，完成年初预算的218.37%。决算数大于年初预算数的主要原因是：</w:t>
      </w:r>
      <w:r>
        <w:rPr>
          <w:rStyle w:val="11"/>
          <w:rFonts w:hint="eastAsia" w:ascii="宋体" w:hAnsi="宋体" w:eastAsia="宋体"/>
          <w:color w:val="000000"/>
          <w:sz w:val="32"/>
          <w:szCs w:val="32"/>
        </w:rPr>
        <w:t>追加退休人员待遇提标部分经费</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855"/>
        <w:rPr>
          <w:color w:val="000000"/>
        </w:rPr>
      </w:pPr>
      <w:r>
        <w:rPr>
          <w:rStyle w:val="8"/>
          <w:rFonts w:hint="eastAsia" w:ascii="宋体" w:hAnsi="宋体" w:eastAsia="宋体"/>
          <w:color w:val="000000"/>
          <w:sz w:val="32"/>
          <w:szCs w:val="32"/>
        </w:rPr>
        <w:t>7、社会保障和就业支出（类）行政事业单位养老支出（款）机关事业单位职业年金缴费支出（项）</w:t>
      </w:r>
      <w:r>
        <w:rPr>
          <w:rFonts w:hint="eastAsia"/>
          <w:color w:val="000000"/>
        </w:rPr>
        <w:t xml:space="preserve"> </w:t>
      </w:r>
    </w:p>
    <w:p>
      <w:pPr>
        <w:pStyle w:val="9"/>
        <w:spacing w:before="100" w:after="100"/>
        <w:ind w:firstLine="855"/>
        <w:rPr>
          <w:color w:val="000000"/>
        </w:rPr>
      </w:pPr>
      <w:r>
        <w:rPr>
          <w:rFonts w:hint="eastAsia" w:ascii="宋体" w:hAnsi="宋体" w:eastAsia="宋体"/>
          <w:color w:val="000000"/>
          <w:sz w:val="32"/>
          <w:szCs w:val="32"/>
        </w:rPr>
        <w:t>年初预算为0万元，支出决算为7.81万元，无完成预算数百分比（备注：由于预算数为0万元，无法计算完成预算的百分比）。决算数大于年初预算数的主要原因是：</w:t>
      </w:r>
      <w:r>
        <w:rPr>
          <w:rStyle w:val="11"/>
          <w:rFonts w:hint="eastAsia" w:ascii="宋体" w:hAnsi="宋体" w:eastAsia="宋体"/>
          <w:color w:val="000000"/>
          <w:sz w:val="32"/>
          <w:szCs w:val="32"/>
        </w:rPr>
        <w:t>退休人员退休应交纳在职期间职业年金，此项经费先由单位垫付，2022年财政追加此项经费</w:t>
      </w:r>
      <w:r>
        <w:rPr>
          <w:rFonts w:hint="eastAsia" w:ascii="宋体" w:hAnsi="宋体" w:eastAsia="宋体"/>
          <w:color w:val="000000"/>
          <w:sz w:val="32"/>
          <w:szCs w:val="32"/>
        </w:rPr>
        <w:t>。</w:t>
      </w:r>
      <w:r>
        <w:rPr>
          <w:rFonts w:hint="eastAsia"/>
          <w:color w:val="000000"/>
        </w:rPr>
        <w:t xml:space="preserve"> </w:t>
      </w:r>
    </w:p>
    <w:p>
      <w:pPr>
        <w:pStyle w:val="9"/>
        <w:spacing w:after="2"/>
        <w:ind w:firstLine="641"/>
        <w:rPr>
          <w:color w:val="000000"/>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2022年度财政拨款基本支出758.06万元，其中：</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color w:val="000000"/>
          <w:sz w:val="32"/>
          <w:szCs w:val="32"/>
        </w:rPr>
        <w:t>人员经费733.36万元，占基本支出的96.74%，主要包括：基本工资、津贴补贴、奖金、机关事业单位基本养老保险缴费、职业年金缴费、职工基本医疗保险缴费、公务员医疗补助缴费、其他社会保障缴费、住房公积金、退休费。</w:t>
      </w:r>
    </w:p>
    <w:p>
      <w:pPr>
        <w:pStyle w:val="9"/>
        <w:spacing w:after="2"/>
        <w:ind w:firstLine="641"/>
        <w:rPr>
          <w:color w:val="000000"/>
          <w:sz w:val="27"/>
          <w:szCs w:val="27"/>
        </w:rPr>
      </w:pPr>
      <w:r>
        <w:rPr>
          <w:rFonts w:hint="eastAsia" w:ascii="宋体" w:hAnsi="宋体" w:eastAsia="宋体"/>
          <w:color w:val="000000"/>
          <w:sz w:val="32"/>
          <w:szCs w:val="32"/>
        </w:rPr>
        <w:t>公用经费24.7万元，占基本支出的3.26%。办公费、劳务费、工会经费、福利费、其他交通费用、其他商品和服务支出。</w:t>
      </w:r>
      <w:r>
        <w:rPr>
          <w:rFonts w:hint="eastAsia"/>
          <w:color w:val="000000"/>
          <w:sz w:val="27"/>
          <w:szCs w:val="27"/>
        </w:rPr>
        <w:t xml:space="preserve"> </w:t>
      </w:r>
    </w:p>
    <w:p>
      <w:pPr>
        <w:pStyle w:val="9"/>
        <w:spacing w:after="2"/>
        <w:ind w:firstLine="641"/>
        <w:rPr>
          <w:color w:val="000000"/>
          <w:sz w:val="27"/>
          <w:szCs w:val="27"/>
        </w:rPr>
      </w:pPr>
      <w:r>
        <w:rPr>
          <w:rFonts w:hint="eastAsia" w:ascii="宋体" w:hAnsi="宋体" w:eastAsia="宋体"/>
          <w:b/>
          <w:bCs/>
          <w:color w:val="000000"/>
          <w:sz w:val="32"/>
          <w:szCs w:val="32"/>
        </w:rPr>
        <w:t>七、财政拨款三公经费支出决算情况说明</w:t>
      </w:r>
      <w:r>
        <w:rPr>
          <w:rFonts w:hint="eastAsia"/>
          <w:color w:val="000000"/>
          <w:sz w:val="27"/>
          <w:szCs w:val="27"/>
        </w:rPr>
        <w:t xml:space="preserve"> </w:t>
      </w:r>
    </w:p>
    <w:p>
      <w:pPr>
        <w:pStyle w:val="9"/>
        <w:spacing w:before="100" w:after="100"/>
        <w:ind w:firstLine="640"/>
        <w:rPr>
          <w:color w:val="000000"/>
        </w:rPr>
      </w:pPr>
      <w:r>
        <w:rPr>
          <w:rFonts w:hint="eastAsia" w:ascii="宋体" w:hAnsi="宋体" w:eastAsia="宋体"/>
          <w:b/>
          <w:bCs/>
          <w:color w:val="000000"/>
          <w:sz w:val="32"/>
          <w:szCs w:val="32"/>
        </w:rPr>
        <w:t>（一）“三公”经费财政拨款支出决算总体情况说明</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2022年度“三公”经费财政拨款支出预算为1.2万元，支出决算为0.32万元，完成预算的26.67%，其中：</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公务接待费支出预算为1.2万元，支出决算为0.32万元，完成预算的26.67%，决算数小于预算数的主要原因是</w:t>
      </w:r>
      <w:r>
        <w:rPr>
          <w:rStyle w:val="11"/>
          <w:rFonts w:hint="eastAsia" w:ascii="宋体" w:hAnsi="宋体" w:eastAsia="宋体"/>
          <w:color w:val="000000"/>
          <w:sz w:val="32"/>
          <w:szCs w:val="32"/>
        </w:rPr>
        <w:t>严格执行中央八项规定，严格控制公务接待费支出</w:t>
      </w:r>
      <w:r>
        <w:rPr>
          <w:rFonts w:hint="eastAsia" w:ascii="宋体" w:hAnsi="宋体" w:eastAsia="宋体"/>
          <w:color w:val="000000"/>
          <w:sz w:val="32"/>
          <w:szCs w:val="32"/>
        </w:rPr>
        <w:t>，与上年相比减少0.49万元，下降60.49%，下降的主要原因是</w:t>
      </w:r>
      <w:r>
        <w:rPr>
          <w:rStyle w:val="11"/>
          <w:rFonts w:hint="eastAsia" w:ascii="宋体" w:hAnsi="宋体" w:eastAsia="宋体"/>
          <w:color w:val="000000"/>
          <w:sz w:val="32"/>
          <w:szCs w:val="32"/>
        </w:rPr>
        <w:t>上级检查来客人数减少</w:t>
      </w:r>
      <w:r>
        <w:rPr>
          <w:rFonts w:hint="eastAsia" w:ascii="宋体" w:hAnsi="宋体" w:eastAsia="宋体"/>
          <w:color w:val="000000"/>
          <w:sz w:val="32"/>
          <w:szCs w:val="32"/>
        </w:rPr>
        <w:t>。</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公务用车购置费支出预算为0万元，支出决算为0万元，决算数与预算数一致，我单位严格按预算执行决算，公务用车购置费支出与上年持平。</w:t>
      </w:r>
    </w:p>
    <w:p>
      <w:pPr>
        <w:pStyle w:val="9"/>
        <w:spacing w:before="100" w:after="100"/>
        <w:ind w:firstLine="640"/>
        <w:rPr>
          <w:color w:val="000000"/>
        </w:rPr>
      </w:pPr>
      <w:r>
        <w:rPr>
          <w:rFonts w:hint="eastAsia" w:ascii="宋体" w:hAnsi="宋体" w:eastAsia="宋体"/>
          <w:color w:val="000000"/>
          <w:sz w:val="32"/>
          <w:szCs w:val="32"/>
        </w:rPr>
        <w:t>公务用车运行维护费支出预算为0万元，支出决算为0万元，决算数与预算数一致，我单位严格按预算执行决算，公务用车运行维护费支出与上年持平。</w:t>
      </w:r>
    </w:p>
    <w:p>
      <w:pPr>
        <w:pStyle w:val="9"/>
        <w:spacing w:before="100" w:after="100"/>
        <w:ind w:firstLine="640"/>
        <w:rPr>
          <w:color w:val="000000"/>
        </w:rPr>
      </w:pPr>
      <w:r>
        <w:rPr>
          <w:rFonts w:hint="eastAsia" w:ascii="宋体" w:hAnsi="宋体" w:eastAsia="宋体"/>
          <w:b/>
          <w:bCs/>
          <w:color w:val="000000"/>
          <w:sz w:val="32"/>
          <w:szCs w:val="32"/>
        </w:rPr>
        <w:t>（二）“三公”经费财政拨款支出决算具体情况说明</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2022年度“三公”经费财政拨款支出决算中，公务接待费支出决算0.32万元，占100%，因公出国（境）费支出决算0万元，占0%，公务用车购置费及运行维护费支出决算0万元，占0%。其中：</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1、因公出国（境）费支出决算为0万元，全年安排因公出国（境）团组0个，累计0人次，我单位2022年度无因公出国（境）费支出。</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2、公务接待费支出决算为0.32万元，全年共接待来访团组5个、来宾42人次，主要是</w:t>
      </w:r>
      <w:r>
        <w:rPr>
          <w:rStyle w:val="11"/>
          <w:rFonts w:hint="eastAsia" w:ascii="宋体" w:hAnsi="宋体" w:eastAsia="宋体"/>
          <w:color w:val="000000"/>
          <w:sz w:val="32"/>
          <w:szCs w:val="32"/>
        </w:rPr>
        <w:t>上级领导来浏调研、检查统计工作，核查第七次人口普查工作等</w:t>
      </w:r>
      <w:r>
        <w:rPr>
          <w:rFonts w:hint="eastAsia" w:ascii="宋体" w:hAnsi="宋体" w:eastAsia="宋体"/>
          <w:color w:val="000000"/>
          <w:sz w:val="32"/>
          <w:szCs w:val="32"/>
        </w:rPr>
        <w:t>发生的接待支出。</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3、公务用车购置费及运行维护费支出决算为0万元，其中：公务用车购置费0万元，更新公务用车0辆。公务用车运行维护费0万元，截至2022年12月31日，我单位开支财政拨款的公务用车保有量为0辆。我单位2022年度无公务用车购置费及运行维护费支出。</w:t>
      </w:r>
      <w:r>
        <w:rPr>
          <w:rFonts w:hint="eastAsia"/>
          <w:color w:val="000000"/>
        </w:rPr>
        <w:t xml:space="preserve"> </w:t>
      </w:r>
    </w:p>
    <w:p>
      <w:pPr>
        <w:pStyle w:val="9"/>
        <w:spacing w:before="100" w:after="100"/>
        <w:ind w:firstLine="640"/>
        <w:rPr>
          <w:color w:val="000000"/>
        </w:rPr>
      </w:pPr>
      <w:r>
        <w:rPr>
          <w:rFonts w:hint="eastAsia" w:ascii="宋体" w:hAnsi="宋体" w:eastAsia="宋体"/>
          <w:b/>
          <w:bCs/>
          <w:color w:val="000000"/>
          <w:sz w:val="32"/>
          <w:szCs w:val="32"/>
        </w:rPr>
        <w:t>八、政府性基金预算收入支出决算情况说明</w:t>
      </w:r>
      <w:r>
        <w:rPr>
          <w:rFonts w:hint="eastAsia"/>
          <w:color w:val="000000"/>
        </w:rPr>
        <w:t xml:space="preserve"> </w:t>
      </w:r>
    </w:p>
    <w:p>
      <w:pPr>
        <w:pStyle w:val="9"/>
        <w:spacing w:before="100" w:after="100"/>
        <w:ind w:firstLine="640"/>
        <w:rPr>
          <w:color w:val="000000"/>
        </w:rPr>
      </w:pPr>
      <w:r>
        <w:rPr>
          <w:rFonts w:hint="eastAsia" w:ascii="宋体" w:hAnsi="宋体" w:eastAsia="宋体"/>
          <w:color w:val="000000"/>
          <w:sz w:val="32"/>
          <w:szCs w:val="32"/>
        </w:rPr>
        <w:t xml:space="preserve">浏阳市统计局2022年度没有政府性基金收入，也没有使用政府性基金安排的支出，并已公开空表。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九、国有资本经营预算收入支出决算情况说明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color w:val="000000"/>
          <w:sz w:val="32"/>
          <w:szCs w:val="32"/>
        </w:rPr>
        <w:t xml:space="preserve">浏阳市统计局2022年度没有国有资本经营预算收入，也没有使用国有资本经营预算安排的支出，并已公开空表。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十、关于机关运行经费支出说明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color w:val="000000"/>
          <w:sz w:val="32"/>
          <w:szCs w:val="32"/>
        </w:rPr>
        <w:t>浏阳市统计局2022年度机关运行经费支出24.7万元，比年初预算数减少39.3万元，下降61.41%。主要原因是：</w:t>
      </w:r>
      <w:r>
        <w:rPr>
          <w:rStyle w:val="11"/>
          <w:rFonts w:hint="eastAsia" w:ascii="宋体" w:hAnsi="宋体" w:eastAsia="宋体"/>
          <w:color w:val="000000"/>
          <w:sz w:val="32"/>
          <w:szCs w:val="32"/>
        </w:rPr>
        <w:t>严格执行中央八项规定，厉行节约，有效降低行政运行成本</w:t>
      </w:r>
      <w:r>
        <w:rPr>
          <w:rFonts w:hint="eastAsia" w:ascii="宋体" w:hAnsi="宋体" w:eastAsia="宋体"/>
          <w:color w:val="000000"/>
          <w:sz w:val="32"/>
          <w:szCs w:val="32"/>
        </w:rPr>
        <w:t xml:space="preserve">。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十一、一般性支出情况说明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color w:val="000000"/>
          <w:sz w:val="32"/>
          <w:szCs w:val="32"/>
        </w:rPr>
        <w:t>2022年本部门会议费支出1.11万元，用于召开</w:t>
      </w:r>
      <w:r>
        <w:rPr>
          <w:rStyle w:val="11"/>
          <w:rFonts w:hint="eastAsia" w:ascii="宋体" w:hAnsi="宋体" w:eastAsia="宋体"/>
          <w:color w:val="000000"/>
          <w:sz w:val="32"/>
          <w:szCs w:val="32"/>
        </w:rPr>
        <w:t>经济指标分析会议，人口普查相关工作会议，统计报表工作相关会议</w:t>
      </w:r>
      <w:r>
        <w:rPr>
          <w:rFonts w:hint="eastAsia" w:ascii="宋体" w:hAnsi="宋体" w:eastAsia="宋体"/>
          <w:color w:val="000000"/>
          <w:sz w:val="32"/>
          <w:szCs w:val="32"/>
        </w:rPr>
        <w:t>，人数</w:t>
      </w:r>
      <w:r>
        <w:rPr>
          <w:rStyle w:val="11"/>
          <w:rFonts w:hint="eastAsia" w:ascii="宋体" w:hAnsi="宋体" w:eastAsia="宋体"/>
          <w:color w:val="000000"/>
          <w:sz w:val="32"/>
          <w:szCs w:val="32"/>
        </w:rPr>
        <w:t>198</w:t>
      </w:r>
      <w:r>
        <w:rPr>
          <w:rFonts w:hint="eastAsia" w:ascii="宋体" w:hAnsi="宋体" w:eastAsia="宋体"/>
          <w:color w:val="000000"/>
          <w:sz w:val="32"/>
          <w:szCs w:val="32"/>
        </w:rPr>
        <w:t>人，会议内容为</w:t>
      </w:r>
      <w:r>
        <w:rPr>
          <w:rStyle w:val="11"/>
          <w:rFonts w:hint="eastAsia" w:ascii="宋体" w:hAnsi="宋体" w:eastAsia="宋体"/>
          <w:color w:val="000000"/>
          <w:sz w:val="32"/>
          <w:szCs w:val="32"/>
        </w:rPr>
        <w:t>经济指标分析，人口普查相关工作，统计报表工作</w:t>
      </w:r>
      <w:r>
        <w:rPr>
          <w:rFonts w:hint="eastAsia" w:ascii="宋体" w:hAnsi="宋体" w:eastAsia="宋体"/>
          <w:color w:val="000000"/>
          <w:sz w:val="32"/>
          <w:szCs w:val="32"/>
        </w:rPr>
        <w:t>。2022年本部门培训费支出1.99万元，用于开展</w:t>
      </w:r>
      <w:r>
        <w:rPr>
          <w:rStyle w:val="11"/>
          <w:rFonts w:hint="eastAsia" w:ascii="宋体" w:hAnsi="宋体" w:eastAsia="宋体"/>
          <w:color w:val="000000"/>
          <w:sz w:val="32"/>
          <w:szCs w:val="32"/>
        </w:rPr>
        <w:t>统计执法，定报、年报业务培训，人口普查培训</w:t>
      </w:r>
      <w:r>
        <w:rPr>
          <w:rFonts w:hint="eastAsia" w:ascii="宋体" w:hAnsi="宋体" w:eastAsia="宋体"/>
          <w:color w:val="000000"/>
          <w:sz w:val="32"/>
          <w:szCs w:val="32"/>
        </w:rPr>
        <w:t>，人数</w:t>
      </w:r>
      <w:r>
        <w:rPr>
          <w:rStyle w:val="11"/>
          <w:rFonts w:hint="eastAsia" w:ascii="宋体" w:hAnsi="宋体" w:eastAsia="宋体"/>
          <w:color w:val="000000"/>
          <w:sz w:val="32"/>
          <w:szCs w:val="32"/>
        </w:rPr>
        <w:t>390</w:t>
      </w:r>
      <w:r>
        <w:rPr>
          <w:rFonts w:hint="eastAsia" w:ascii="宋体" w:hAnsi="宋体" w:eastAsia="宋体"/>
          <w:color w:val="000000"/>
          <w:sz w:val="32"/>
          <w:szCs w:val="32"/>
        </w:rPr>
        <w:t>人，培训内容为</w:t>
      </w:r>
      <w:r>
        <w:rPr>
          <w:rStyle w:val="11"/>
          <w:rFonts w:hint="eastAsia" w:ascii="宋体" w:hAnsi="宋体" w:eastAsia="宋体"/>
          <w:color w:val="000000"/>
          <w:sz w:val="32"/>
          <w:szCs w:val="32"/>
        </w:rPr>
        <w:t>统计执法，定报、年报业务培训，人口普查培训</w:t>
      </w:r>
      <w:r>
        <w:rPr>
          <w:rFonts w:hint="eastAsia" w:ascii="宋体" w:hAnsi="宋体" w:eastAsia="宋体"/>
          <w:color w:val="000000"/>
          <w:sz w:val="32"/>
          <w:szCs w:val="32"/>
        </w:rPr>
        <w:t>。未举办节庆、晚会、论坛、赛事活动等。</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十二、关于政府采购支出说明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color w:val="000000"/>
          <w:sz w:val="32"/>
          <w:szCs w:val="32"/>
        </w:rPr>
        <w:t xml:space="preserve">浏阳市统计局2022年度政府采购支出总额8.08万元，其中：政府采购货物支出8.08万元、政府采购工程支出0万元、政府采购服务支出0万元。授予中小企业合同金额8.08万元，占政府采购支出总额的100%，其中：授予小微企业合同金额8.08万元，占政府采购支出总额的100%。货物采购授予中小企业合同金额占货物支出金额的100%，工程采购授予中小企业合同金额无占工程支出总额百分比（由于工程支出总额为0万元，无法计算占工程支出总额的百分比），服务采购授予中小企业合同金额无占服务支出总额百分比（由于服务支出总额为0万元，无法计算占服务支出总额的百分比）。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十三、关于国有资产占用情况说明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color w:val="000000"/>
          <w:sz w:val="32"/>
          <w:szCs w:val="32"/>
        </w:rPr>
        <w:t>截至2022年12月31日，浏阳市统计局共有车辆0辆（台），其中：副部（省）级及以上领导用车0辆、主要领导干部用车0辆、机要通信用车0辆、应急保障用车0辆、执法执勤用车0辆、特种专业技术用车0辆、其他用车0辆；单价50万元（含）以上通用设备</w:t>
      </w:r>
      <w:r>
        <w:rPr>
          <w:rStyle w:val="11"/>
          <w:rFonts w:hint="eastAsia" w:ascii="宋体" w:hAnsi="宋体" w:eastAsia="宋体"/>
          <w:color w:val="000000"/>
          <w:sz w:val="32"/>
          <w:szCs w:val="32"/>
        </w:rPr>
        <w:t>0</w:t>
      </w:r>
      <w:r>
        <w:rPr>
          <w:rFonts w:hint="eastAsia" w:ascii="宋体" w:hAnsi="宋体" w:eastAsia="宋体"/>
          <w:color w:val="000000"/>
          <w:sz w:val="32"/>
          <w:szCs w:val="32"/>
        </w:rPr>
        <w:t>台（套），单价100万元（含）以上专用设备0台（套）。</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十四、关于2022年度预算绩效情况说明</w:t>
      </w:r>
      <w:r>
        <w:rPr>
          <w:rFonts w:hint="eastAsia" w:ascii="宋体" w:hAnsi="宋体" w:eastAsia="宋体"/>
          <w:color w:val="000000"/>
          <w:sz w:val="27"/>
          <w:szCs w:val="27"/>
        </w:rPr>
        <w:t xml:space="preserve"> </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（一）部门整体支出绩效情况</w:t>
      </w:r>
      <w:r>
        <w:rPr>
          <w:rFonts w:hint="eastAsia" w:ascii="宋体" w:hAnsi="宋体" w:eastAsia="宋体"/>
          <w:color w:val="000000"/>
          <w:sz w:val="27"/>
          <w:szCs w:val="27"/>
        </w:rPr>
        <w:t xml:space="preserve"> </w:t>
      </w:r>
    </w:p>
    <w:p>
      <w:pPr>
        <w:pStyle w:val="15"/>
        <w:spacing w:after="2"/>
        <w:ind w:firstLine="640"/>
        <w:rPr>
          <w:rFonts w:hint="default"/>
          <w:sz w:val="27"/>
          <w:szCs w:val="27"/>
        </w:rPr>
      </w:pPr>
      <w:r>
        <w:rPr>
          <w:rStyle w:val="11"/>
          <w:rFonts w:ascii="宋体" w:hAnsi="宋体" w:eastAsia="宋体"/>
          <w:color w:val="000000"/>
          <w:sz w:val="32"/>
          <w:szCs w:val="32"/>
        </w:rPr>
        <w:t>为进一步规范财政资金管理，强化绩效和责任意识，切实提高财政资金使用效益，根据《浏阳市财政局关于开展2022年度部门整体支出绩效自评和</w:t>
      </w:r>
      <w:r>
        <w:rPr>
          <w:rFonts w:ascii="宋体" w:hAnsi="宋体" w:eastAsia="宋体"/>
          <w:sz w:val="32"/>
          <w:szCs w:val="24"/>
        </w:rPr>
        <w:t>2023 年度绩效监控工作的函》（浏财函〔2023〕22号）要求</w:t>
      </w:r>
      <w:r>
        <w:rPr>
          <w:rStyle w:val="11"/>
          <w:rFonts w:ascii="宋体" w:hAnsi="宋体" w:eastAsia="宋体"/>
          <w:color w:val="000000"/>
          <w:sz w:val="32"/>
          <w:szCs w:val="32"/>
        </w:rPr>
        <w:t>，我单位对2022年部门整体支出情况开展了绩效自评，形成了自评报告，自评结果为98.71分，评价等级为优。</w:t>
      </w:r>
      <w:r>
        <w:rPr>
          <w:rFonts w:ascii="宋体" w:hAnsi="宋体" w:eastAsia="宋体"/>
          <w:color w:val="000000"/>
          <w:sz w:val="27"/>
          <w:szCs w:val="27"/>
        </w:rPr>
        <w:t xml:space="preserve"> </w:t>
      </w:r>
    </w:p>
    <w:p>
      <w:pPr>
        <w:adjustRightInd w:val="0"/>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本部门未委托第三方机构开展重点项目的部门绩效评价。</w:t>
      </w:r>
    </w:p>
    <w:p>
      <w:pPr>
        <w:pStyle w:val="9"/>
        <w:spacing w:after="2"/>
        <w:ind w:firstLine="641"/>
        <w:rPr>
          <w:rFonts w:ascii="宋体" w:hAnsi="宋体" w:eastAsia="宋体"/>
          <w:color w:val="000000"/>
          <w:sz w:val="27"/>
          <w:szCs w:val="27"/>
        </w:rPr>
      </w:pPr>
      <w:r>
        <w:rPr>
          <w:rFonts w:hint="eastAsia" w:ascii="宋体" w:hAnsi="宋体" w:eastAsia="宋体"/>
          <w:b/>
          <w:bCs/>
          <w:color w:val="000000"/>
          <w:sz w:val="32"/>
          <w:szCs w:val="32"/>
        </w:rPr>
        <w:t>（二）存在的问题及原因分析</w:t>
      </w:r>
      <w:r>
        <w:rPr>
          <w:rFonts w:hint="eastAsia" w:ascii="宋体" w:hAnsi="宋体" w:eastAsia="宋体"/>
          <w:color w:val="000000"/>
          <w:sz w:val="27"/>
          <w:szCs w:val="27"/>
        </w:rPr>
        <w:t xml:space="preserve"> </w:t>
      </w:r>
    </w:p>
    <w:p>
      <w:pPr>
        <w:pStyle w:val="15"/>
        <w:spacing w:after="2"/>
        <w:ind w:firstLine="640"/>
        <w:rPr>
          <w:rStyle w:val="11"/>
          <w:rFonts w:hint="default" w:ascii="宋体" w:hAnsi="宋体" w:eastAsia="宋体"/>
          <w:color w:val="000000"/>
          <w:sz w:val="32"/>
          <w:szCs w:val="32"/>
        </w:rPr>
      </w:pPr>
      <w:r>
        <w:rPr>
          <w:rStyle w:val="11"/>
          <w:rFonts w:ascii="宋体" w:hAnsi="宋体" w:eastAsia="宋体"/>
          <w:color w:val="000000"/>
          <w:sz w:val="32"/>
          <w:szCs w:val="32"/>
        </w:rPr>
        <w:t>1、年初预算编制欠严谨，不够科学，年中预算调整较大。2022年初预算金额715.75万元，年终决算支出1,171.50万元，预算执行偏差率为63.67%。建议单位在编制项目预算时，严格按照《预算法》及其实施条例的相关规定，参考上一年的预算执行情况、年初资金结余情况和年度中的项目支出预测情况，科学合理编制预算，尽量将综合项目预算进行细分到具体项目，并注明分配依据及预计付款时段，使编制的预算更加细化精确，便于操作，与部门实际情况相接近。财政部门据此对年初及年中预算金额及指标下达时间进行整体统筹，以避免临时性调整预算过大。</w:t>
      </w:r>
    </w:p>
    <w:p>
      <w:pPr>
        <w:pStyle w:val="9"/>
        <w:spacing w:after="2"/>
        <w:ind w:firstLine="641"/>
        <w:rPr>
          <w:rFonts w:hint="eastAsia" w:ascii="宋体" w:hAnsi="宋体" w:eastAsia="宋体"/>
          <w:color w:val="000000"/>
          <w:sz w:val="27"/>
          <w:szCs w:val="27"/>
        </w:rPr>
      </w:pPr>
      <w:r>
        <w:rPr>
          <w:rStyle w:val="11"/>
          <w:rFonts w:hint="eastAsia" w:ascii="宋体" w:hAnsi="宋体" w:eastAsia="宋体"/>
          <w:color w:val="000000"/>
          <w:sz w:val="32"/>
          <w:szCs w:val="32"/>
        </w:rPr>
        <w:t>2、项目资金预算绩效目标设定不够明确、不够细化。全年执行中的专项资金项目有6个，其申报的绩效目标申报表中的绩效目标表述较为含糊，项目绩效目标都没有设立定量指标。其指标的设定过于笼统，未进行细化，难以进行量化考核，回避了提供公共产品和服务的数量，弱化了绩效目标的导向作用。建议对所有列入预算的财政资金项目进行分类梳理，每个类别项目均应填报项目支出预算绩效目标申报表，根据项目内容，科学合理制定项目绩效目标，其绩效目标不能过于笼统，应做到细化、量化、可执行、可考核。如因项目情况特殊，绩效目标不能量化的，可采用少量定性表述，但需具有可衡量的考核标准。</w:t>
      </w:r>
      <w:r>
        <w:rPr>
          <w:rFonts w:hint="eastAsia" w:ascii="宋体" w:hAnsi="宋体" w:eastAsia="宋体"/>
          <w:color w:val="000000"/>
          <w:sz w:val="27"/>
          <w:szCs w:val="27"/>
        </w:rPr>
        <w:t xml:space="preserve"> </w:t>
      </w:r>
    </w:p>
    <w:p>
      <w:pPr>
        <w:pStyle w:val="15"/>
        <w:spacing w:after="2"/>
        <w:ind w:firstLine="640"/>
        <w:rPr>
          <w:rStyle w:val="11"/>
          <w:rFonts w:hint="default" w:ascii="宋体" w:hAnsi="宋体" w:eastAsia="宋体"/>
          <w:color w:val="000000"/>
          <w:sz w:val="32"/>
          <w:szCs w:val="32"/>
        </w:rPr>
      </w:pPr>
    </w:p>
    <w:p>
      <w:pPr>
        <w:pStyle w:val="15"/>
        <w:spacing w:after="2"/>
        <w:ind w:firstLine="640"/>
        <w:rPr>
          <w:rStyle w:val="11"/>
          <w:rFonts w:hint="default" w:ascii="宋体" w:hAnsi="宋体" w:eastAsia="宋体"/>
          <w:color w:val="000000"/>
          <w:sz w:val="32"/>
          <w:szCs w:val="32"/>
        </w:rPr>
      </w:pPr>
    </w:p>
    <w:p>
      <w:pPr>
        <w:pStyle w:val="12"/>
        <w:spacing w:beforeAutospacing="0" w:afterAutospacing="0"/>
        <w:rPr>
          <w:color w:val="000000"/>
        </w:rPr>
      </w:pPr>
    </w:p>
    <w:p>
      <w:pPr>
        <w:pStyle w:val="12"/>
        <w:spacing w:beforeAutospacing="0" w:afterAutospacing="0"/>
        <w:rPr>
          <w:color w:val="000000"/>
        </w:rPr>
      </w:pPr>
    </w:p>
    <w:p>
      <w:pPr>
        <w:spacing w:before="100" w:after="100"/>
        <w:jc w:val="center"/>
        <w:rPr>
          <w:color w:val="000000"/>
          <w:szCs w:val="21"/>
        </w:rPr>
      </w:pPr>
      <w:r>
        <w:rPr>
          <w:rFonts w:hint="eastAsia" w:ascii="宋体" w:hAnsi="宋体" w:eastAsia="宋体"/>
          <w:b/>
          <w:bCs/>
          <w:color w:val="000000"/>
          <w:sz w:val="36"/>
          <w:szCs w:val="36"/>
        </w:rPr>
        <w:t>第四部分 名词解释</w:t>
      </w:r>
      <w:r>
        <w:rPr>
          <w:rFonts w:hint="eastAsia"/>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财政拨款收入</w:t>
      </w:r>
      <w:r>
        <w:rPr>
          <w:rFonts w:hint="eastAsia" w:ascii="宋体" w:hAnsi="宋体" w:eastAsia="宋体"/>
          <w:color w:val="000000"/>
          <w:sz w:val="32"/>
          <w:szCs w:val="32"/>
        </w:rPr>
        <w:t>：指财政当年拨付的资金。包括一般公共预算财政拨款和政府性基金财政拨款。</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上级补助收入</w:t>
      </w:r>
      <w:r>
        <w:rPr>
          <w:rFonts w:hint="eastAsia" w:ascii="宋体" w:hAnsi="宋体" w:eastAsia="宋体"/>
          <w:color w:val="000000"/>
          <w:sz w:val="32"/>
          <w:szCs w:val="32"/>
        </w:rPr>
        <w:t>：指事业单位从主管部门和上级单位取得的非财政补助收入。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事业收入：</w:t>
      </w:r>
      <w:r>
        <w:rPr>
          <w:rFonts w:hint="eastAsia" w:ascii="宋体" w:hAnsi="宋体" w:eastAsia="宋体"/>
          <w:color w:val="000000"/>
          <w:sz w:val="32"/>
          <w:szCs w:val="32"/>
        </w:rPr>
        <w:t>指事业单位开展专业业务活动及辅助活动所取得的收入。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经营收入：</w:t>
      </w:r>
      <w:r>
        <w:rPr>
          <w:rFonts w:hint="eastAsia" w:ascii="宋体" w:hAnsi="宋体" w:eastAsia="宋体"/>
          <w:color w:val="000000"/>
          <w:sz w:val="32"/>
          <w:szCs w:val="32"/>
        </w:rPr>
        <w:t>指事业单位在专业业务活动及其辅助活动之外开展非独立核算经营活动取得的收入。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附属单位上缴收入</w:t>
      </w:r>
      <w:r>
        <w:rPr>
          <w:rFonts w:hint="eastAsia" w:ascii="宋体" w:hAnsi="宋体" w:eastAsia="宋体"/>
          <w:color w:val="000000"/>
          <w:sz w:val="32"/>
          <w:szCs w:val="32"/>
        </w:rPr>
        <w:t>：指事业单位附属独立核算单位按照有关规定上缴的收入。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其他收入</w:t>
      </w:r>
      <w:r>
        <w:rPr>
          <w:rFonts w:hint="eastAsia" w:ascii="宋体" w:hAnsi="宋体" w:eastAsia="宋体"/>
          <w:color w:val="000000"/>
          <w:sz w:val="32"/>
          <w:szCs w:val="32"/>
        </w:rPr>
        <w:t>：指除上述“财政拨款收入”、“事业收入”、“经营收入”等以外的收入。</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用事业基金弥补收支差额</w:t>
      </w:r>
      <w:r>
        <w:rPr>
          <w:rFonts w:hint="eastAsia" w:ascii="宋体" w:hAnsi="宋体" w:eastAsia="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年初结转和结余</w:t>
      </w:r>
      <w:r>
        <w:rPr>
          <w:rFonts w:hint="eastAsia" w:ascii="宋体" w:hAnsi="宋体" w:eastAsia="宋体"/>
          <w:color w:val="000000"/>
          <w:sz w:val="32"/>
          <w:szCs w:val="32"/>
        </w:rPr>
        <w:t>：指以前年度尚未完成、结转到本年按有关规定继续使用的资金。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结余分配</w:t>
      </w:r>
      <w:r>
        <w:rPr>
          <w:rFonts w:hint="eastAsia" w:ascii="宋体" w:hAnsi="宋体" w:eastAsia="宋体"/>
          <w:color w:val="000000"/>
          <w:sz w:val="32"/>
          <w:szCs w:val="32"/>
        </w:rPr>
        <w:t>：指事业事位按规定从非财政补助结余中分配的事业基金和职工福利基金等。</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年末结转和结余</w:t>
      </w:r>
      <w:r>
        <w:rPr>
          <w:rFonts w:hint="eastAsia" w:ascii="宋体" w:hAnsi="宋体" w:eastAsia="宋体"/>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基本支出</w:t>
      </w:r>
      <w:r>
        <w:rPr>
          <w:rFonts w:hint="eastAsia" w:ascii="宋体" w:hAnsi="宋体" w:eastAsia="宋体"/>
          <w:color w:val="000000"/>
          <w:sz w:val="32"/>
          <w:szCs w:val="32"/>
        </w:rPr>
        <w:t>：指为保障机构正常运转、完成日常工作任务而发生的人员支出和公用支出。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项目支出</w:t>
      </w:r>
      <w:r>
        <w:rPr>
          <w:rFonts w:hint="eastAsia" w:ascii="宋体" w:hAnsi="宋体" w:eastAsia="宋体"/>
          <w:color w:val="000000"/>
          <w:sz w:val="32"/>
          <w:szCs w:val="32"/>
        </w:rPr>
        <w:t>：指在基本支出之外为完成特定行政任务和事业发展目标所发生的支出。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经营支出</w:t>
      </w:r>
      <w:r>
        <w:rPr>
          <w:rFonts w:hint="eastAsia" w:ascii="宋体" w:hAnsi="宋体" w:eastAsia="宋体"/>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“三公”经费</w:t>
      </w:r>
      <w:r>
        <w:rPr>
          <w:rFonts w:hint="eastAsia" w:ascii="宋体" w:hAnsi="宋体" w:eastAsia="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szCs w:val="21"/>
        </w:rPr>
        <w:t xml:space="preserve"> </w:t>
      </w:r>
    </w:p>
    <w:p>
      <w:pPr>
        <w:spacing w:after="2" w:line="336" w:lineRule="atLeast"/>
        <w:ind w:firstLine="643"/>
        <w:rPr>
          <w:rFonts w:ascii="Calibri" w:hAnsi="Calibri"/>
          <w:color w:val="000000"/>
          <w:szCs w:val="21"/>
        </w:rPr>
      </w:pPr>
      <w:r>
        <w:rPr>
          <w:rFonts w:hint="eastAsia" w:ascii="宋体" w:hAnsi="宋体" w:eastAsia="宋体"/>
          <w:b/>
          <w:bCs/>
          <w:color w:val="000000"/>
          <w:sz w:val="32"/>
          <w:szCs w:val="32"/>
        </w:rPr>
        <w:t>机关运行经费</w:t>
      </w:r>
      <w:r>
        <w:rPr>
          <w:rFonts w:hint="eastAsia" w:ascii="宋体" w:hAnsi="宋体" w:eastAsia="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after="2" w:line="336" w:lineRule="atLeast"/>
        <w:ind w:firstLine="643"/>
        <w:rPr>
          <w:rFonts w:ascii="Calibri" w:hAnsi="Calibri"/>
          <w:color w:val="000000"/>
          <w:szCs w:val="21"/>
        </w:rPr>
      </w:pPr>
    </w:p>
    <w:p>
      <w:pPr>
        <w:spacing w:before="100" w:after="100"/>
        <w:jc w:val="center"/>
        <w:rPr>
          <w:color w:val="000000"/>
          <w:szCs w:val="21"/>
        </w:rPr>
      </w:pPr>
      <w:r>
        <w:rPr>
          <w:rFonts w:hint="eastAsia" w:ascii="宋体" w:hAnsi="宋体" w:eastAsia="宋体"/>
          <w:b/>
          <w:bCs/>
          <w:color w:val="000000"/>
          <w:sz w:val="36"/>
          <w:szCs w:val="36"/>
        </w:rPr>
        <w:t>第五部分 附件</w:t>
      </w:r>
      <w:r>
        <w:rPr>
          <w:rFonts w:hint="eastAsia"/>
          <w:color w:val="000000"/>
          <w:szCs w:val="21"/>
        </w:rPr>
        <w:t xml:space="preserve"> </w:t>
      </w:r>
    </w:p>
    <w:p>
      <w:pPr>
        <w:pStyle w:val="5"/>
        <w:spacing w:before="0" w:beforeAutospacing="0" w:after="2" w:afterAutospacing="0"/>
        <w:rPr>
          <w:color w:val="000000"/>
        </w:rPr>
      </w:pPr>
    </w:p>
    <w:p>
      <w:pPr>
        <w:pStyle w:val="5"/>
        <w:spacing w:before="0" w:beforeAutospacing="0" w:after="2" w:afterAutospacing="0"/>
        <w:rPr>
          <w:color w:val="000000"/>
        </w:rPr>
      </w:pP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MDcyNzliMWQ1YTQyOGU2MGJkMzNmZWNjYmY0OWJjNDgifQ=="/>
  </w:docVars>
  <w:rsids>
    <w:rsidRoot w:val="00172A27"/>
    <w:rsid w:val="00136FA9"/>
    <w:rsid w:val="00165FDE"/>
    <w:rsid w:val="00172A27"/>
    <w:rsid w:val="00D55650"/>
    <w:rsid w:val="055F0A8A"/>
    <w:rsid w:val="14A942B8"/>
    <w:rsid w:val="1EAB7C3C"/>
    <w:rsid w:val="261907E3"/>
    <w:rsid w:val="5DAC1AE5"/>
    <w:rsid w:val="6C8E4605"/>
    <w:rsid w:val="6CA712BE"/>
    <w:rsid w:val="6F6A5497"/>
    <w:rsid w:val="723A77D9"/>
    <w:rsid w:val="72E3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cs="Times New Roman"/>
      <w:sz w:val="52"/>
      <w:szCs w:val="52"/>
    </w:r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17"/>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peoplefilling"/>
    <w:basedOn w:val="7"/>
    <w:qFormat/>
    <w:uiPriority w:val="0"/>
  </w:style>
  <w:style w:type="paragraph" w:customStyle="1" w:styleId="12">
    <w:name w:val="defaul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页眉 Char"/>
    <w:basedOn w:val="7"/>
    <w:link w:val="4"/>
    <w:semiHidden/>
    <w:qFormat/>
    <w:uiPriority w:val="99"/>
    <w:rPr>
      <w:rFonts w:asciiTheme="minorHAnsi" w:hAnsiTheme="minorHAnsi" w:cstheme="minorBidi"/>
      <w:kern w:val="2"/>
      <w:sz w:val="18"/>
      <w:szCs w:val="18"/>
    </w:rPr>
  </w:style>
  <w:style w:type="character" w:customStyle="1" w:styleId="14">
    <w:name w:val="页脚 Char"/>
    <w:basedOn w:val="7"/>
    <w:link w:val="3"/>
    <w:semiHidden/>
    <w:qFormat/>
    <w:uiPriority w:val="99"/>
    <w:rPr>
      <w:rFonts w:asciiTheme="minorHAnsi" w:hAnsiTheme="minorHAnsi" w:cstheme="minorBidi"/>
      <w:kern w:val="2"/>
      <w:sz w:val="18"/>
      <w:szCs w:val="18"/>
    </w:rPr>
  </w:style>
  <w:style w:type="paragraph" w:customStyle="1" w:styleId="15">
    <w:name w:val="181"/>
    <w:basedOn w:val="1"/>
    <w:qFormat/>
    <w:uiPriority w:val="0"/>
    <w:rPr>
      <w:rFonts w:hint="eastAsia" w:ascii="等线" w:hAnsi="等线" w:eastAsia="等线" w:cs="Times New Roman"/>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9341</Words>
  <Characters>11768</Characters>
  <Lines>45</Lines>
  <Paragraphs>29</Paragraphs>
  <TotalTime>0</TotalTime>
  <ScaleCrop>false</ScaleCrop>
  <LinksUpToDate>false</LinksUpToDate>
  <CharactersWithSpaces>12918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2023-10-25T02:45:00Z</dcterms:created>
  <dc:creator>xtzj</dc:creator>
  <cp:lastModifiedBy>WPS_1602484140</cp:lastModifiedBy>
  <dcterms:modified xsi:type="dcterms:W3CDTF">2023-11-02T09:34:47Z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0317A8011107462D8E9C00729C8F6FFD</vt:lpwstr>
  </property>
</Properties>
</file>