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20"/>
        </w:tabs>
        <w:spacing w:line="580" w:lineRule="exact"/>
        <w:jc w:val="right"/>
        <w:rPr>
          <w:rFonts w:ascii="仿宋_GB2312" w:eastAsia="仿宋_GB2312"/>
          <w:sz w:val="28"/>
        </w:rPr>
      </w:pPr>
      <w:r>
        <w:rPr>
          <w:rFonts w:hint="eastAsia"/>
          <w:sz w:val="44"/>
        </w:rPr>
        <w:t xml:space="preserve"> </w:t>
      </w:r>
    </w:p>
    <w:p>
      <w:pPr>
        <w:rPr>
          <w:sz w:val="44"/>
        </w:rPr>
      </w:pPr>
      <w:r>
        <w:rPr>
          <w:rFonts w:hint="eastAsia"/>
          <w:sz w:val="44"/>
        </w:rPr>
        <w:t xml:space="preserve"> </w:t>
      </w:r>
    </w:p>
    <w:p>
      <w:pPr>
        <w:spacing w:line="700" w:lineRule="exact"/>
        <w:jc w:val="center"/>
        <w:outlineLvl w:val="0"/>
        <w:rPr>
          <w:rFonts w:hint="eastAsia" w:cs="Times New Roman" w:asciiTheme="majorEastAsia" w:hAnsiTheme="majorEastAsia" w:eastAsiaTheme="majorEastAsia"/>
          <w:b/>
          <w:sz w:val="44"/>
          <w:szCs w:val="44"/>
          <w:lang w:eastAsia="zh-CN"/>
        </w:rPr>
      </w:pPr>
      <w:r>
        <w:rPr>
          <w:rFonts w:hint="eastAsia" w:cs="Times New Roman" w:asciiTheme="majorEastAsia" w:hAnsiTheme="majorEastAsia" w:eastAsiaTheme="majorEastAsia"/>
          <w:b/>
          <w:sz w:val="44"/>
          <w:szCs w:val="44"/>
          <w:lang w:eastAsia="zh-CN"/>
        </w:rPr>
        <w:t>浏阳市统计局</w:t>
      </w:r>
    </w:p>
    <w:p>
      <w:pPr>
        <w:spacing w:line="700" w:lineRule="exact"/>
        <w:jc w:val="center"/>
        <w:outlineLvl w:val="0"/>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2022年度部门整体支出绩效自评报告</w:t>
      </w:r>
    </w:p>
    <w:p>
      <w:pPr>
        <w:spacing w:line="240" w:lineRule="atLeast"/>
        <w:jc w:val="center"/>
        <w:rPr>
          <w:rFonts w:ascii="宋体" w:hAnsi="宋体" w:eastAsia="宋体" w:cs="宋体"/>
          <w:b/>
          <w:bCs/>
          <w:sz w:val="44"/>
          <w:szCs w:val="44"/>
        </w:rPr>
      </w:pPr>
    </w:p>
    <w:p>
      <w:pPr>
        <w:pStyle w:val="2"/>
      </w:pPr>
    </w:p>
    <w:p>
      <w:pPr>
        <w:pStyle w:val="2"/>
      </w:pPr>
    </w:p>
    <w:p>
      <w:pPr>
        <w:pStyle w:val="2"/>
      </w:pPr>
    </w:p>
    <w:p>
      <w:pPr>
        <w:spacing w:line="240" w:lineRule="atLeast"/>
        <w:ind w:firstLine="360" w:firstLineChars="100"/>
        <w:rPr>
          <w:rFonts w:ascii="宋体" w:hAnsi="宋体" w:eastAsia="宋体" w:cs="宋体"/>
          <w:sz w:val="36"/>
        </w:rPr>
      </w:pPr>
    </w:p>
    <w:p>
      <w:pPr>
        <w:spacing w:line="240" w:lineRule="atLeast"/>
        <w:rPr>
          <w:rFonts w:ascii="宋体" w:hAnsi="宋体" w:eastAsia="宋体" w:cs="宋体"/>
          <w:sz w:val="28"/>
          <w:szCs w:val="28"/>
        </w:rPr>
      </w:pPr>
      <w:r>
        <w:rPr>
          <w:rFonts w:hint="eastAsia" w:ascii="宋体" w:hAnsi="宋体" w:eastAsia="宋体" w:cs="宋体"/>
          <w:sz w:val="28"/>
          <w:szCs w:val="28"/>
        </w:rPr>
        <w:t>绩效评价类型：实施过程评价</w:t>
      </w:r>
      <w:r>
        <w:rPr>
          <w:rFonts w:hint="eastAsia" w:ascii="宋体" w:hAnsi="宋体" w:eastAsia="宋体" w:cs="宋体"/>
          <w:sz w:val="28"/>
          <w:szCs w:val="28"/>
        </w:rPr>
        <w:sym w:font="Wingdings" w:char="00A8"/>
      </w:r>
      <w:r>
        <w:rPr>
          <w:rFonts w:hint="eastAsia" w:ascii="宋体" w:hAnsi="宋体" w:eastAsia="宋体" w:cs="宋体"/>
          <w:sz w:val="28"/>
          <w:szCs w:val="28"/>
        </w:rPr>
        <w:t xml:space="preserve">    完成结果评价</w:t>
      </w:r>
      <w:r>
        <w:rPr>
          <w:rFonts w:hint="eastAsia" w:ascii="宋体" w:hAnsi="宋体" w:eastAsia="宋体" w:cs="宋体"/>
          <w:sz w:val="28"/>
          <w:szCs w:val="28"/>
        </w:rPr>
        <w:sym w:font="Wingdings" w:char="00FE"/>
      </w:r>
      <w:r>
        <w:rPr>
          <w:rFonts w:hint="eastAsia" w:ascii="宋体" w:hAnsi="宋体" w:eastAsia="宋体" w:cs="宋体"/>
          <w:sz w:val="28"/>
          <w:szCs w:val="28"/>
        </w:rPr>
        <w:t xml:space="preserve"> </w:t>
      </w:r>
    </w:p>
    <w:p>
      <w:pPr>
        <w:rPr>
          <w:sz w:val="28"/>
          <w:szCs w:val="28"/>
        </w:rPr>
      </w:pPr>
    </w:p>
    <w:p>
      <w:pPr>
        <w:spacing w:line="360" w:lineRule="auto"/>
        <w:rPr>
          <w:rFonts w:ascii="宋体" w:hAnsi="宋体" w:eastAsia="宋体" w:cs="宋体"/>
          <w:sz w:val="28"/>
          <w:szCs w:val="28"/>
          <w:u w:val="single"/>
        </w:rPr>
      </w:pPr>
      <w:r>
        <w:rPr>
          <w:rFonts w:hint="eastAsia" w:ascii="宋体" w:hAnsi="宋体" w:eastAsia="宋体" w:cs="宋体"/>
          <w:sz w:val="28"/>
          <w:szCs w:val="28"/>
        </w:rPr>
        <w:t>绩效评价名称：</w:t>
      </w:r>
      <w:r>
        <w:rPr>
          <w:rFonts w:hint="eastAsia" w:ascii="宋体" w:hAnsi="宋体" w:eastAsia="宋体" w:cs="宋体"/>
          <w:sz w:val="28"/>
          <w:szCs w:val="28"/>
          <w:u w:val="single"/>
          <w:lang w:eastAsia="zh-CN"/>
        </w:rPr>
        <w:t>浏阳市统计局</w:t>
      </w:r>
      <w:r>
        <w:rPr>
          <w:rFonts w:hint="eastAsia" w:ascii="宋体" w:hAnsi="宋体" w:eastAsia="宋体" w:cs="宋体"/>
          <w:sz w:val="28"/>
          <w:szCs w:val="28"/>
          <w:u w:val="single"/>
        </w:rPr>
        <w:t>2022年部门整体支</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spacing w:line="360" w:lineRule="auto"/>
        <w:ind w:firstLine="1960" w:firstLineChars="700"/>
        <w:jc w:val="left"/>
        <w:rPr>
          <w:rFonts w:ascii="宋体" w:hAnsi="宋体" w:eastAsia="宋体" w:cs="宋体"/>
          <w:sz w:val="28"/>
          <w:szCs w:val="28"/>
          <w:u w:val="single"/>
        </w:rPr>
      </w:pPr>
      <w:r>
        <w:rPr>
          <w:rFonts w:hint="eastAsia" w:ascii="宋体" w:hAnsi="宋体" w:eastAsia="宋体" w:cs="宋体"/>
          <w:sz w:val="28"/>
          <w:szCs w:val="28"/>
          <w:u w:val="single"/>
        </w:rPr>
        <w:t xml:space="preserve">出绩效自评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spacing w:after="120" w:line="360" w:lineRule="auto"/>
        <w:rPr>
          <w:rFonts w:ascii="宋体" w:hAnsi="宋体" w:eastAsia="宋体" w:cs="宋体"/>
          <w:sz w:val="28"/>
          <w:szCs w:val="28"/>
          <w:u w:val="single"/>
        </w:rPr>
      </w:pPr>
      <w:r>
        <w:rPr>
          <w:rFonts w:hint="eastAsia" w:ascii="宋体" w:hAnsi="宋体" w:eastAsia="宋体" w:cs="宋体"/>
          <w:sz w:val="28"/>
          <w:szCs w:val="28"/>
        </w:rPr>
        <w:t>绩效评价金额：</w:t>
      </w:r>
      <w:r>
        <w:rPr>
          <w:rFonts w:hint="eastAsia" w:ascii="宋体" w:hAnsi="宋体" w:eastAsia="宋体" w:cs="宋体"/>
          <w:sz w:val="28"/>
          <w:szCs w:val="28"/>
          <w:u w:val="single"/>
        </w:rPr>
        <w:t>2022年部门整体支出</w:t>
      </w:r>
      <w:r>
        <w:rPr>
          <w:rFonts w:hint="eastAsia" w:ascii="宋体" w:hAnsi="宋体" w:eastAsia="宋体" w:cs="宋体"/>
          <w:sz w:val="28"/>
          <w:szCs w:val="28"/>
          <w:u w:val="single"/>
          <w:lang w:eastAsia="zh-CN"/>
        </w:rPr>
        <w:t>1,171.50</w:t>
      </w:r>
      <w:r>
        <w:rPr>
          <w:rFonts w:hint="eastAsia" w:ascii="宋体" w:hAnsi="宋体" w:eastAsia="宋体" w:cs="宋体"/>
          <w:sz w:val="28"/>
          <w:szCs w:val="28"/>
          <w:u w:val="single"/>
        </w:rPr>
        <w:t xml:space="preserve">万元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spacing w:after="120" w:line="360" w:lineRule="auto"/>
        <w:rPr>
          <w:rFonts w:ascii="宋体" w:hAnsi="宋体" w:eastAsia="宋体" w:cs="宋体"/>
          <w:sz w:val="28"/>
          <w:szCs w:val="28"/>
          <w:u w:val="single"/>
        </w:rPr>
      </w:pPr>
      <w:r>
        <w:rPr>
          <w:rFonts w:hint="eastAsia" w:ascii="宋体" w:hAnsi="宋体" w:eastAsia="宋体" w:cs="宋体"/>
          <w:sz w:val="28"/>
          <w:szCs w:val="28"/>
        </w:rPr>
        <w:t>绩效评价单位：</w:t>
      </w:r>
      <w:r>
        <w:rPr>
          <w:rFonts w:hint="eastAsia" w:ascii="宋体" w:hAnsi="宋体" w:eastAsia="宋体" w:cs="宋体"/>
          <w:sz w:val="28"/>
          <w:szCs w:val="28"/>
          <w:u w:val="single"/>
          <w:lang w:eastAsia="zh-CN"/>
        </w:rPr>
        <w:t>浏阳市统计局</w:t>
      </w:r>
      <w:r>
        <w:rPr>
          <w:rFonts w:hint="eastAsia" w:ascii="宋体" w:hAnsi="宋体" w:eastAsia="宋体" w:cs="宋体"/>
          <w:sz w:val="28"/>
          <w:szCs w:val="28"/>
          <w:u w:val="single"/>
        </w:rPr>
        <w:t xml:space="preserve">                     </w:t>
      </w:r>
    </w:p>
    <w:p>
      <w:pPr>
        <w:pStyle w:val="2"/>
        <w:spacing w:line="360" w:lineRule="auto"/>
        <w:rPr>
          <w:rFonts w:ascii="宋体" w:hAnsi="宋体" w:eastAsia="宋体" w:cs="宋体"/>
          <w:sz w:val="28"/>
          <w:szCs w:val="28"/>
          <w:u w:val="single"/>
        </w:rPr>
      </w:pPr>
      <w:r>
        <w:rPr>
          <w:rFonts w:hint="eastAsia" w:ascii="宋体" w:hAnsi="宋体" w:eastAsia="宋体" w:cs="宋体"/>
          <w:sz w:val="28"/>
          <w:szCs w:val="28"/>
        </w:rPr>
        <w:t>实施机构名称：</w:t>
      </w:r>
      <w:r>
        <w:rPr>
          <w:rFonts w:hint="eastAsia" w:ascii="宋体" w:hAnsi="宋体" w:eastAsia="宋体" w:cs="宋体"/>
          <w:sz w:val="28"/>
          <w:szCs w:val="28"/>
          <w:u w:val="single"/>
          <w:lang w:eastAsia="zh-CN"/>
        </w:rPr>
        <w:t>浏阳市统计局</w:t>
      </w:r>
      <w:r>
        <w:rPr>
          <w:rFonts w:hint="eastAsia" w:ascii="宋体" w:hAnsi="宋体" w:eastAsia="宋体" w:cs="宋体"/>
          <w:sz w:val="28"/>
          <w:szCs w:val="28"/>
          <w:u w:val="single"/>
        </w:rPr>
        <w:t xml:space="preserve">                     </w:t>
      </w:r>
    </w:p>
    <w:p>
      <w:pPr>
        <w:rPr>
          <w:sz w:val="28"/>
          <w:szCs w:val="28"/>
        </w:rPr>
      </w:pPr>
    </w:p>
    <w:p>
      <w:pPr>
        <w:pStyle w:val="2"/>
      </w:pPr>
    </w:p>
    <w:p>
      <w:pPr>
        <w:pStyle w:val="2"/>
      </w:pPr>
    </w:p>
    <w:p/>
    <w:p>
      <w:pPr>
        <w:jc w:val="center"/>
        <w:outlineLvl w:val="0"/>
        <w:rPr>
          <w:rFonts w:ascii="Times New Roman" w:hAnsi="Calibri" w:eastAsia="仿宋_GB2312" w:cs="Times New Roman"/>
          <w:b/>
          <w:sz w:val="44"/>
          <w:szCs w:val="44"/>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仿宋_GB2312" w:eastAsia="仿宋_GB2312"/>
          <w:b/>
          <w:szCs w:val="32"/>
        </w:rPr>
        <w:t>报告日期</w:t>
      </w:r>
      <w:r>
        <w:rPr>
          <w:rFonts w:hint="eastAsia" w:ascii="仿宋_GB2312" w:eastAsia="仿宋_GB2312"/>
          <w:szCs w:val="32"/>
        </w:rPr>
        <w:t>：</w:t>
      </w:r>
      <w:r>
        <w:rPr>
          <w:rFonts w:hint="eastAsia" w:ascii="仿宋_GB2312" w:eastAsia="仿宋_GB2312"/>
          <w:bCs/>
          <w:szCs w:val="32"/>
        </w:rPr>
        <w:t>202</w:t>
      </w:r>
      <w:r>
        <w:rPr>
          <w:rFonts w:hint="eastAsia" w:ascii="仿宋_GB2312" w:eastAsia="仿宋_GB2312"/>
          <w:bCs/>
          <w:szCs w:val="32"/>
          <w:lang w:val="en-US" w:eastAsia="zh-CN"/>
        </w:rPr>
        <w:t>3</w:t>
      </w:r>
      <w:r>
        <w:rPr>
          <w:rFonts w:hint="eastAsia" w:ascii="仿宋_GB2312" w:eastAsia="仿宋_GB2312"/>
          <w:bCs/>
          <w:szCs w:val="32"/>
        </w:rPr>
        <w:t>年</w:t>
      </w:r>
      <w:r>
        <w:rPr>
          <w:rFonts w:hint="eastAsia" w:ascii="仿宋_GB2312" w:eastAsia="仿宋_GB2312"/>
          <w:bCs/>
          <w:szCs w:val="32"/>
          <w:lang w:val="en-US" w:eastAsia="zh-CN"/>
        </w:rPr>
        <w:t>9</w:t>
      </w:r>
      <w:r>
        <w:rPr>
          <w:rFonts w:hint="eastAsia" w:ascii="仿宋_GB2312" w:eastAsia="仿宋_GB2312"/>
          <w:bCs/>
          <w:szCs w:val="32"/>
        </w:rPr>
        <w:t>月</w:t>
      </w:r>
      <w:r>
        <w:rPr>
          <w:rFonts w:hint="eastAsia" w:ascii="仿宋_GB2312" w:eastAsia="仿宋_GB2312"/>
          <w:bCs/>
          <w:szCs w:val="32"/>
          <w:lang w:val="en-US" w:eastAsia="zh-CN"/>
        </w:rPr>
        <w:t>2</w:t>
      </w:r>
      <w:r>
        <w:rPr>
          <w:rFonts w:hint="eastAsia" w:ascii="仿宋_GB2312" w:eastAsia="仿宋_GB2312"/>
          <w:bCs/>
          <w:szCs w:val="32"/>
        </w:rPr>
        <w:t>6日</w:t>
      </w:r>
    </w:p>
    <w:p>
      <w:pPr>
        <w:spacing w:line="700" w:lineRule="exact"/>
        <w:jc w:val="center"/>
        <w:outlineLvl w:val="0"/>
        <w:rPr>
          <w:rFonts w:hint="eastAsia" w:cs="Times New Roman" w:asciiTheme="majorEastAsia" w:hAnsiTheme="majorEastAsia" w:eastAsiaTheme="majorEastAsia"/>
          <w:b/>
          <w:sz w:val="44"/>
          <w:szCs w:val="44"/>
          <w:lang w:eastAsia="zh-CN"/>
        </w:rPr>
      </w:pPr>
      <w:r>
        <w:rPr>
          <w:rFonts w:hint="eastAsia" w:cs="Times New Roman" w:asciiTheme="majorEastAsia" w:hAnsiTheme="majorEastAsia" w:eastAsiaTheme="majorEastAsia"/>
          <w:b/>
          <w:sz w:val="44"/>
          <w:szCs w:val="44"/>
          <w:lang w:eastAsia="zh-CN"/>
        </w:rPr>
        <w:t>浏阳市统计局</w:t>
      </w:r>
    </w:p>
    <w:p>
      <w:pPr>
        <w:spacing w:line="700" w:lineRule="exact"/>
        <w:jc w:val="center"/>
        <w:outlineLvl w:val="0"/>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2022年部门整体支出绩效自评报告</w:t>
      </w:r>
    </w:p>
    <w:p>
      <w:pPr>
        <w:spacing w:line="560" w:lineRule="exact"/>
        <w:rPr>
          <w:rFonts w:ascii="Times New Roman" w:hAnsi="Times New Roman" w:eastAsia="仿宋_GB2312" w:cs="Times New Roman"/>
          <w:szCs w:val="32"/>
        </w:rPr>
      </w:pPr>
    </w:p>
    <w:p>
      <w:pPr>
        <w:spacing w:line="560" w:lineRule="exact"/>
        <w:ind w:firstLine="640" w:firstLineChars="200"/>
        <w:outlineLvl w:val="2"/>
        <w:rPr>
          <w:rFonts w:ascii="Times New Roman" w:hAnsi="Times New Roman" w:eastAsia="仿宋_GB2312" w:cs="Times New Roman"/>
          <w:szCs w:val="32"/>
        </w:rPr>
      </w:pPr>
      <w:r>
        <w:rPr>
          <w:rFonts w:hint="eastAsia" w:ascii="Times New Roman" w:hAnsi="Times New Roman" w:eastAsia="仿宋_GB2312" w:cs="Times New Roman"/>
          <w:szCs w:val="32"/>
        </w:rPr>
        <w:t>为加强财政支出管理，提高财政资金使用效益，根据《中共湖南省委办公厅 湖南省人民政府办公厅关于全面实施预算绩效管理的实施意见》（湘办发〔2019〕10号）以及《长沙市财政局关于开展 2022 年市直预算单位绩效自评工作的通知》（长财绩〔2023〕2号)</w:t>
      </w:r>
      <w:r>
        <w:rPr>
          <w:rFonts w:hint="eastAsia" w:ascii="Times New Roman" w:hAnsi="Times New Roman" w:eastAsia="仿宋_GB2312" w:cs="Times New Roman"/>
          <w:sz w:val="32"/>
          <w:szCs w:val="32"/>
          <w:highlight w:val="none"/>
          <w:lang w:val="en-US" w:eastAsia="zh-CN"/>
        </w:rPr>
        <w:t>、《浏阳市财政局关于开展2022年度部门整体支出绩效评价和2023年度绩效监控工作的函》（浏财函〔2023〕22号）</w:t>
      </w:r>
      <w:r>
        <w:rPr>
          <w:rFonts w:hint="eastAsia" w:ascii="Times New Roman" w:hAnsi="Times New Roman" w:eastAsia="仿宋_GB2312" w:cs="Times New Roman"/>
          <w:szCs w:val="32"/>
        </w:rPr>
        <w:t>等文件精神，</w:t>
      </w:r>
      <w:r>
        <w:rPr>
          <w:rFonts w:hint="eastAsia" w:ascii="Times New Roman" w:hAnsi="Times New Roman" w:eastAsia="仿宋_GB2312" w:cs="Times New Roman"/>
          <w:szCs w:val="32"/>
          <w:lang w:eastAsia="zh-CN"/>
        </w:rPr>
        <w:t>浏阳市统计局</w:t>
      </w:r>
      <w:r>
        <w:rPr>
          <w:rFonts w:hint="eastAsia" w:ascii="Times New Roman" w:hAnsi="Times New Roman" w:eastAsia="仿宋_GB2312" w:cs="Times New Roman"/>
          <w:szCs w:val="32"/>
        </w:rPr>
        <w:t>（以下简称“</w:t>
      </w:r>
      <w:r>
        <w:rPr>
          <w:rFonts w:hint="eastAsia" w:ascii="Times New Roman" w:hAnsi="Times New Roman" w:eastAsia="仿宋_GB2312" w:cs="Times New Roman"/>
          <w:szCs w:val="32"/>
          <w:lang w:eastAsia="zh-CN"/>
        </w:rPr>
        <w:t>统计局</w:t>
      </w:r>
      <w:r>
        <w:rPr>
          <w:rFonts w:hint="eastAsia" w:ascii="Times New Roman" w:hAnsi="Times New Roman" w:eastAsia="仿宋_GB2312" w:cs="Times New Roman"/>
          <w:szCs w:val="32"/>
        </w:rPr>
        <w:t>”）制定了绩效评价工作方案及成立了绩效自评工作小组（以下简称“评价小组”），于202</w:t>
      </w:r>
      <w:r>
        <w:rPr>
          <w:rFonts w:hint="eastAsia" w:ascii="Times New Roman" w:hAnsi="Times New Roman" w:eastAsia="仿宋_GB2312" w:cs="Times New Roman"/>
          <w:szCs w:val="32"/>
          <w:lang w:val="en-US" w:eastAsia="zh-CN"/>
        </w:rPr>
        <w:t>3</w:t>
      </w:r>
      <w:r>
        <w:rPr>
          <w:rFonts w:hint="eastAsia" w:ascii="Times New Roman" w:hAnsi="Times New Roman" w:eastAsia="仿宋_GB2312" w:cs="Times New Roman"/>
          <w:szCs w:val="32"/>
        </w:rPr>
        <w:t>年</w:t>
      </w:r>
      <w:r>
        <w:rPr>
          <w:rFonts w:hint="eastAsia" w:ascii="Times New Roman" w:hAnsi="Times New Roman" w:eastAsia="仿宋_GB2312" w:cs="Times New Roman"/>
          <w:szCs w:val="32"/>
          <w:lang w:val="en-US" w:eastAsia="zh-CN"/>
        </w:rPr>
        <w:t>9</w:t>
      </w:r>
      <w:r>
        <w:rPr>
          <w:rFonts w:hint="eastAsia" w:ascii="Times New Roman" w:hAnsi="Times New Roman" w:eastAsia="仿宋_GB2312" w:cs="Times New Roman"/>
          <w:szCs w:val="32"/>
        </w:rPr>
        <w:t>月</w:t>
      </w:r>
      <w:r>
        <w:rPr>
          <w:rFonts w:hint="eastAsia" w:ascii="Times New Roman" w:hAnsi="Times New Roman" w:eastAsia="仿宋_GB2312" w:cs="Times New Roman"/>
          <w:szCs w:val="32"/>
          <w:lang w:val="en-US" w:eastAsia="zh-CN"/>
        </w:rPr>
        <w:t>11</w:t>
      </w:r>
      <w:r>
        <w:rPr>
          <w:rFonts w:hint="eastAsia" w:ascii="Times New Roman" w:hAnsi="Times New Roman" w:eastAsia="仿宋_GB2312" w:cs="Times New Roman"/>
          <w:szCs w:val="32"/>
        </w:rPr>
        <w:t>日-</w:t>
      </w:r>
      <w:r>
        <w:rPr>
          <w:rFonts w:hint="eastAsia" w:ascii="Times New Roman" w:hAnsi="Times New Roman" w:eastAsia="仿宋_GB2312" w:cs="Times New Roman"/>
          <w:szCs w:val="32"/>
          <w:lang w:val="en-US" w:eastAsia="zh-CN"/>
        </w:rPr>
        <w:t>9</w:t>
      </w:r>
      <w:r>
        <w:rPr>
          <w:rFonts w:hint="eastAsia" w:ascii="Times New Roman" w:hAnsi="Times New Roman" w:eastAsia="仿宋_GB2312" w:cs="Times New Roman"/>
          <w:szCs w:val="32"/>
        </w:rPr>
        <w:t>月</w:t>
      </w:r>
      <w:r>
        <w:rPr>
          <w:rFonts w:hint="eastAsia" w:ascii="Times New Roman" w:hAnsi="Times New Roman" w:eastAsia="仿宋_GB2312" w:cs="Times New Roman"/>
          <w:szCs w:val="32"/>
          <w:lang w:val="en-US" w:eastAsia="zh-CN"/>
        </w:rPr>
        <w:t>24</w:t>
      </w:r>
      <w:r>
        <w:rPr>
          <w:rFonts w:hint="eastAsia" w:ascii="Times New Roman" w:hAnsi="Times New Roman" w:eastAsia="仿宋_GB2312" w:cs="Times New Roman"/>
          <w:szCs w:val="32"/>
        </w:rPr>
        <w:t>日对</w:t>
      </w:r>
      <w:r>
        <w:rPr>
          <w:rFonts w:hint="eastAsia" w:ascii="Times New Roman" w:hAnsi="Times New Roman" w:eastAsia="仿宋_GB2312" w:cs="Times New Roman"/>
          <w:szCs w:val="32"/>
          <w:lang w:eastAsia="zh-CN"/>
        </w:rPr>
        <w:t>统计局</w:t>
      </w:r>
      <w:r>
        <w:rPr>
          <w:rFonts w:hint="eastAsia" w:ascii="Times New Roman" w:hAnsi="Times New Roman" w:eastAsia="仿宋_GB2312" w:cs="Times New Roman"/>
          <w:szCs w:val="32"/>
        </w:rPr>
        <w:t>2022部门整体支出情况开展了绩效自评工作，评价小组在实施必要的评价程序基础上，对</w:t>
      </w:r>
      <w:r>
        <w:rPr>
          <w:rFonts w:hint="eastAsia" w:ascii="Times New Roman" w:hAnsi="Times New Roman" w:eastAsia="仿宋_GB2312" w:cs="Times New Roman"/>
          <w:szCs w:val="32"/>
          <w:lang w:eastAsia="zh-CN"/>
        </w:rPr>
        <w:t>统计局</w:t>
      </w:r>
      <w:r>
        <w:rPr>
          <w:rFonts w:hint="eastAsia" w:ascii="Times New Roman" w:hAnsi="Times New Roman" w:eastAsia="仿宋_GB2312" w:cs="Times New Roman"/>
          <w:szCs w:val="32"/>
        </w:rPr>
        <w:t>的组织管理情况、</w:t>
      </w:r>
      <w:r>
        <w:rPr>
          <w:rFonts w:hint="eastAsia" w:ascii="Times New Roman" w:hAnsi="Times New Roman" w:eastAsia="仿宋_GB2312" w:cs="Times New Roman"/>
          <w:szCs w:val="32"/>
          <w:lang w:val="en-US" w:eastAsia="zh-CN"/>
        </w:rPr>
        <w:t>项目</w:t>
      </w:r>
      <w:r>
        <w:rPr>
          <w:rFonts w:hint="eastAsia" w:ascii="Times New Roman" w:hAnsi="Times New Roman" w:eastAsia="仿宋_GB2312" w:cs="Times New Roman"/>
          <w:szCs w:val="32"/>
        </w:rPr>
        <w:t>资金使用和管理情况、绩效情况提出意见和建议。现将有关情况报告如下：</w:t>
      </w:r>
    </w:p>
    <w:p>
      <w:pPr>
        <w:numPr>
          <w:ilvl w:val="255"/>
          <w:numId w:val="0"/>
        </w:numPr>
        <w:spacing w:before="144" w:beforeLines="25" w:line="560" w:lineRule="exact"/>
        <w:ind w:firstLine="643" w:firstLineChars="200"/>
        <w:outlineLvl w:val="0"/>
        <w:rPr>
          <w:rFonts w:ascii="楷体" w:hAnsi="楷体" w:eastAsia="楷体" w:cs="楷体"/>
          <w:b/>
          <w:bCs/>
          <w:szCs w:val="32"/>
        </w:rPr>
      </w:pPr>
      <w:r>
        <w:rPr>
          <w:rFonts w:hint="eastAsia" w:ascii="楷体" w:hAnsi="楷体" w:eastAsia="楷体" w:cs="楷体"/>
          <w:b/>
          <w:bCs/>
          <w:szCs w:val="32"/>
        </w:rPr>
        <w:t>一、部门概述</w:t>
      </w:r>
    </w:p>
    <w:p>
      <w:pPr>
        <w:numPr>
          <w:ilvl w:val="255"/>
          <w:numId w:val="0"/>
        </w:numPr>
        <w:spacing w:line="560" w:lineRule="exact"/>
        <w:ind w:firstLine="643" w:firstLineChars="200"/>
        <w:outlineLvl w:val="1"/>
        <w:rPr>
          <w:rFonts w:ascii="楷体" w:hAnsi="楷体" w:eastAsia="楷体" w:cs="楷体"/>
          <w:b/>
          <w:bCs/>
          <w:szCs w:val="32"/>
        </w:rPr>
      </w:pPr>
      <w:r>
        <w:rPr>
          <w:rFonts w:hint="eastAsia" w:ascii="楷体" w:hAnsi="楷体" w:eastAsia="楷体" w:cs="楷体"/>
          <w:b/>
          <w:bCs/>
          <w:szCs w:val="32"/>
        </w:rPr>
        <w:t>（一）部门职能概述</w:t>
      </w:r>
    </w:p>
    <w:p>
      <w:pPr>
        <w:spacing w:line="560" w:lineRule="exact"/>
        <w:ind w:firstLine="640" w:firstLineChars="200"/>
        <w:outlineLvl w:val="2"/>
        <w:rPr>
          <w:rFonts w:hint="eastAsia" w:ascii="Times New Roman" w:hAnsi="Times New Roman" w:eastAsia="仿宋_GB2312" w:cs="Times New Roman"/>
          <w:szCs w:val="32"/>
        </w:rPr>
      </w:pPr>
      <w:r>
        <w:rPr>
          <w:rFonts w:hint="eastAsia" w:ascii="Times New Roman" w:hAnsi="Times New Roman" w:eastAsia="仿宋_GB2312" w:cs="Times New Roman"/>
          <w:szCs w:val="32"/>
        </w:rPr>
        <w:t>1、贯彻执行国家、省、长沙市统计工作的方针、政策和统计法律、法规，完成国家和地方统计调查任务。</w:t>
      </w:r>
    </w:p>
    <w:p>
      <w:pPr>
        <w:spacing w:line="560" w:lineRule="exact"/>
        <w:ind w:firstLine="640" w:firstLineChars="200"/>
        <w:outlineLvl w:val="2"/>
        <w:rPr>
          <w:rFonts w:hint="eastAsia" w:ascii="Times New Roman" w:hAnsi="Times New Roman" w:eastAsia="仿宋_GB2312" w:cs="Times New Roman"/>
          <w:szCs w:val="32"/>
        </w:rPr>
      </w:pPr>
      <w:r>
        <w:rPr>
          <w:rFonts w:hint="eastAsia" w:ascii="Times New Roman" w:hAnsi="Times New Roman" w:eastAsia="仿宋_GB2312" w:cs="Times New Roman"/>
          <w:szCs w:val="32"/>
          <w:lang w:val="en-US" w:eastAsia="zh-CN"/>
        </w:rPr>
        <w:t>2、</w:t>
      </w:r>
      <w:r>
        <w:rPr>
          <w:rFonts w:hint="eastAsia" w:ascii="Times New Roman" w:hAnsi="Times New Roman" w:eastAsia="仿宋_GB2312" w:cs="Times New Roman"/>
          <w:szCs w:val="32"/>
        </w:rPr>
        <w:t>指导和协调全市统计业务工作，组织实施各项统计专项调查；指导统计基层业务与基础建设，推进统计现代化建设。</w:t>
      </w:r>
    </w:p>
    <w:p>
      <w:pPr>
        <w:spacing w:line="560" w:lineRule="exact"/>
        <w:ind w:firstLine="640" w:firstLineChars="200"/>
        <w:outlineLvl w:val="2"/>
        <w:rPr>
          <w:rFonts w:hint="eastAsia" w:ascii="Times New Roman" w:hAnsi="Times New Roman" w:eastAsia="仿宋_GB2312" w:cs="Times New Roman"/>
          <w:szCs w:val="32"/>
        </w:rPr>
      </w:pPr>
      <w:r>
        <w:rPr>
          <w:rFonts w:hint="eastAsia" w:ascii="Times New Roman" w:hAnsi="Times New Roman" w:eastAsia="仿宋_GB2312" w:cs="Times New Roman"/>
          <w:szCs w:val="32"/>
          <w:lang w:val="en-US" w:eastAsia="zh-CN"/>
        </w:rPr>
        <w:t>3、</w:t>
      </w:r>
      <w:r>
        <w:rPr>
          <w:rFonts w:hint="eastAsia" w:ascii="Times New Roman" w:hAnsi="Times New Roman" w:eastAsia="仿宋_GB2312" w:cs="Times New Roman"/>
          <w:szCs w:val="32"/>
        </w:rPr>
        <w:t>建立健全统计数据质量审核、监控和评估制度，开展对重要统计数据的审核、监控和评估；依法审批或备案统计调查项目、部门统计调查方案。</w:t>
      </w:r>
    </w:p>
    <w:p>
      <w:pPr>
        <w:spacing w:line="560" w:lineRule="exact"/>
        <w:ind w:firstLine="640" w:firstLineChars="200"/>
        <w:outlineLvl w:val="2"/>
        <w:rPr>
          <w:rFonts w:hint="eastAsia" w:ascii="Times New Roman" w:hAnsi="Times New Roman" w:eastAsia="仿宋_GB2312" w:cs="Times New Roman"/>
          <w:szCs w:val="32"/>
        </w:rPr>
      </w:pPr>
      <w:r>
        <w:rPr>
          <w:rFonts w:hint="eastAsia" w:ascii="Times New Roman" w:hAnsi="Times New Roman" w:eastAsia="仿宋_GB2312" w:cs="Times New Roman"/>
          <w:szCs w:val="32"/>
          <w:lang w:val="en-US" w:eastAsia="zh-CN"/>
        </w:rPr>
        <w:t>4、</w:t>
      </w:r>
      <w:r>
        <w:rPr>
          <w:rFonts w:hint="eastAsia" w:ascii="Times New Roman" w:hAnsi="Times New Roman" w:eastAsia="仿宋_GB2312" w:cs="Times New Roman"/>
          <w:szCs w:val="32"/>
        </w:rPr>
        <w:t>检查监督统计法规的实施情况，查处各类统计违法行为；组织实施全市统计人员从业资格培训考核和继续教育工作。</w:t>
      </w:r>
    </w:p>
    <w:p>
      <w:pPr>
        <w:spacing w:line="560" w:lineRule="exact"/>
        <w:ind w:firstLine="640" w:firstLineChars="200"/>
        <w:outlineLvl w:val="2"/>
        <w:rPr>
          <w:rFonts w:hint="eastAsia" w:ascii="Times New Roman" w:hAnsi="Times New Roman" w:eastAsia="仿宋_GB2312" w:cs="Times New Roman"/>
          <w:szCs w:val="32"/>
        </w:rPr>
      </w:pPr>
      <w:r>
        <w:rPr>
          <w:rFonts w:hint="eastAsia" w:ascii="Times New Roman" w:hAnsi="Times New Roman" w:eastAsia="仿宋_GB2312" w:cs="Times New Roman"/>
          <w:szCs w:val="32"/>
          <w:lang w:val="en-US" w:eastAsia="zh-CN"/>
        </w:rPr>
        <w:t>5、</w:t>
      </w:r>
      <w:r>
        <w:rPr>
          <w:rFonts w:hint="eastAsia" w:ascii="Times New Roman" w:hAnsi="Times New Roman" w:eastAsia="仿宋_GB2312" w:cs="Times New Roman"/>
          <w:szCs w:val="32"/>
        </w:rPr>
        <w:t>组织实施全市人口普查、经济普查、农业普查等重大国情国力普查，汇总、整理和提供有关市情市力方面的基础统计数据。</w:t>
      </w:r>
    </w:p>
    <w:p>
      <w:pPr>
        <w:spacing w:line="560" w:lineRule="exact"/>
        <w:ind w:firstLine="640" w:firstLineChars="200"/>
        <w:outlineLvl w:val="2"/>
        <w:rPr>
          <w:rFonts w:hint="eastAsia" w:ascii="Times New Roman" w:hAnsi="Times New Roman" w:eastAsia="仿宋_GB2312" w:cs="Times New Roman"/>
          <w:szCs w:val="32"/>
        </w:rPr>
      </w:pPr>
      <w:r>
        <w:rPr>
          <w:rFonts w:hint="eastAsia" w:ascii="Times New Roman" w:hAnsi="Times New Roman" w:eastAsia="仿宋_GB2312" w:cs="Times New Roman"/>
          <w:szCs w:val="32"/>
          <w:lang w:val="en-US" w:eastAsia="zh-CN"/>
        </w:rPr>
        <w:t>6、</w:t>
      </w:r>
      <w:r>
        <w:rPr>
          <w:rFonts w:hint="eastAsia" w:ascii="Times New Roman" w:hAnsi="Times New Roman" w:eastAsia="仿宋_GB2312" w:cs="Times New Roman"/>
          <w:szCs w:val="32"/>
        </w:rPr>
        <w:t>对全市国民经济和社会发展等情况进行统计分析和预测，统一核定、管理和定期发布统计公报以及有关普查和专项调查公报，为市委、市政府提供统计信息和咨询建议。</w:t>
      </w:r>
    </w:p>
    <w:p>
      <w:pPr>
        <w:spacing w:line="560" w:lineRule="exact"/>
        <w:ind w:firstLine="640" w:firstLineChars="200"/>
        <w:outlineLvl w:val="2"/>
        <w:rPr>
          <w:rFonts w:hint="eastAsia" w:ascii="Times New Roman" w:hAnsi="Times New Roman" w:eastAsia="仿宋_GB2312" w:cs="Times New Roman"/>
          <w:szCs w:val="32"/>
        </w:rPr>
      </w:pPr>
      <w:r>
        <w:rPr>
          <w:rFonts w:hint="eastAsia" w:ascii="Times New Roman" w:hAnsi="Times New Roman" w:eastAsia="仿宋_GB2312" w:cs="Times New Roman"/>
          <w:szCs w:val="32"/>
          <w:lang w:val="en-US" w:eastAsia="zh-CN"/>
        </w:rPr>
        <w:t>7、</w:t>
      </w:r>
      <w:r>
        <w:rPr>
          <w:rFonts w:hint="eastAsia" w:ascii="Times New Roman" w:hAnsi="Times New Roman" w:eastAsia="仿宋_GB2312" w:cs="Times New Roman"/>
          <w:szCs w:val="32"/>
        </w:rPr>
        <w:t>组织实施各项社情民意调查，汇总整理、分析研究调查资料，提供有关社会动态和社情民意信息。</w:t>
      </w:r>
    </w:p>
    <w:p>
      <w:pPr>
        <w:spacing w:line="560" w:lineRule="exact"/>
        <w:ind w:firstLine="640" w:firstLineChars="200"/>
        <w:outlineLvl w:val="2"/>
        <w:rPr>
          <w:rFonts w:hint="eastAsia" w:ascii="Times New Roman" w:hAnsi="Times New Roman" w:eastAsia="仿宋_GB2312" w:cs="Times New Roman"/>
          <w:b/>
          <w:bCs/>
          <w:szCs w:val="32"/>
        </w:rPr>
      </w:pPr>
      <w:r>
        <w:rPr>
          <w:rFonts w:hint="eastAsia" w:ascii="Times New Roman" w:hAnsi="Times New Roman" w:eastAsia="仿宋_GB2312" w:cs="Times New Roman"/>
          <w:szCs w:val="32"/>
          <w:lang w:val="en-US" w:eastAsia="zh-CN"/>
        </w:rPr>
        <w:t>8、</w:t>
      </w:r>
      <w:r>
        <w:rPr>
          <w:rFonts w:hint="eastAsia" w:ascii="Times New Roman" w:hAnsi="Times New Roman" w:eastAsia="仿宋_GB2312" w:cs="Times New Roman"/>
          <w:szCs w:val="32"/>
        </w:rPr>
        <w:t>承办市委、市人民政府和上级主管部门交办的其他事项。</w:t>
      </w:r>
    </w:p>
    <w:p>
      <w:pPr>
        <w:numPr>
          <w:ilvl w:val="255"/>
          <w:numId w:val="0"/>
        </w:numPr>
        <w:spacing w:line="560" w:lineRule="exact"/>
        <w:ind w:firstLine="643" w:firstLineChars="200"/>
        <w:outlineLvl w:val="1"/>
        <w:rPr>
          <w:rFonts w:ascii="楷体" w:hAnsi="楷体" w:eastAsia="楷体" w:cs="楷体"/>
          <w:b/>
          <w:bCs/>
          <w:szCs w:val="32"/>
        </w:rPr>
      </w:pPr>
      <w:r>
        <w:rPr>
          <w:rFonts w:hint="eastAsia" w:ascii="楷体" w:hAnsi="楷体" w:eastAsia="楷体" w:cs="楷体"/>
          <w:b/>
          <w:bCs/>
          <w:szCs w:val="32"/>
        </w:rPr>
        <w:t>（二）部门组织机构及人员情况</w:t>
      </w:r>
    </w:p>
    <w:p>
      <w:pPr>
        <w:numPr>
          <w:ilvl w:val="255"/>
          <w:numId w:val="0"/>
        </w:numPr>
        <w:spacing w:line="560" w:lineRule="exact"/>
        <w:ind w:firstLine="643" w:firstLineChars="200"/>
        <w:outlineLvl w:val="2"/>
        <w:rPr>
          <w:rFonts w:ascii="楷体" w:hAnsi="楷体" w:eastAsia="楷体" w:cs="楷体"/>
          <w:b/>
          <w:bCs/>
          <w:szCs w:val="32"/>
        </w:rPr>
      </w:pPr>
      <w:r>
        <w:rPr>
          <w:rFonts w:hint="eastAsia" w:ascii="楷体" w:hAnsi="楷体" w:eastAsia="楷体" w:cs="楷体"/>
          <w:b/>
          <w:bCs/>
          <w:szCs w:val="32"/>
        </w:rPr>
        <w:t>1、部门组织机构情况</w:t>
      </w:r>
    </w:p>
    <w:p>
      <w:pPr>
        <w:numPr>
          <w:ilvl w:val="255"/>
          <w:numId w:val="0"/>
        </w:numPr>
        <w:spacing w:line="560" w:lineRule="exact"/>
        <w:ind w:firstLine="640" w:firstLineChars="200"/>
        <w:outlineLvl w:val="2"/>
        <w:rPr>
          <w:rFonts w:hint="eastAsia" w:ascii="Times New Roman" w:hAnsi="Times New Roman" w:eastAsia="仿宋_GB2312" w:cs="Times New Roman"/>
          <w:szCs w:val="32"/>
        </w:rPr>
      </w:pPr>
      <w:r>
        <w:rPr>
          <w:rFonts w:hint="eastAsia" w:ascii="Times New Roman" w:hAnsi="Times New Roman" w:eastAsia="仿宋_GB2312" w:cs="Times New Roman"/>
          <w:szCs w:val="32"/>
        </w:rPr>
        <w:t>本部门由4个内设机构及3个二级机构组成，内设机构分别为：办公室（财务室）、业务一科、业务二科、综合分析科；二级机构分别为：普查中心、经济调查队、民意调查中心。</w:t>
      </w:r>
    </w:p>
    <w:p>
      <w:pPr>
        <w:numPr>
          <w:ilvl w:val="255"/>
          <w:numId w:val="0"/>
        </w:numPr>
        <w:spacing w:line="560" w:lineRule="exact"/>
        <w:ind w:firstLine="643" w:firstLineChars="200"/>
        <w:outlineLvl w:val="2"/>
        <w:rPr>
          <w:rFonts w:ascii="楷体" w:hAnsi="楷体" w:eastAsia="楷体" w:cs="楷体"/>
          <w:b/>
          <w:bCs/>
          <w:szCs w:val="32"/>
        </w:rPr>
      </w:pPr>
      <w:r>
        <w:rPr>
          <w:rFonts w:hint="eastAsia" w:ascii="楷体" w:hAnsi="楷体" w:eastAsia="楷体" w:cs="楷体"/>
          <w:b/>
          <w:bCs/>
          <w:szCs w:val="32"/>
        </w:rPr>
        <w:t>2、部门人员情况</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Times New Roman" w:hAnsi="Times New Roman" w:eastAsia="仿宋_GB2312" w:cs="Times New Roman"/>
          <w:szCs w:val="32"/>
          <w:highlight w:val="none"/>
        </w:rPr>
      </w:pPr>
      <w:r>
        <w:rPr>
          <w:rFonts w:hint="eastAsia" w:ascii="Times New Roman" w:hAnsi="Times New Roman" w:eastAsia="仿宋_GB2312" w:cs="Times New Roman"/>
          <w:szCs w:val="32"/>
          <w:highlight w:val="none"/>
        </w:rPr>
        <w:t>2022年</w:t>
      </w:r>
      <w:r>
        <w:rPr>
          <w:rFonts w:hint="eastAsia" w:ascii="Times New Roman" w:hAnsi="Times New Roman" w:eastAsia="仿宋_GB2312" w:cs="Times New Roman"/>
          <w:szCs w:val="32"/>
          <w:highlight w:val="none"/>
          <w:lang w:eastAsia="zh-CN"/>
        </w:rPr>
        <w:t>统计局</w:t>
      </w:r>
      <w:r>
        <w:rPr>
          <w:rFonts w:hint="eastAsia" w:ascii="Times New Roman" w:hAnsi="Times New Roman" w:eastAsia="仿宋_GB2312" w:cs="Times New Roman"/>
          <w:szCs w:val="32"/>
          <w:highlight w:val="none"/>
        </w:rPr>
        <w:t>年末实有人数</w:t>
      </w:r>
      <w:r>
        <w:rPr>
          <w:rFonts w:hint="eastAsia" w:ascii="Times New Roman" w:hAnsi="Times New Roman" w:eastAsia="仿宋_GB2312" w:cs="Times New Roman"/>
          <w:szCs w:val="32"/>
          <w:highlight w:val="none"/>
          <w:lang w:val="en-US" w:eastAsia="zh-CN"/>
        </w:rPr>
        <w:t>29</w:t>
      </w:r>
      <w:r>
        <w:rPr>
          <w:rFonts w:hint="eastAsia" w:ascii="Times New Roman" w:hAnsi="Times New Roman" w:eastAsia="仿宋_GB2312" w:cs="Times New Roman"/>
          <w:szCs w:val="32"/>
          <w:highlight w:val="none"/>
        </w:rPr>
        <w:t>人</w:t>
      </w:r>
      <w:r>
        <w:rPr>
          <w:rFonts w:hint="eastAsia" w:ascii="Times New Roman" w:hAnsi="Times New Roman" w:eastAsia="仿宋_GB2312" w:cs="Times New Roman"/>
          <w:color w:val="auto"/>
          <w:szCs w:val="32"/>
          <w:highlight w:val="none"/>
          <w:lang w:eastAsia="zh-CN"/>
        </w:rPr>
        <w:t>，</w:t>
      </w:r>
      <w:r>
        <w:rPr>
          <w:rFonts w:hint="eastAsia" w:ascii="Times New Roman" w:hAnsi="Times New Roman" w:eastAsia="仿宋_GB2312" w:cs="Times New Roman"/>
          <w:szCs w:val="32"/>
          <w:highlight w:val="none"/>
          <w:lang w:eastAsia="zh-CN"/>
        </w:rPr>
        <w:t>与</w:t>
      </w:r>
      <w:r>
        <w:rPr>
          <w:rFonts w:hint="eastAsia" w:ascii="Times New Roman" w:hAnsi="Times New Roman" w:eastAsia="仿宋_GB2312" w:cs="Times New Roman"/>
          <w:szCs w:val="32"/>
          <w:highlight w:val="none"/>
        </w:rPr>
        <w:t>上年</w:t>
      </w:r>
      <w:r>
        <w:rPr>
          <w:rFonts w:hint="eastAsia" w:ascii="Times New Roman" w:hAnsi="Times New Roman" w:eastAsia="仿宋_GB2312" w:cs="Times New Roman"/>
          <w:szCs w:val="32"/>
          <w:highlight w:val="none"/>
          <w:lang w:eastAsia="zh-CN"/>
        </w:rPr>
        <w:t>相比，减少</w:t>
      </w:r>
      <w:r>
        <w:rPr>
          <w:rFonts w:hint="eastAsia" w:ascii="Times New Roman" w:hAnsi="Times New Roman" w:eastAsia="仿宋_GB2312" w:cs="Times New Roman"/>
          <w:szCs w:val="32"/>
          <w:highlight w:val="none"/>
          <w:lang w:val="en-US" w:eastAsia="zh-CN"/>
        </w:rPr>
        <w:t>3人，主要原因是3个退休</w:t>
      </w:r>
      <w:r>
        <w:rPr>
          <w:rFonts w:hint="eastAsia" w:ascii="Times New Roman" w:hAnsi="Times New Roman" w:eastAsia="仿宋_GB2312" w:cs="Times New Roman"/>
          <w:szCs w:val="32"/>
          <w:highlight w:val="none"/>
          <w:lang w:eastAsia="zh-CN"/>
        </w:rPr>
        <w:t>。</w:t>
      </w:r>
    </w:p>
    <w:p>
      <w:pPr>
        <w:numPr>
          <w:ilvl w:val="255"/>
          <w:numId w:val="0"/>
        </w:numPr>
        <w:spacing w:line="560" w:lineRule="exact"/>
        <w:ind w:firstLine="640" w:firstLineChars="200"/>
        <w:outlineLvl w:val="1"/>
        <w:rPr>
          <w:rFonts w:hint="eastAsia" w:ascii="Times New Roman" w:hAnsi="Times New Roman" w:eastAsia="仿宋_GB2312" w:cs="Times New Roman"/>
          <w:color w:val="auto"/>
          <w:szCs w:val="32"/>
          <w:lang w:eastAsia="zh-CN"/>
        </w:rPr>
      </w:pPr>
    </w:p>
    <w:p>
      <w:pPr>
        <w:numPr>
          <w:ilvl w:val="255"/>
          <w:numId w:val="0"/>
        </w:numPr>
        <w:spacing w:line="560" w:lineRule="exact"/>
        <w:ind w:firstLine="643" w:firstLineChars="200"/>
        <w:outlineLvl w:val="1"/>
        <w:rPr>
          <w:rFonts w:hint="default" w:ascii="楷体" w:hAnsi="楷体" w:eastAsia="楷体" w:cs="楷体"/>
          <w:b/>
          <w:bCs/>
          <w:szCs w:val="32"/>
          <w:lang w:val="en-US" w:eastAsia="zh-CN"/>
        </w:rPr>
      </w:pPr>
      <w:r>
        <w:rPr>
          <w:rFonts w:hint="eastAsia" w:ascii="楷体" w:hAnsi="楷体" w:eastAsia="楷体" w:cs="楷体"/>
          <w:b/>
          <w:bCs/>
          <w:szCs w:val="32"/>
        </w:rPr>
        <w:t>（三）</w:t>
      </w:r>
      <w:r>
        <w:rPr>
          <w:rFonts w:hint="eastAsia" w:ascii="楷体" w:hAnsi="楷体" w:eastAsia="楷体" w:cs="楷体"/>
          <w:b/>
          <w:bCs/>
          <w:szCs w:val="32"/>
          <w:lang w:val="en-US" w:eastAsia="zh-CN"/>
        </w:rPr>
        <w:t>年度重点工作计划</w:t>
      </w:r>
    </w:p>
    <w:p>
      <w:pPr>
        <w:overflowPunct w:val="0"/>
        <w:spacing w:line="600" w:lineRule="exact"/>
        <w:ind w:firstLine="643" w:firstLineChars="200"/>
        <w:rPr>
          <w:rFonts w:hint="eastAsia" w:ascii="Times New Roman" w:hAnsi="Times New Roman" w:eastAsia="仿宋_GB2312" w:cs="Times New Roman"/>
          <w:szCs w:val="32"/>
          <w:lang w:eastAsia="zh-CN"/>
        </w:rPr>
      </w:pPr>
      <w:r>
        <w:rPr>
          <w:rFonts w:hint="eastAsia" w:ascii="楷体" w:hAnsi="楷体" w:eastAsia="楷体" w:cs="楷体"/>
          <w:b/>
          <w:bCs/>
          <w:szCs w:val="32"/>
        </w:rPr>
        <w:t>1、</w:t>
      </w:r>
      <w:r>
        <w:rPr>
          <w:rFonts w:hint="default" w:ascii="Times New Roman" w:hAnsi="Times New Roman" w:eastAsia="仿宋_GB2312" w:cs="Times New Roman"/>
          <w:szCs w:val="32"/>
        </w:rPr>
        <w:t>坚持党建引领，深入学习宣传贯彻党的二十大精神，始终与伟大的党同心同德</w:t>
      </w:r>
      <w:r>
        <w:rPr>
          <w:rFonts w:hint="eastAsia" w:ascii="Times New Roman" w:hAnsi="Times New Roman" w:eastAsia="仿宋_GB2312" w:cs="Times New Roman"/>
          <w:szCs w:val="32"/>
          <w:lang w:eastAsia="zh-CN"/>
        </w:rPr>
        <w:t>。</w:t>
      </w:r>
    </w:p>
    <w:p>
      <w:pPr>
        <w:pStyle w:val="39"/>
        <w:overflowPunct w:val="0"/>
        <w:rPr>
          <w:rFonts w:hint="eastAsia" w:ascii="Times New Roman" w:hAnsi="Times New Roman" w:eastAsia="仿宋_GB2312" w:cs="Times New Roman"/>
          <w:kern w:val="2"/>
          <w:sz w:val="32"/>
          <w:szCs w:val="32"/>
          <w:lang w:val="en-US" w:eastAsia="zh-CN" w:bidi="ar-SA"/>
        </w:rPr>
      </w:pPr>
      <w:r>
        <w:rPr>
          <w:rFonts w:hint="eastAsia" w:ascii="楷体" w:hAnsi="楷体" w:eastAsia="楷体" w:cs="楷体"/>
          <w:b/>
          <w:bCs/>
          <w:szCs w:val="32"/>
        </w:rPr>
        <w:t>2、</w:t>
      </w:r>
      <w:r>
        <w:rPr>
          <w:rFonts w:hint="default" w:ascii="Times New Roman" w:hAnsi="Times New Roman" w:eastAsia="仿宋_GB2312" w:cs="Times New Roman"/>
          <w:kern w:val="2"/>
          <w:sz w:val="32"/>
          <w:szCs w:val="32"/>
          <w:lang w:val="en-US" w:eastAsia="zh-CN" w:bidi="ar-SA"/>
        </w:rPr>
        <w:t>严格依法治统，抓好统计督察整改</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专项纠治行动</w:t>
      </w:r>
      <w:r>
        <w:rPr>
          <w:rFonts w:hint="eastAsia" w:ascii="Times New Roman" w:hAnsi="Times New Roman" w:eastAsia="仿宋_GB2312" w:cs="Times New Roman"/>
          <w:kern w:val="2"/>
          <w:sz w:val="32"/>
          <w:szCs w:val="32"/>
          <w:lang w:val="en-US" w:eastAsia="zh-CN" w:bidi="ar-SA"/>
        </w:rPr>
        <w:t>及</w:t>
      </w:r>
      <w:r>
        <w:rPr>
          <w:rFonts w:hint="default" w:ascii="Times New Roman" w:hAnsi="Times New Roman" w:eastAsia="仿宋_GB2312" w:cs="Times New Roman"/>
          <w:kern w:val="2"/>
          <w:sz w:val="32"/>
          <w:szCs w:val="32"/>
          <w:lang w:val="en-US" w:eastAsia="zh-CN" w:bidi="ar-SA"/>
        </w:rPr>
        <w:t>统计法治建设</w:t>
      </w:r>
      <w:r>
        <w:rPr>
          <w:rFonts w:hint="eastAsia" w:ascii="Times New Roman" w:hAnsi="Times New Roman" w:eastAsia="仿宋_GB2312" w:cs="Times New Roman"/>
          <w:kern w:val="2"/>
          <w:sz w:val="32"/>
          <w:szCs w:val="32"/>
          <w:lang w:val="en-US" w:eastAsia="zh-CN" w:bidi="ar-SA"/>
        </w:rPr>
        <w:t>。</w:t>
      </w:r>
    </w:p>
    <w:p>
      <w:pPr>
        <w:overflowPunct w:val="0"/>
        <w:spacing w:line="600" w:lineRule="exact"/>
        <w:ind w:firstLine="645"/>
        <w:rPr>
          <w:rFonts w:hint="eastAsia" w:ascii="Times New Roman" w:hAnsi="Times New Roman" w:eastAsia="黑体" w:cs="Times New Roman"/>
          <w:sz w:val="32"/>
          <w:szCs w:val="32"/>
          <w:lang w:eastAsia="zh-CN"/>
        </w:rPr>
      </w:pPr>
      <w:r>
        <w:rPr>
          <w:rFonts w:hint="eastAsia" w:ascii="楷体" w:hAnsi="楷体" w:eastAsia="楷体" w:cs="楷体"/>
          <w:b/>
          <w:bCs/>
          <w:szCs w:val="32"/>
          <w:lang w:val="en-US" w:eastAsia="zh-CN"/>
        </w:rPr>
        <w:t>3</w:t>
      </w:r>
      <w:r>
        <w:rPr>
          <w:rFonts w:hint="eastAsia" w:ascii="楷体" w:hAnsi="楷体" w:eastAsia="楷体" w:cs="楷体"/>
          <w:b/>
          <w:bCs/>
          <w:szCs w:val="32"/>
        </w:rPr>
        <w:t>、</w:t>
      </w:r>
      <w:r>
        <w:rPr>
          <w:rFonts w:hint="eastAsia" w:ascii="仿宋_GB2312" w:hAnsi="仿宋_GB2312" w:eastAsia="仿宋_GB2312" w:cs="仿宋_GB2312"/>
          <w:b w:val="0"/>
          <w:bCs w:val="0"/>
          <w:szCs w:val="32"/>
          <w:lang w:eastAsia="zh-CN"/>
        </w:rPr>
        <w:t>加</w:t>
      </w:r>
      <w:r>
        <w:rPr>
          <w:rFonts w:hint="eastAsia" w:ascii="仿宋_GB2312" w:hAnsi="仿宋_GB2312" w:eastAsia="仿宋_GB2312" w:cs="仿宋_GB2312"/>
          <w:b w:val="0"/>
          <w:bCs w:val="0"/>
          <w:kern w:val="2"/>
          <w:sz w:val="32"/>
          <w:szCs w:val="32"/>
          <w:lang w:val="en-US" w:eastAsia="zh-CN" w:bidi="ar-SA"/>
        </w:rPr>
        <w:t>强监</w:t>
      </w:r>
      <w:r>
        <w:rPr>
          <w:rFonts w:hint="eastAsia" w:ascii="仿宋_GB2312" w:hAnsi="仿宋_GB2312" w:eastAsia="仿宋_GB2312" w:cs="仿宋_GB2312"/>
          <w:kern w:val="2"/>
          <w:sz w:val="32"/>
          <w:szCs w:val="32"/>
          <w:lang w:val="en-US" w:eastAsia="zh-CN" w:bidi="ar-SA"/>
        </w:rPr>
        <w:t>测预</w:t>
      </w:r>
      <w:r>
        <w:rPr>
          <w:rFonts w:hint="default" w:ascii="Times New Roman" w:hAnsi="Times New Roman" w:eastAsia="仿宋_GB2312" w:cs="Times New Roman"/>
          <w:kern w:val="2"/>
          <w:sz w:val="32"/>
          <w:szCs w:val="32"/>
          <w:lang w:val="en-US" w:eastAsia="zh-CN" w:bidi="ar-SA"/>
        </w:rPr>
        <w:t>警，全面提升统计服务水平</w:t>
      </w:r>
      <w:r>
        <w:rPr>
          <w:rFonts w:hint="eastAsia" w:ascii="Times New Roman" w:hAnsi="Times New Roman" w:eastAsia="仿宋_GB2312" w:cs="Times New Roman"/>
          <w:kern w:val="2"/>
          <w:sz w:val="32"/>
          <w:szCs w:val="32"/>
          <w:lang w:val="en-US" w:eastAsia="zh-CN" w:bidi="ar-SA"/>
        </w:rPr>
        <w:t>。</w:t>
      </w:r>
    </w:p>
    <w:p>
      <w:pPr>
        <w:pStyle w:val="39"/>
        <w:overflowPunct w:val="0"/>
        <w:rPr>
          <w:rFonts w:hint="eastAsia" w:ascii="Times New Roman" w:hAnsi="Times New Roman" w:eastAsia="仿宋_GB2312" w:cs="Times New Roman"/>
          <w:kern w:val="2"/>
          <w:sz w:val="32"/>
          <w:szCs w:val="32"/>
          <w:lang w:val="en-US" w:eastAsia="zh-CN" w:bidi="ar-SA"/>
        </w:rPr>
      </w:pPr>
      <w:r>
        <w:rPr>
          <w:rFonts w:hint="eastAsia" w:ascii="楷体" w:hAnsi="楷体" w:eastAsia="楷体" w:cs="楷体"/>
          <w:b/>
          <w:bCs/>
          <w:szCs w:val="32"/>
          <w:lang w:val="en-US" w:eastAsia="zh-CN"/>
        </w:rPr>
        <w:t>4</w:t>
      </w:r>
      <w:r>
        <w:rPr>
          <w:rFonts w:hint="eastAsia" w:ascii="楷体" w:hAnsi="楷体" w:eastAsia="楷体" w:cs="楷体"/>
          <w:b/>
          <w:bCs/>
          <w:szCs w:val="32"/>
        </w:rPr>
        <w:t>、</w:t>
      </w:r>
      <w:r>
        <w:rPr>
          <w:rFonts w:hint="default" w:ascii="Times New Roman" w:hAnsi="Times New Roman" w:eastAsia="仿宋_GB2312" w:cs="Times New Roman"/>
          <w:kern w:val="2"/>
          <w:sz w:val="32"/>
          <w:szCs w:val="32"/>
          <w:lang w:val="en-US" w:eastAsia="zh-CN" w:bidi="ar-SA"/>
        </w:rPr>
        <w:t>夯实基层基础，扎实推进统计规范化建设</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着力推进星级统计站点创建</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高质完成民意调查中心整体搬迁</w:t>
      </w:r>
      <w:r>
        <w:rPr>
          <w:rFonts w:hint="eastAsia" w:ascii="Times New Roman" w:hAnsi="Times New Roman" w:eastAsia="仿宋_GB2312" w:cs="Times New Roman"/>
          <w:kern w:val="2"/>
          <w:sz w:val="32"/>
          <w:szCs w:val="32"/>
          <w:lang w:val="en-US" w:eastAsia="zh-CN" w:bidi="ar-SA"/>
        </w:rPr>
        <w:t>。</w:t>
      </w:r>
    </w:p>
    <w:p>
      <w:pPr>
        <w:numPr>
          <w:ilvl w:val="255"/>
          <w:numId w:val="0"/>
        </w:numPr>
        <w:spacing w:line="560" w:lineRule="exact"/>
        <w:ind w:firstLine="643" w:firstLineChars="200"/>
        <w:outlineLvl w:val="1"/>
        <w:rPr>
          <w:rFonts w:ascii="楷体" w:hAnsi="楷体" w:eastAsia="楷体" w:cs="楷体"/>
          <w:b/>
          <w:bCs/>
          <w:szCs w:val="32"/>
        </w:rPr>
      </w:pPr>
      <w:r>
        <w:rPr>
          <w:rFonts w:hint="eastAsia" w:ascii="楷体" w:hAnsi="楷体" w:eastAsia="楷体" w:cs="楷体"/>
          <w:b/>
          <w:bCs/>
          <w:szCs w:val="32"/>
          <w:lang w:eastAsia="zh-CN"/>
        </w:rPr>
        <w:t>（</w:t>
      </w:r>
      <w:r>
        <w:rPr>
          <w:rFonts w:hint="eastAsia" w:ascii="楷体" w:hAnsi="楷体" w:eastAsia="楷体" w:cs="楷体"/>
          <w:b/>
          <w:bCs/>
          <w:szCs w:val="32"/>
          <w:lang w:val="en-US" w:eastAsia="zh-CN"/>
        </w:rPr>
        <w:t>四</w:t>
      </w:r>
      <w:r>
        <w:rPr>
          <w:rFonts w:hint="eastAsia" w:ascii="楷体" w:hAnsi="楷体" w:eastAsia="楷体" w:cs="楷体"/>
          <w:b/>
          <w:bCs/>
          <w:szCs w:val="32"/>
          <w:lang w:eastAsia="zh-CN"/>
        </w:rPr>
        <w:t>）</w:t>
      </w:r>
      <w:r>
        <w:rPr>
          <w:rFonts w:hint="eastAsia" w:ascii="楷体" w:hAnsi="楷体" w:eastAsia="楷体" w:cs="楷体"/>
          <w:b/>
          <w:bCs/>
          <w:szCs w:val="32"/>
        </w:rPr>
        <w:t>部门整体支出规模、使用方向、主要内容和涉及范围</w:t>
      </w:r>
    </w:p>
    <w:p>
      <w:pPr>
        <w:spacing w:line="560" w:lineRule="exact"/>
        <w:ind w:firstLine="643" w:firstLineChars="200"/>
        <w:outlineLvl w:val="2"/>
        <w:rPr>
          <w:rFonts w:hint="eastAsia" w:ascii="楷体" w:hAnsi="楷体" w:eastAsia="楷体" w:cs="楷体"/>
          <w:b/>
          <w:bCs/>
          <w:szCs w:val="32"/>
          <w:lang w:val="en-US" w:eastAsia="zh-CN"/>
        </w:rPr>
      </w:pPr>
      <w:r>
        <w:rPr>
          <w:rFonts w:hint="eastAsia" w:ascii="楷体" w:hAnsi="楷体" w:eastAsia="楷体" w:cs="楷体"/>
          <w:b/>
          <w:bCs/>
          <w:szCs w:val="32"/>
          <w:lang w:val="en-US" w:eastAsia="zh-CN"/>
        </w:rPr>
        <w:t>1、部门</w:t>
      </w:r>
      <w:r>
        <w:rPr>
          <w:rFonts w:hint="eastAsia" w:ascii="楷体" w:hAnsi="楷体" w:eastAsia="楷体" w:cs="楷体"/>
          <w:b/>
          <w:bCs/>
          <w:szCs w:val="32"/>
        </w:rPr>
        <w:t>整体支出</w:t>
      </w:r>
      <w:bookmarkStart w:id="0" w:name="_Hlk79679135"/>
      <w:bookmarkStart w:id="1" w:name="_Hlk79645859"/>
      <w:r>
        <w:rPr>
          <w:rFonts w:hint="eastAsia" w:ascii="楷体" w:hAnsi="楷体" w:eastAsia="楷体" w:cs="楷体"/>
          <w:b/>
          <w:bCs/>
          <w:szCs w:val="32"/>
          <w:lang w:val="en-US" w:eastAsia="zh-CN"/>
        </w:rPr>
        <w:t>规模</w:t>
      </w:r>
    </w:p>
    <w:p>
      <w:pPr>
        <w:spacing w:line="560" w:lineRule="exact"/>
        <w:ind w:firstLine="640" w:firstLineChars="200"/>
        <w:rPr>
          <w:rFonts w:hint="eastAsia" w:ascii="Times New Roman" w:hAnsi="Times New Roman" w:eastAsia="仿宋_GB2312" w:cs="Times New Roman"/>
          <w:szCs w:val="32"/>
        </w:rPr>
      </w:pPr>
      <w:r>
        <w:rPr>
          <w:rFonts w:hint="eastAsia" w:ascii="Times New Roman" w:hAnsi="Times New Roman" w:eastAsia="仿宋_GB2312" w:cs="Times New Roman"/>
          <w:szCs w:val="32"/>
        </w:rPr>
        <w:t>2022年</w:t>
      </w:r>
      <w:bookmarkEnd w:id="0"/>
      <w:r>
        <w:rPr>
          <w:rFonts w:hint="eastAsia" w:ascii="Times New Roman" w:hAnsi="Times New Roman" w:eastAsia="仿宋_GB2312" w:cs="Times New Roman"/>
          <w:szCs w:val="32"/>
        </w:rPr>
        <w:t>年初预算支出</w:t>
      </w:r>
      <w:r>
        <w:rPr>
          <w:rFonts w:hint="eastAsia" w:ascii="Times New Roman" w:hAnsi="Times New Roman" w:eastAsia="仿宋_GB2312" w:cs="Times New Roman"/>
          <w:szCs w:val="32"/>
          <w:lang w:eastAsia="zh-CN"/>
        </w:rPr>
        <w:t>715.75</w:t>
      </w:r>
      <w:r>
        <w:rPr>
          <w:rFonts w:hint="eastAsia" w:ascii="Times New Roman" w:hAnsi="Times New Roman" w:eastAsia="仿宋_GB2312" w:cs="Times New Roman"/>
          <w:szCs w:val="32"/>
        </w:rPr>
        <w:t>万元（其中：基本支出</w:t>
      </w:r>
      <w:r>
        <w:rPr>
          <w:rFonts w:hint="eastAsia" w:ascii="Times New Roman" w:hAnsi="Times New Roman" w:eastAsia="仿宋_GB2312" w:cs="Times New Roman"/>
          <w:szCs w:val="32"/>
          <w:lang w:eastAsia="zh-CN"/>
        </w:rPr>
        <w:t>577.33</w:t>
      </w:r>
      <w:r>
        <w:rPr>
          <w:rFonts w:hint="eastAsia" w:ascii="Times New Roman" w:hAnsi="Times New Roman" w:eastAsia="仿宋_GB2312" w:cs="Times New Roman"/>
          <w:szCs w:val="32"/>
        </w:rPr>
        <w:t>万元、项目支出</w:t>
      </w:r>
      <w:r>
        <w:rPr>
          <w:rFonts w:hint="eastAsia" w:ascii="Times New Roman" w:hAnsi="Times New Roman" w:eastAsia="仿宋_GB2312" w:cs="Times New Roman"/>
          <w:szCs w:val="32"/>
          <w:lang w:eastAsia="zh-CN"/>
        </w:rPr>
        <w:t>138.42</w:t>
      </w:r>
      <w:r>
        <w:rPr>
          <w:rFonts w:hint="eastAsia" w:ascii="Times New Roman" w:hAnsi="Times New Roman" w:eastAsia="仿宋_GB2312" w:cs="Times New Roman"/>
          <w:szCs w:val="32"/>
        </w:rPr>
        <w:t>万元），年终决算支出</w:t>
      </w:r>
      <w:bookmarkEnd w:id="1"/>
      <w:r>
        <w:rPr>
          <w:rFonts w:hint="eastAsia" w:ascii="Times New Roman" w:hAnsi="Times New Roman" w:eastAsia="仿宋_GB2312" w:cs="Times New Roman"/>
          <w:szCs w:val="32"/>
          <w:lang w:eastAsia="zh-CN"/>
        </w:rPr>
        <w:t>1,171.50</w:t>
      </w:r>
      <w:r>
        <w:rPr>
          <w:rFonts w:hint="eastAsia" w:ascii="Times New Roman" w:hAnsi="Times New Roman" w:eastAsia="仿宋_GB2312" w:cs="Times New Roman"/>
          <w:szCs w:val="32"/>
        </w:rPr>
        <w:t>万元（其中：基本支出</w:t>
      </w:r>
      <w:r>
        <w:rPr>
          <w:rFonts w:hint="eastAsia" w:ascii="Times New Roman" w:hAnsi="Times New Roman" w:eastAsia="仿宋_GB2312" w:cs="Times New Roman"/>
          <w:szCs w:val="32"/>
          <w:lang w:eastAsia="zh-CN"/>
        </w:rPr>
        <w:t>758.06</w:t>
      </w:r>
      <w:r>
        <w:rPr>
          <w:rFonts w:hint="eastAsia" w:ascii="Times New Roman" w:hAnsi="Times New Roman" w:eastAsia="仿宋_GB2312" w:cs="Times New Roman"/>
          <w:szCs w:val="32"/>
        </w:rPr>
        <w:t>万元、项目支出</w:t>
      </w:r>
      <w:r>
        <w:rPr>
          <w:rFonts w:hint="eastAsia" w:ascii="Times New Roman" w:hAnsi="Times New Roman" w:eastAsia="仿宋_GB2312" w:cs="Times New Roman"/>
          <w:szCs w:val="32"/>
          <w:lang w:eastAsia="zh-CN"/>
        </w:rPr>
        <w:t>413.44</w:t>
      </w:r>
      <w:r>
        <w:rPr>
          <w:rFonts w:hint="eastAsia" w:ascii="Times New Roman" w:hAnsi="Times New Roman" w:eastAsia="仿宋_GB2312" w:cs="Times New Roman"/>
          <w:szCs w:val="32"/>
        </w:rPr>
        <w:t>万元）。详情如下表：</w:t>
      </w:r>
    </w:p>
    <w:p>
      <w:pPr>
        <w:spacing w:line="360" w:lineRule="exact"/>
        <w:ind w:firstLine="400" w:firstLineChars="200"/>
        <w:jc w:val="right"/>
        <w:rPr>
          <w:rFonts w:ascii="Times New Roman" w:hAnsi="Times New Roman" w:cs="Times New Roman"/>
          <w:kern w:val="0"/>
          <w:sz w:val="20"/>
          <w:szCs w:val="20"/>
        </w:rPr>
      </w:pPr>
      <w:r>
        <w:rPr>
          <w:rFonts w:ascii="Times New Roman" w:hAnsi="Times New Roman" w:cs="Times New Roman"/>
          <w:kern w:val="0"/>
          <w:sz w:val="20"/>
          <w:szCs w:val="20"/>
        </w:rPr>
        <w:t>金额单位：万元</w:t>
      </w:r>
    </w:p>
    <w:tbl>
      <w:tblPr>
        <w:tblStyle w:val="14"/>
        <w:tblW w:w="4991" w:type="pct"/>
        <w:tblInd w:w="-153" w:type="dxa"/>
        <w:tblLayout w:type="fixed"/>
        <w:tblCellMar>
          <w:top w:w="0" w:type="dxa"/>
          <w:left w:w="108" w:type="dxa"/>
          <w:bottom w:w="0" w:type="dxa"/>
          <w:right w:w="108" w:type="dxa"/>
        </w:tblCellMar>
      </w:tblPr>
      <w:tblGrid>
        <w:gridCol w:w="683"/>
        <w:gridCol w:w="1511"/>
        <w:gridCol w:w="1671"/>
        <w:gridCol w:w="1563"/>
        <w:gridCol w:w="1906"/>
        <w:gridCol w:w="1174"/>
      </w:tblGrid>
      <w:tr>
        <w:tblPrEx>
          <w:tblCellMar>
            <w:top w:w="0" w:type="dxa"/>
            <w:left w:w="108" w:type="dxa"/>
            <w:bottom w:w="0" w:type="dxa"/>
            <w:right w:w="108" w:type="dxa"/>
          </w:tblCellMar>
        </w:tblPrEx>
        <w:trPr>
          <w:trHeight w:val="499" w:hRule="exact"/>
          <w:tblHeader/>
        </w:trPr>
        <w:tc>
          <w:tcPr>
            <w:tcW w:w="402" w:type="pct"/>
            <w:tcBorders>
              <w:top w:val="single" w:color="000000" w:sz="8" w:space="0"/>
              <w:left w:val="single" w:color="000000" w:sz="8" w:space="0"/>
              <w:bottom w:val="single" w:color="000000" w:sz="8" w:space="0"/>
              <w:right w:val="single" w:color="000000" w:sz="8" w:space="0"/>
            </w:tcBorders>
            <w:shd w:val="clear" w:color="000000" w:fill="FFFFFF"/>
            <w:noWrap/>
            <w:vAlign w:val="center"/>
          </w:tcPr>
          <w:p>
            <w:pPr>
              <w:widowControl/>
              <w:spacing w:line="240" w:lineRule="exact"/>
              <w:jc w:val="center"/>
              <w:rPr>
                <w:rFonts w:ascii="仿宋_GB2312" w:hAnsi="仿宋" w:eastAsia="仿宋_GB2312" w:cs="宋体"/>
                <w:b/>
                <w:bCs/>
                <w:color w:val="000000"/>
                <w:kern w:val="0"/>
                <w:sz w:val="21"/>
                <w:szCs w:val="21"/>
              </w:rPr>
            </w:pPr>
            <w:r>
              <w:rPr>
                <w:rFonts w:hint="eastAsia" w:ascii="仿宋_GB2312" w:hAnsi="仿宋" w:eastAsia="仿宋_GB2312" w:cs="宋体"/>
                <w:b/>
                <w:bCs/>
                <w:color w:val="000000"/>
                <w:kern w:val="0"/>
                <w:sz w:val="21"/>
                <w:szCs w:val="21"/>
              </w:rPr>
              <w:t>序号</w:t>
            </w:r>
          </w:p>
        </w:tc>
        <w:tc>
          <w:tcPr>
            <w:tcW w:w="886" w:type="pct"/>
            <w:tcBorders>
              <w:top w:val="single" w:color="000000" w:sz="8" w:space="0"/>
              <w:left w:val="nil"/>
              <w:bottom w:val="single" w:color="000000" w:sz="8" w:space="0"/>
              <w:right w:val="single" w:color="000000" w:sz="8" w:space="0"/>
            </w:tcBorders>
            <w:shd w:val="clear" w:color="000000" w:fill="FFFFFF"/>
            <w:vAlign w:val="center"/>
          </w:tcPr>
          <w:p>
            <w:pPr>
              <w:widowControl/>
              <w:spacing w:line="240" w:lineRule="exact"/>
              <w:jc w:val="center"/>
              <w:rPr>
                <w:rFonts w:ascii="仿宋_GB2312" w:hAnsi="仿宋" w:eastAsia="仿宋_GB2312" w:cs="宋体"/>
                <w:b/>
                <w:bCs/>
                <w:color w:val="000000"/>
                <w:kern w:val="0"/>
                <w:sz w:val="21"/>
                <w:szCs w:val="21"/>
              </w:rPr>
            </w:pPr>
            <w:r>
              <w:rPr>
                <w:rFonts w:hint="eastAsia" w:ascii="仿宋_GB2312" w:hAnsi="仿宋" w:eastAsia="仿宋_GB2312" w:cs="宋体"/>
                <w:b/>
                <w:bCs/>
                <w:color w:val="000000"/>
                <w:kern w:val="0"/>
                <w:sz w:val="21"/>
                <w:szCs w:val="21"/>
              </w:rPr>
              <w:t>项目大类</w:t>
            </w:r>
          </w:p>
        </w:tc>
        <w:tc>
          <w:tcPr>
            <w:tcW w:w="981" w:type="pct"/>
            <w:tcBorders>
              <w:top w:val="single" w:color="000000" w:sz="8" w:space="0"/>
              <w:left w:val="nil"/>
              <w:bottom w:val="single" w:color="000000" w:sz="8" w:space="0"/>
              <w:right w:val="single" w:color="000000" w:sz="8" w:space="0"/>
            </w:tcBorders>
            <w:shd w:val="clear" w:color="000000" w:fill="FFFFFF"/>
            <w:noWrap/>
            <w:vAlign w:val="center"/>
          </w:tcPr>
          <w:p>
            <w:pPr>
              <w:widowControl/>
              <w:spacing w:line="240" w:lineRule="exact"/>
              <w:jc w:val="center"/>
              <w:rPr>
                <w:rFonts w:ascii="仿宋_GB2312" w:hAnsi="仿宋" w:eastAsia="仿宋_GB2312" w:cs="宋体"/>
                <w:b/>
                <w:bCs/>
                <w:color w:val="000000"/>
                <w:kern w:val="0"/>
                <w:sz w:val="21"/>
                <w:szCs w:val="21"/>
              </w:rPr>
            </w:pPr>
            <w:r>
              <w:rPr>
                <w:rFonts w:hint="eastAsia" w:ascii="仿宋_GB2312" w:hAnsi="仿宋" w:eastAsia="仿宋_GB2312" w:cs="宋体"/>
                <w:b/>
                <w:bCs/>
                <w:color w:val="000000"/>
                <w:kern w:val="0"/>
                <w:sz w:val="21"/>
                <w:szCs w:val="21"/>
              </w:rPr>
              <w:t>年初预算</w:t>
            </w:r>
          </w:p>
        </w:tc>
        <w:tc>
          <w:tcPr>
            <w:tcW w:w="918" w:type="pct"/>
            <w:tcBorders>
              <w:top w:val="single" w:color="000000" w:sz="8" w:space="0"/>
              <w:left w:val="nil"/>
              <w:bottom w:val="single" w:color="000000" w:sz="8" w:space="0"/>
              <w:right w:val="single" w:color="000000" w:sz="8" w:space="0"/>
            </w:tcBorders>
            <w:shd w:val="clear" w:color="000000" w:fill="FFFFFF"/>
            <w:noWrap/>
            <w:vAlign w:val="center"/>
          </w:tcPr>
          <w:p>
            <w:pPr>
              <w:widowControl/>
              <w:spacing w:line="240" w:lineRule="exact"/>
              <w:jc w:val="center"/>
              <w:rPr>
                <w:rFonts w:ascii="仿宋_GB2312" w:hAnsi="仿宋" w:eastAsia="仿宋_GB2312" w:cs="宋体"/>
                <w:b/>
                <w:bCs/>
                <w:color w:val="000000"/>
                <w:kern w:val="0"/>
                <w:sz w:val="21"/>
                <w:szCs w:val="21"/>
              </w:rPr>
            </w:pPr>
            <w:r>
              <w:rPr>
                <w:rFonts w:hint="eastAsia" w:ascii="仿宋_GB2312" w:hAnsi="仿宋" w:eastAsia="仿宋_GB2312" w:cs="宋体"/>
                <w:b/>
                <w:bCs/>
                <w:color w:val="000000"/>
                <w:kern w:val="0"/>
                <w:sz w:val="21"/>
                <w:szCs w:val="21"/>
              </w:rPr>
              <w:t>本年决算收入</w:t>
            </w:r>
          </w:p>
        </w:tc>
        <w:tc>
          <w:tcPr>
            <w:tcW w:w="1119" w:type="pct"/>
            <w:tcBorders>
              <w:top w:val="single" w:color="000000" w:sz="8" w:space="0"/>
              <w:left w:val="nil"/>
              <w:bottom w:val="single" w:color="000000" w:sz="8" w:space="0"/>
              <w:right w:val="single" w:color="000000" w:sz="8" w:space="0"/>
            </w:tcBorders>
            <w:shd w:val="clear" w:color="000000" w:fill="FFFFFF"/>
            <w:noWrap/>
            <w:vAlign w:val="center"/>
          </w:tcPr>
          <w:p>
            <w:pPr>
              <w:widowControl/>
              <w:spacing w:line="240" w:lineRule="exact"/>
              <w:jc w:val="center"/>
              <w:rPr>
                <w:rFonts w:ascii="仿宋_GB2312" w:hAnsi="仿宋" w:eastAsia="仿宋_GB2312" w:cs="宋体"/>
                <w:b/>
                <w:bCs/>
                <w:color w:val="000000"/>
                <w:kern w:val="0"/>
                <w:sz w:val="21"/>
                <w:szCs w:val="21"/>
              </w:rPr>
            </w:pPr>
            <w:r>
              <w:rPr>
                <w:rFonts w:hint="eastAsia" w:ascii="仿宋_GB2312" w:hAnsi="仿宋" w:eastAsia="仿宋_GB2312" w:cs="宋体"/>
                <w:b/>
                <w:bCs/>
                <w:color w:val="000000"/>
                <w:kern w:val="0"/>
                <w:sz w:val="21"/>
                <w:szCs w:val="21"/>
              </w:rPr>
              <w:t>本年决算支出</w:t>
            </w:r>
          </w:p>
        </w:tc>
        <w:tc>
          <w:tcPr>
            <w:tcW w:w="690" w:type="pct"/>
            <w:tcBorders>
              <w:top w:val="single" w:color="000000" w:sz="8" w:space="0"/>
              <w:left w:val="nil"/>
              <w:bottom w:val="single" w:color="000000" w:sz="8" w:space="0"/>
              <w:right w:val="single" w:color="000000" w:sz="8" w:space="0"/>
            </w:tcBorders>
            <w:shd w:val="clear" w:color="000000" w:fill="FFFFFF"/>
            <w:noWrap/>
            <w:vAlign w:val="center"/>
          </w:tcPr>
          <w:p>
            <w:pPr>
              <w:widowControl/>
              <w:spacing w:line="240" w:lineRule="exact"/>
              <w:jc w:val="center"/>
              <w:rPr>
                <w:rFonts w:ascii="仿宋_GB2312" w:hAnsi="仿宋" w:eastAsia="仿宋_GB2312" w:cs="宋体"/>
                <w:b/>
                <w:bCs/>
                <w:color w:val="000000"/>
                <w:kern w:val="0"/>
                <w:sz w:val="21"/>
                <w:szCs w:val="21"/>
              </w:rPr>
            </w:pPr>
            <w:r>
              <w:rPr>
                <w:rFonts w:hint="eastAsia" w:ascii="仿宋_GB2312" w:hAnsi="仿宋" w:eastAsia="仿宋_GB2312" w:cs="宋体"/>
                <w:b/>
                <w:bCs/>
                <w:color w:val="000000"/>
                <w:kern w:val="0"/>
                <w:sz w:val="21"/>
                <w:szCs w:val="21"/>
              </w:rPr>
              <w:t>备注</w:t>
            </w:r>
          </w:p>
        </w:tc>
      </w:tr>
      <w:tr>
        <w:tblPrEx>
          <w:tblCellMar>
            <w:top w:w="0" w:type="dxa"/>
            <w:left w:w="108" w:type="dxa"/>
            <w:bottom w:w="0" w:type="dxa"/>
            <w:right w:w="108" w:type="dxa"/>
          </w:tblCellMar>
        </w:tblPrEx>
        <w:trPr>
          <w:trHeight w:val="499" w:hRule="exact"/>
        </w:trPr>
        <w:tc>
          <w:tcPr>
            <w:tcW w:w="402" w:type="pct"/>
            <w:tcBorders>
              <w:top w:val="nil"/>
              <w:left w:val="single" w:color="000000" w:sz="8" w:space="0"/>
              <w:bottom w:val="single" w:color="000000" w:sz="8" w:space="0"/>
              <w:right w:val="single" w:color="000000" w:sz="8" w:space="0"/>
            </w:tcBorders>
            <w:shd w:val="clear" w:color="000000" w:fill="FFFFFF"/>
            <w:vAlign w:val="center"/>
          </w:tcPr>
          <w:p>
            <w:pPr>
              <w:widowControl/>
              <w:spacing w:line="240" w:lineRule="exact"/>
              <w:jc w:val="center"/>
              <w:rPr>
                <w:rFonts w:ascii="仿宋_GB2312" w:hAnsi="仿宋" w:eastAsia="仿宋_GB2312" w:cs="宋体"/>
                <w:color w:val="000000"/>
                <w:kern w:val="0"/>
                <w:sz w:val="21"/>
                <w:szCs w:val="21"/>
              </w:rPr>
            </w:pPr>
            <w:r>
              <w:rPr>
                <w:rFonts w:hint="eastAsia" w:ascii="仿宋_GB2312" w:hAnsi="仿宋" w:eastAsia="仿宋_GB2312" w:cs="宋体"/>
                <w:color w:val="000000"/>
                <w:kern w:val="0"/>
                <w:sz w:val="21"/>
                <w:szCs w:val="21"/>
              </w:rPr>
              <w:t>1</w:t>
            </w:r>
          </w:p>
        </w:tc>
        <w:tc>
          <w:tcPr>
            <w:tcW w:w="886" w:type="pct"/>
            <w:tcBorders>
              <w:top w:val="nil"/>
              <w:left w:val="nil"/>
              <w:bottom w:val="single" w:color="000000" w:sz="8" w:space="0"/>
              <w:right w:val="single" w:color="000000" w:sz="8" w:space="0"/>
            </w:tcBorders>
            <w:shd w:val="clear" w:color="000000" w:fill="FFFFFF"/>
            <w:vAlign w:val="center"/>
          </w:tcPr>
          <w:p>
            <w:pPr>
              <w:widowControl/>
              <w:spacing w:line="240" w:lineRule="exact"/>
              <w:rPr>
                <w:rFonts w:ascii="仿宋_GB2312" w:hAnsi="仿宋" w:eastAsia="仿宋_GB2312"/>
                <w:color w:val="000000"/>
                <w:kern w:val="0"/>
                <w:sz w:val="21"/>
                <w:szCs w:val="21"/>
              </w:rPr>
            </w:pPr>
            <w:r>
              <w:rPr>
                <w:rFonts w:hint="eastAsia" w:ascii="仿宋_GB2312" w:hAnsi="仿宋" w:eastAsia="仿宋_GB2312" w:cs="宋体"/>
                <w:color w:val="000000"/>
                <w:kern w:val="0"/>
                <w:sz w:val="21"/>
                <w:szCs w:val="21"/>
              </w:rPr>
              <w:t>基本支出</w:t>
            </w:r>
          </w:p>
        </w:tc>
        <w:tc>
          <w:tcPr>
            <w:tcW w:w="981" w:type="pct"/>
            <w:tcBorders>
              <w:top w:val="nil"/>
              <w:left w:val="nil"/>
              <w:bottom w:val="single" w:color="000000" w:sz="8" w:space="0"/>
              <w:right w:val="single" w:color="000000" w:sz="8" w:space="0"/>
            </w:tcBorders>
            <w:shd w:val="clear" w:color="000000" w:fill="FFFFFF"/>
            <w:vAlign w:val="center"/>
          </w:tcPr>
          <w:p>
            <w:pPr>
              <w:widowControl/>
              <w:spacing w:line="240" w:lineRule="exact"/>
              <w:jc w:val="right"/>
              <w:rPr>
                <w:rFonts w:hint="default" w:ascii="仿宋_GB2312" w:hAnsi="仿宋" w:eastAsia="仿宋_GB2312"/>
                <w:color w:val="000000"/>
                <w:kern w:val="0"/>
                <w:sz w:val="21"/>
                <w:szCs w:val="21"/>
                <w:lang w:val="en-US" w:eastAsia="zh-CN"/>
              </w:rPr>
            </w:pPr>
            <w:r>
              <w:rPr>
                <w:rFonts w:hint="eastAsia" w:ascii="仿宋_GB2312" w:hAnsi="仿宋" w:eastAsia="仿宋_GB2312"/>
                <w:color w:val="000000"/>
                <w:kern w:val="0"/>
                <w:sz w:val="21"/>
                <w:szCs w:val="21"/>
                <w:lang w:val="en-US" w:eastAsia="zh-CN"/>
              </w:rPr>
              <w:t>577.33</w:t>
            </w:r>
          </w:p>
        </w:tc>
        <w:tc>
          <w:tcPr>
            <w:tcW w:w="918" w:type="pct"/>
            <w:tcBorders>
              <w:top w:val="nil"/>
              <w:left w:val="nil"/>
              <w:bottom w:val="single" w:color="000000" w:sz="8" w:space="0"/>
              <w:right w:val="single" w:color="000000" w:sz="8" w:space="0"/>
            </w:tcBorders>
            <w:shd w:val="clear" w:color="000000" w:fill="FFFFFF"/>
            <w:vAlign w:val="center"/>
          </w:tcPr>
          <w:p>
            <w:pPr>
              <w:widowControl/>
              <w:spacing w:line="240" w:lineRule="exact"/>
              <w:jc w:val="right"/>
              <w:rPr>
                <w:rFonts w:hint="default" w:ascii="仿宋_GB2312" w:hAnsi="仿宋" w:eastAsia="仿宋_GB2312"/>
                <w:color w:val="000000"/>
                <w:kern w:val="0"/>
                <w:sz w:val="21"/>
                <w:szCs w:val="21"/>
                <w:lang w:val="en-US" w:eastAsia="zh-CN"/>
              </w:rPr>
            </w:pPr>
            <w:r>
              <w:rPr>
                <w:rFonts w:hint="eastAsia" w:ascii="仿宋_GB2312" w:hAnsi="仿宋" w:eastAsia="仿宋_GB2312"/>
                <w:color w:val="000000"/>
                <w:kern w:val="0"/>
                <w:sz w:val="21"/>
                <w:szCs w:val="21"/>
                <w:lang w:val="en-US" w:eastAsia="zh-CN"/>
              </w:rPr>
              <w:t>758.06</w:t>
            </w:r>
          </w:p>
        </w:tc>
        <w:tc>
          <w:tcPr>
            <w:tcW w:w="1119" w:type="pct"/>
            <w:tcBorders>
              <w:top w:val="nil"/>
              <w:left w:val="nil"/>
              <w:bottom w:val="single" w:color="000000" w:sz="8" w:space="0"/>
              <w:right w:val="single" w:color="000000" w:sz="8" w:space="0"/>
            </w:tcBorders>
            <w:shd w:val="clear" w:color="000000" w:fill="FFFFFF"/>
            <w:vAlign w:val="center"/>
          </w:tcPr>
          <w:p>
            <w:pPr>
              <w:widowControl/>
              <w:spacing w:line="240" w:lineRule="exact"/>
              <w:jc w:val="right"/>
              <w:rPr>
                <w:rFonts w:hint="eastAsia" w:ascii="仿宋_GB2312" w:hAnsi="仿宋" w:eastAsia="仿宋_GB2312"/>
                <w:color w:val="000000"/>
                <w:kern w:val="0"/>
                <w:sz w:val="21"/>
                <w:szCs w:val="21"/>
                <w:lang w:eastAsia="zh-CN"/>
              </w:rPr>
            </w:pPr>
            <w:r>
              <w:rPr>
                <w:rFonts w:hint="eastAsia" w:ascii="仿宋_GB2312" w:hAnsi="仿宋" w:eastAsia="仿宋_GB2312"/>
                <w:color w:val="000000"/>
                <w:kern w:val="0"/>
                <w:sz w:val="21"/>
                <w:szCs w:val="21"/>
                <w:lang w:eastAsia="zh-CN"/>
              </w:rPr>
              <w:t>758.06</w:t>
            </w:r>
          </w:p>
        </w:tc>
        <w:tc>
          <w:tcPr>
            <w:tcW w:w="690" w:type="pct"/>
            <w:tcBorders>
              <w:top w:val="nil"/>
              <w:left w:val="nil"/>
              <w:bottom w:val="single" w:color="000000" w:sz="8" w:space="0"/>
              <w:right w:val="single" w:color="000000" w:sz="8" w:space="0"/>
            </w:tcBorders>
            <w:shd w:val="clear" w:color="000000" w:fill="FFFFFF"/>
            <w:vAlign w:val="center"/>
          </w:tcPr>
          <w:p>
            <w:pPr>
              <w:widowControl/>
              <w:spacing w:line="240" w:lineRule="exact"/>
              <w:jc w:val="right"/>
              <w:rPr>
                <w:rFonts w:ascii="仿宋_GB2312" w:hAnsi="仿宋" w:eastAsia="仿宋_GB2312"/>
                <w:color w:val="000000"/>
                <w:kern w:val="0"/>
                <w:sz w:val="21"/>
                <w:szCs w:val="21"/>
              </w:rPr>
            </w:pPr>
          </w:p>
        </w:tc>
      </w:tr>
      <w:tr>
        <w:tblPrEx>
          <w:tblCellMar>
            <w:top w:w="0" w:type="dxa"/>
            <w:left w:w="108" w:type="dxa"/>
            <w:bottom w:w="0" w:type="dxa"/>
            <w:right w:w="108" w:type="dxa"/>
          </w:tblCellMar>
        </w:tblPrEx>
        <w:trPr>
          <w:trHeight w:val="499" w:hRule="exact"/>
        </w:trPr>
        <w:tc>
          <w:tcPr>
            <w:tcW w:w="2333" w:type="dxa"/>
            <w:gridSpan w:val="2"/>
            <w:tcBorders>
              <w:top w:val="nil"/>
              <w:left w:val="single" w:color="000000" w:sz="8" w:space="0"/>
              <w:bottom w:val="single" w:color="000000" w:sz="8" w:space="0"/>
              <w:right w:val="single" w:color="000000" w:sz="8" w:space="0"/>
            </w:tcBorders>
            <w:shd w:val="clear" w:color="000000" w:fill="FFFFFF"/>
            <w:vAlign w:val="center"/>
          </w:tcPr>
          <w:p>
            <w:pPr>
              <w:widowControl/>
              <w:textAlignment w:val="center"/>
              <w:rPr>
                <w:rFonts w:ascii="仿宋" w:hAnsi="仿宋" w:cs="仿宋"/>
                <w:color w:val="000000"/>
                <w:kern w:val="0"/>
                <w:sz w:val="21"/>
                <w:szCs w:val="21"/>
              </w:rPr>
            </w:pPr>
            <w:r>
              <w:rPr>
                <w:rFonts w:hint="eastAsia" w:ascii="仿宋" w:hAnsi="仿宋" w:cs="仿宋"/>
                <w:color w:val="000000"/>
                <w:kern w:val="0"/>
                <w:sz w:val="20"/>
                <w:szCs w:val="20"/>
                <w:lang w:bidi="ar"/>
              </w:rPr>
              <w:t xml:space="preserve"> 其中： 人员经费</w:t>
            </w:r>
          </w:p>
        </w:tc>
        <w:tc>
          <w:tcPr>
            <w:tcW w:w="981" w:type="pct"/>
            <w:tcBorders>
              <w:top w:val="nil"/>
              <w:left w:val="nil"/>
              <w:bottom w:val="single" w:color="000000" w:sz="8" w:space="0"/>
              <w:right w:val="single" w:color="000000" w:sz="8" w:space="0"/>
            </w:tcBorders>
            <w:shd w:val="clear" w:color="000000" w:fill="FFFFFF"/>
            <w:vAlign w:val="center"/>
          </w:tcPr>
          <w:p>
            <w:pPr>
              <w:widowControl/>
              <w:spacing w:line="240" w:lineRule="exact"/>
              <w:jc w:val="right"/>
              <w:rPr>
                <w:rFonts w:hint="default" w:ascii="仿宋_GB2312" w:hAnsi="仿宋" w:eastAsia="仿宋_GB2312"/>
                <w:color w:val="000000"/>
                <w:kern w:val="0"/>
                <w:sz w:val="21"/>
                <w:szCs w:val="21"/>
                <w:lang w:val="en-US" w:eastAsia="zh-CN"/>
              </w:rPr>
            </w:pPr>
            <w:r>
              <w:rPr>
                <w:rFonts w:hint="eastAsia" w:ascii="仿宋_GB2312" w:hAnsi="仿宋" w:eastAsia="仿宋_GB2312"/>
                <w:color w:val="000000"/>
                <w:kern w:val="0"/>
                <w:sz w:val="21"/>
                <w:szCs w:val="21"/>
                <w:lang w:val="en-US" w:eastAsia="zh-CN"/>
              </w:rPr>
              <w:t>513.33</w:t>
            </w:r>
          </w:p>
        </w:tc>
        <w:tc>
          <w:tcPr>
            <w:tcW w:w="1662" w:type="dxa"/>
            <w:tcBorders>
              <w:top w:val="nil"/>
              <w:left w:val="nil"/>
              <w:bottom w:val="single" w:color="000000" w:sz="8" w:space="0"/>
              <w:right w:val="single" w:color="000000" w:sz="8" w:space="0"/>
            </w:tcBorders>
            <w:shd w:val="clear" w:color="000000" w:fill="FFFFFF"/>
            <w:vAlign w:val="center"/>
          </w:tcPr>
          <w:p>
            <w:pPr>
              <w:widowControl/>
              <w:spacing w:line="240" w:lineRule="exact"/>
              <w:jc w:val="right"/>
              <w:rPr>
                <w:rFonts w:hint="default" w:ascii="仿宋_GB2312" w:hAnsi="仿宋" w:eastAsia="仿宋_GB2312"/>
                <w:color w:val="000000"/>
                <w:kern w:val="0"/>
                <w:sz w:val="21"/>
                <w:szCs w:val="21"/>
                <w:highlight w:val="none"/>
                <w:lang w:val="en-US" w:eastAsia="zh-CN"/>
              </w:rPr>
            </w:pPr>
            <w:r>
              <w:rPr>
                <w:rFonts w:hint="eastAsia" w:ascii="仿宋_GB2312" w:hAnsi="仿宋" w:eastAsia="仿宋_GB2312"/>
                <w:color w:val="000000"/>
                <w:kern w:val="0"/>
                <w:sz w:val="21"/>
                <w:szCs w:val="21"/>
                <w:highlight w:val="none"/>
                <w:lang w:val="en-US" w:eastAsia="zh-CN"/>
              </w:rPr>
              <w:t>733.36</w:t>
            </w:r>
          </w:p>
        </w:tc>
        <w:tc>
          <w:tcPr>
            <w:tcW w:w="1119" w:type="pct"/>
            <w:tcBorders>
              <w:top w:val="nil"/>
              <w:left w:val="nil"/>
              <w:bottom w:val="single" w:color="000000" w:sz="8" w:space="0"/>
              <w:right w:val="single" w:color="000000" w:sz="8" w:space="0"/>
            </w:tcBorders>
            <w:shd w:val="clear" w:color="000000" w:fill="FFFFFF"/>
            <w:vAlign w:val="center"/>
          </w:tcPr>
          <w:p>
            <w:pPr>
              <w:widowControl/>
              <w:spacing w:line="240" w:lineRule="exact"/>
              <w:jc w:val="right"/>
              <w:rPr>
                <w:rFonts w:hint="default" w:ascii="仿宋_GB2312" w:hAnsi="仿宋" w:eastAsia="仿宋_GB2312"/>
                <w:color w:val="000000"/>
                <w:kern w:val="0"/>
                <w:sz w:val="21"/>
                <w:szCs w:val="21"/>
                <w:highlight w:val="none"/>
                <w:lang w:val="en-US" w:eastAsia="zh-CN"/>
              </w:rPr>
            </w:pPr>
            <w:r>
              <w:rPr>
                <w:rFonts w:hint="eastAsia" w:ascii="仿宋_GB2312" w:hAnsi="仿宋" w:eastAsia="仿宋_GB2312"/>
                <w:color w:val="000000"/>
                <w:kern w:val="0"/>
                <w:sz w:val="21"/>
                <w:szCs w:val="21"/>
                <w:highlight w:val="none"/>
                <w:lang w:val="en-US" w:eastAsia="zh-CN"/>
              </w:rPr>
              <w:t>733.36</w:t>
            </w:r>
          </w:p>
        </w:tc>
        <w:tc>
          <w:tcPr>
            <w:tcW w:w="690" w:type="pct"/>
            <w:tcBorders>
              <w:top w:val="nil"/>
              <w:left w:val="nil"/>
              <w:bottom w:val="single" w:color="000000" w:sz="8" w:space="0"/>
              <w:right w:val="single" w:color="000000" w:sz="8" w:space="0"/>
            </w:tcBorders>
            <w:shd w:val="clear" w:color="000000" w:fill="FFFFFF"/>
            <w:vAlign w:val="center"/>
          </w:tcPr>
          <w:p>
            <w:pPr>
              <w:widowControl/>
              <w:spacing w:line="240" w:lineRule="exact"/>
              <w:jc w:val="right"/>
              <w:rPr>
                <w:rFonts w:ascii="仿宋_GB2312" w:hAnsi="仿宋" w:eastAsia="仿宋_GB2312"/>
                <w:color w:val="000000"/>
                <w:kern w:val="0"/>
                <w:sz w:val="21"/>
                <w:szCs w:val="21"/>
              </w:rPr>
            </w:pPr>
          </w:p>
        </w:tc>
      </w:tr>
      <w:tr>
        <w:tblPrEx>
          <w:tblCellMar>
            <w:top w:w="0" w:type="dxa"/>
            <w:left w:w="108" w:type="dxa"/>
            <w:bottom w:w="0" w:type="dxa"/>
            <w:right w:w="108" w:type="dxa"/>
          </w:tblCellMar>
        </w:tblPrEx>
        <w:trPr>
          <w:trHeight w:val="499" w:hRule="exact"/>
        </w:trPr>
        <w:tc>
          <w:tcPr>
            <w:tcW w:w="2333" w:type="dxa"/>
            <w:gridSpan w:val="2"/>
            <w:tcBorders>
              <w:top w:val="nil"/>
              <w:left w:val="single" w:color="000000" w:sz="8" w:space="0"/>
              <w:bottom w:val="single" w:color="000000" w:sz="8" w:space="0"/>
              <w:right w:val="single" w:color="000000" w:sz="8" w:space="0"/>
            </w:tcBorders>
            <w:shd w:val="clear" w:color="000000" w:fill="FFFFFF"/>
            <w:vAlign w:val="center"/>
          </w:tcPr>
          <w:p>
            <w:pPr>
              <w:widowControl/>
              <w:jc w:val="left"/>
              <w:textAlignment w:val="center"/>
              <w:rPr>
                <w:rFonts w:ascii="仿宋" w:hAnsi="仿宋" w:cs="仿宋"/>
                <w:color w:val="000000"/>
                <w:kern w:val="0"/>
                <w:sz w:val="21"/>
                <w:szCs w:val="21"/>
              </w:rPr>
            </w:pPr>
            <w:r>
              <w:rPr>
                <w:rFonts w:hint="eastAsia" w:ascii="仿宋" w:hAnsi="仿宋" w:cs="仿宋"/>
                <w:color w:val="000000"/>
                <w:kern w:val="0"/>
                <w:sz w:val="20"/>
                <w:szCs w:val="20"/>
                <w:lang w:bidi="ar"/>
              </w:rPr>
              <w:t xml:space="preserve">    </w:t>
            </w:r>
            <w:r>
              <w:rPr>
                <w:rFonts w:hint="eastAsia" w:ascii="仿宋" w:hAnsi="仿宋" w:cs="仿宋"/>
                <w:color w:val="000000"/>
                <w:kern w:val="0"/>
                <w:sz w:val="20"/>
                <w:szCs w:val="20"/>
                <w:lang w:val="en-US" w:eastAsia="zh-CN" w:bidi="ar"/>
              </w:rPr>
              <w:t xml:space="preserve"> </w:t>
            </w:r>
            <w:r>
              <w:rPr>
                <w:rFonts w:hint="eastAsia" w:ascii="仿宋" w:hAnsi="仿宋" w:cs="仿宋"/>
                <w:color w:val="000000"/>
                <w:kern w:val="0"/>
                <w:sz w:val="20"/>
                <w:szCs w:val="20"/>
                <w:lang w:bidi="ar"/>
              </w:rPr>
              <w:t xml:space="preserve"> </w:t>
            </w:r>
            <w:r>
              <w:rPr>
                <w:rFonts w:hint="eastAsia" w:ascii="仿宋" w:hAnsi="仿宋" w:cs="仿宋"/>
                <w:color w:val="000000"/>
                <w:kern w:val="0"/>
                <w:sz w:val="20"/>
                <w:szCs w:val="20"/>
                <w:lang w:val="en-US" w:eastAsia="zh-CN" w:bidi="ar"/>
              </w:rPr>
              <w:t xml:space="preserve"> </w:t>
            </w:r>
            <w:r>
              <w:rPr>
                <w:rFonts w:hint="eastAsia" w:ascii="仿宋" w:hAnsi="仿宋" w:cs="仿宋"/>
                <w:color w:val="000000"/>
                <w:kern w:val="0"/>
                <w:sz w:val="20"/>
                <w:szCs w:val="20"/>
                <w:lang w:bidi="ar"/>
              </w:rPr>
              <w:t xml:space="preserve"> 公用经费</w:t>
            </w:r>
          </w:p>
        </w:tc>
        <w:tc>
          <w:tcPr>
            <w:tcW w:w="981" w:type="pct"/>
            <w:tcBorders>
              <w:top w:val="nil"/>
              <w:left w:val="nil"/>
              <w:bottom w:val="single" w:color="000000" w:sz="8" w:space="0"/>
              <w:right w:val="single" w:color="000000" w:sz="8" w:space="0"/>
            </w:tcBorders>
            <w:shd w:val="clear" w:color="000000" w:fill="FFFFFF"/>
            <w:vAlign w:val="center"/>
          </w:tcPr>
          <w:p>
            <w:pPr>
              <w:widowControl/>
              <w:spacing w:line="240" w:lineRule="exact"/>
              <w:jc w:val="right"/>
              <w:rPr>
                <w:rFonts w:hint="default" w:ascii="仿宋_GB2312" w:hAnsi="仿宋" w:eastAsia="仿宋_GB2312"/>
                <w:color w:val="000000"/>
                <w:kern w:val="0"/>
                <w:sz w:val="21"/>
                <w:szCs w:val="21"/>
                <w:lang w:val="en-US" w:eastAsia="zh-CN"/>
              </w:rPr>
            </w:pPr>
            <w:r>
              <w:rPr>
                <w:rFonts w:hint="eastAsia" w:ascii="仿宋_GB2312" w:hAnsi="仿宋" w:eastAsia="仿宋_GB2312"/>
                <w:color w:val="000000"/>
                <w:kern w:val="0"/>
                <w:sz w:val="21"/>
                <w:szCs w:val="21"/>
                <w:lang w:val="en-US" w:eastAsia="zh-CN"/>
              </w:rPr>
              <w:t>64.00</w:t>
            </w:r>
          </w:p>
        </w:tc>
        <w:tc>
          <w:tcPr>
            <w:tcW w:w="1662" w:type="dxa"/>
            <w:tcBorders>
              <w:top w:val="nil"/>
              <w:left w:val="nil"/>
              <w:bottom w:val="single" w:color="000000" w:sz="8" w:space="0"/>
              <w:right w:val="single" w:color="000000" w:sz="8" w:space="0"/>
            </w:tcBorders>
            <w:shd w:val="clear" w:color="000000" w:fill="FFFFFF"/>
            <w:vAlign w:val="center"/>
          </w:tcPr>
          <w:p>
            <w:pPr>
              <w:widowControl/>
              <w:spacing w:line="240" w:lineRule="exact"/>
              <w:jc w:val="right"/>
              <w:rPr>
                <w:rFonts w:hint="default" w:ascii="仿宋_GB2312" w:hAnsi="仿宋" w:eastAsia="仿宋_GB2312"/>
                <w:color w:val="000000"/>
                <w:kern w:val="0"/>
                <w:sz w:val="21"/>
                <w:szCs w:val="21"/>
                <w:highlight w:val="none"/>
                <w:lang w:val="en-US" w:eastAsia="zh-CN"/>
              </w:rPr>
            </w:pPr>
            <w:r>
              <w:rPr>
                <w:rFonts w:hint="eastAsia" w:ascii="仿宋_GB2312" w:hAnsi="仿宋" w:eastAsia="仿宋_GB2312"/>
                <w:color w:val="000000"/>
                <w:kern w:val="0"/>
                <w:sz w:val="21"/>
                <w:szCs w:val="21"/>
                <w:highlight w:val="none"/>
                <w:lang w:val="en-US" w:eastAsia="zh-CN"/>
              </w:rPr>
              <w:t>24.70</w:t>
            </w:r>
          </w:p>
        </w:tc>
        <w:tc>
          <w:tcPr>
            <w:tcW w:w="1119" w:type="pct"/>
            <w:tcBorders>
              <w:top w:val="nil"/>
              <w:left w:val="nil"/>
              <w:bottom w:val="single" w:color="000000" w:sz="8" w:space="0"/>
              <w:right w:val="single" w:color="000000" w:sz="8" w:space="0"/>
            </w:tcBorders>
            <w:shd w:val="clear" w:color="000000" w:fill="FFFFFF"/>
            <w:vAlign w:val="center"/>
          </w:tcPr>
          <w:p>
            <w:pPr>
              <w:widowControl/>
              <w:spacing w:line="240" w:lineRule="exact"/>
              <w:jc w:val="right"/>
              <w:rPr>
                <w:rFonts w:hint="default" w:ascii="仿宋_GB2312" w:hAnsi="仿宋" w:eastAsia="仿宋_GB2312"/>
                <w:color w:val="000000"/>
                <w:kern w:val="0"/>
                <w:sz w:val="21"/>
                <w:szCs w:val="21"/>
                <w:highlight w:val="none"/>
                <w:lang w:val="en-US" w:eastAsia="zh-CN"/>
              </w:rPr>
            </w:pPr>
            <w:r>
              <w:rPr>
                <w:rFonts w:hint="eastAsia" w:ascii="仿宋_GB2312" w:hAnsi="仿宋" w:eastAsia="仿宋_GB2312"/>
                <w:color w:val="000000"/>
                <w:kern w:val="0"/>
                <w:sz w:val="21"/>
                <w:szCs w:val="21"/>
                <w:highlight w:val="none"/>
                <w:lang w:val="en-US" w:eastAsia="zh-CN"/>
              </w:rPr>
              <w:t>24.70</w:t>
            </w:r>
          </w:p>
        </w:tc>
        <w:tc>
          <w:tcPr>
            <w:tcW w:w="690" w:type="pct"/>
            <w:tcBorders>
              <w:top w:val="nil"/>
              <w:left w:val="nil"/>
              <w:bottom w:val="single" w:color="000000" w:sz="8" w:space="0"/>
              <w:right w:val="single" w:color="000000" w:sz="8" w:space="0"/>
            </w:tcBorders>
            <w:shd w:val="clear" w:color="000000" w:fill="FFFFFF"/>
            <w:vAlign w:val="center"/>
          </w:tcPr>
          <w:p>
            <w:pPr>
              <w:widowControl/>
              <w:spacing w:line="240" w:lineRule="exact"/>
              <w:jc w:val="right"/>
              <w:rPr>
                <w:rFonts w:ascii="仿宋_GB2312" w:hAnsi="仿宋" w:eastAsia="仿宋_GB2312"/>
                <w:color w:val="000000"/>
                <w:kern w:val="0"/>
                <w:sz w:val="21"/>
                <w:szCs w:val="21"/>
              </w:rPr>
            </w:pPr>
          </w:p>
        </w:tc>
      </w:tr>
      <w:tr>
        <w:tblPrEx>
          <w:tblCellMar>
            <w:top w:w="0" w:type="dxa"/>
            <w:left w:w="108" w:type="dxa"/>
            <w:bottom w:w="0" w:type="dxa"/>
            <w:right w:w="108" w:type="dxa"/>
          </w:tblCellMar>
        </w:tblPrEx>
        <w:trPr>
          <w:trHeight w:val="499" w:hRule="exact"/>
        </w:trPr>
        <w:tc>
          <w:tcPr>
            <w:tcW w:w="402" w:type="pct"/>
            <w:tcBorders>
              <w:top w:val="nil"/>
              <w:left w:val="single" w:color="000000" w:sz="8" w:space="0"/>
              <w:bottom w:val="single" w:color="000000" w:sz="8" w:space="0"/>
              <w:right w:val="single" w:color="000000" w:sz="8" w:space="0"/>
            </w:tcBorders>
            <w:shd w:val="clear" w:color="000000" w:fill="FFFFFF"/>
            <w:noWrap/>
            <w:vAlign w:val="center"/>
          </w:tcPr>
          <w:p>
            <w:pPr>
              <w:widowControl/>
              <w:spacing w:line="240" w:lineRule="exact"/>
              <w:jc w:val="center"/>
              <w:rPr>
                <w:rFonts w:ascii="仿宋_GB2312" w:hAnsi="仿宋" w:eastAsia="仿宋_GB2312" w:cs="宋体"/>
                <w:color w:val="000000"/>
                <w:kern w:val="0"/>
                <w:sz w:val="21"/>
                <w:szCs w:val="21"/>
              </w:rPr>
            </w:pPr>
            <w:r>
              <w:rPr>
                <w:rFonts w:hint="eastAsia" w:ascii="仿宋_GB2312" w:hAnsi="仿宋" w:eastAsia="仿宋_GB2312" w:cs="宋体"/>
                <w:color w:val="000000"/>
                <w:kern w:val="0"/>
                <w:sz w:val="21"/>
                <w:szCs w:val="21"/>
              </w:rPr>
              <w:t>2</w:t>
            </w:r>
          </w:p>
        </w:tc>
        <w:tc>
          <w:tcPr>
            <w:tcW w:w="886" w:type="pct"/>
            <w:tcBorders>
              <w:top w:val="nil"/>
              <w:left w:val="nil"/>
              <w:bottom w:val="single" w:color="000000" w:sz="8" w:space="0"/>
              <w:right w:val="single" w:color="000000" w:sz="8" w:space="0"/>
            </w:tcBorders>
            <w:shd w:val="clear" w:color="000000" w:fill="FFFFFF"/>
            <w:vAlign w:val="center"/>
          </w:tcPr>
          <w:p>
            <w:pPr>
              <w:widowControl/>
              <w:spacing w:line="240" w:lineRule="exact"/>
              <w:rPr>
                <w:rFonts w:ascii="仿宋_GB2312" w:hAnsi="仿宋" w:eastAsia="仿宋_GB2312"/>
                <w:color w:val="000000"/>
                <w:kern w:val="0"/>
                <w:sz w:val="21"/>
                <w:szCs w:val="21"/>
              </w:rPr>
            </w:pPr>
            <w:r>
              <w:rPr>
                <w:rFonts w:hint="eastAsia" w:ascii="仿宋_GB2312" w:hAnsi="仿宋" w:eastAsia="仿宋_GB2312" w:cs="宋体"/>
                <w:color w:val="000000"/>
                <w:kern w:val="0"/>
                <w:sz w:val="21"/>
                <w:szCs w:val="21"/>
              </w:rPr>
              <w:t>项目支出</w:t>
            </w:r>
          </w:p>
        </w:tc>
        <w:tc>
          <w:tcPr>
            <w:tcW w:w="981" w:type="pct"/>
            <w:tcBorders>
              <w:top w:val="nil"/>
              <w:left w:val="nil"/>
              <w:bottom w:val="single" w:color="000000" w:sz="8" w:space="0"/>
              <w:right w:val="single" w:color="000000" w:sz="8" w:space="0"/>
            </w:tcBorders>
            <w:shd w:val="clear" w:color="000000" w:fill="FFFFFF"/>
            <w:vAlign w:val="center"/>
          </w:tcPr>
          <w:p>
            <w:pPr>
              <w:widowControl/>
              <w:spacing w:line="240" w:lineRule="exact"/>
              <w:jc w:val="right"/>
              <w:rPr>
                <w:rFonts w:hint="default" w:ascii="仿宋_GB2312" w:hAnsi="仿宋" w:eastAsia="仿宋_GB2312"/>
                <w:color w:val="000000"/>
                <w:kern w:val="0"/>
                <w:sz w:val="21"/>
                <w:szCs w:val="21"/>
                <w:lang w:val="en-US" w:eastAsia="zh-CN"/>
              </w:rPr>
            </w:pPr>
            <w:r>
              <w:rPr>
                <w:rFonts w:hint="eastAsia" w:ascii="仿宋_GB2312" w:hAnsi="仿宋" w:eastAsia="仿宋_GB2312"/>
                <w:color w:val="000000"/>
                <w:kern w:val="0"/>
                <w:sz w:val="21"/>
                <w:szCs w:val="21"/>
                <w:lang w:val="en-US" w:eastAsia="zh-CN"/>
              </w:rPr>
              <w:t>138.42</w:t>
            </w:r>
          </w:p>
        </w:tc>
        <w:tc>
          <w:tcPr>
            <w:tcW w:w="918" w:type="pct"/>
            <w:tcBorders>
              <w:top w:val="nil"/>
              <w:left w:val="nil"/>
              <w:bottom w:val="single" w:color="000000" w:sz="8" w:space="0"/>
              <w:right w:val="single" w:color="000000" w:sz="8" w:space="0"/>
            </w:tcBorders>
            <w:shd w:val="clear" w:color="000000" w:fill="FFFFFF"/>
            <w:vAlign w:val="center"/>
          </w:tcPr>
          <w:p>
            <w:pPr>
              <w:widowControl/>
              <w:spacing w:line="240" w:lineRule="exact"/>
              <w:jc w:val="right"/>
              <w:rPr>
                <w:rFonts w:hint="eastAsia" w:ascii="仿宋_GB2312" w:hAnsi="仿宋" w:eastAsia="仿宋_GB2312"/>
                <w:color w:val="000000"/>
                <w:kern w:val="0"/>
                <w:sz w:val="21"/>
                <w:szCs w:val="21"/>
                <w:lang w:eastAsia="zh-CN"/>
              </w:rPr>
            </w:pPr>
            <w:r>
              <w:rPr>
                <w:rFonts w:hint="eastAsia" w:ascii="仿宋_GB2312" w:hAnsi="仿宋" w:eastAsia="仿宋_GB2312"/>
                <w:color w:val="000000"/>
                <w:kern w:val="0"/>
                <w:sz w:val="21"/>
                <w:szCs w:val="21"/>
                <w:lang w:eastAsia="zh-CN"/>
              </w:rPr>
              <w:t>413.44</w:t>
            </w:r>
          </w:p>
        </w:tc>
        <w:tc>
          <w:tcPr>
            <w:tcW w:w="1119" w:type="pct"/>
            <w:tcBorders>
              <w:top w:val="nil"/>
              <w:left w:val="nil"/>
              <w:bottom w:val="single" w:color="000000" w:sz="8" w:space="0"/>
              <w:right w:val="single" w:color="000000" w:sz="8" w:space="0"/>
            </w:tcBorders>
            <w:shd w:val="clear" w:color="000000" w:fill="FFFFFF"/>
            <w:vAlign w:val="center"/>
          </w:tcPr>
          <w:p>
            <w:pPr>
              <w:widowControl/>
              <w:spacing w:line="240" w:lineRule="exact"/>
              <w:jc w:val="right"/>
              <w:rPr>
                <w:rFonts w:hint="eastAsia" w:ascii="仿宋_GB2312" w:hAnsi="仿宋" w:eastAsia="仿宋_GB2312"/>
                <w:color w:val="000000"/>
                <w:kern w:val="0"/>
                <w:sz w:val="21"/>
                <w:szCs w:val="21"/>
                <w:lang w:eastAsia="zh-CN"/>
              </w:rPr>
            </w:pPr>
            <w:r>
              <w:rPr>
                <w:rFonts w:hint="eastAsia" w:ascii="仿宋_GB2312" w:hAnsi="仿宋" w:eastAsia="仿宋_GB2312"/>
                <w:color w:val="000000"/>
                <w:kern w:val="0"/>
                <w:sz w:val="21"/>
                <w:szCs w:val="21"/>
                <w:lang w:eastAsia="zh-CN"/>
              </w:rPr>
              <w:t>413.44</w:t>
            </w:r>
          </w:p>
        </w:tc>
        <w:tc>
          <w:tcPr>
            <w:tcW w:w="690" w:type="pct"/>
            <w:tcBorders>
              <w:top w:val="nil"/>
              <w:left w:val="nil"/>
              <w:bottom w:val="single" w:color="000000" w:sz="8" w:space="0"/>
              <w:right w:val="single" w:color="000000" w:sz="8" w:space="0"/>
            </w:tcBorders>
            <w:shd w:val="clear" w:color="000000" w:fill="FFFFFF"/>
            <w:vAlign w:val="center"/>
          </w:tcPr>
          <w:p>
            <w:pPr>
              <w:widowControl/>
              <w:spacing w:line="240" w:lineRule="exact"/>
              <w:jc w:val="right"/>
              <w:rPr>
                <w:rFonts w:ascii="仿宋_GB2312" w:hAnsi="仿宋" w:eastAsia="仿宋_GB2312"/>
                <w:color w:val="000000"/>
                <w:kern w:val="0"/>
                <w:sz w:val="21"/>
                <w:szCs w:val="21"/>
              </w:rPr>
            </w:pPr>
          </w:p>
        </w:tc>
      </w:tr>
      <w:tr>
        <w:tblPrEx>
          <w:tblCellMar>
            <w:top w:w="0" w:type="dxa"/>
            <w:left w:w="108" w:type="dxa"/>
            <w:bottom w:w="0" w:type="dxa"/>
            <w:right w:w="108" w:type="dxa"/>
          </w:tblCellMar>
        </w:tblPrEx>
        <w:trPr>
          <w:trHeight w:val="499" w:hRule="exact"/>
        </w:trPr>
        <w:tc>
          <w:tcPr>
            <w:tcW w:w="1289" w:type="pct"/>
            <w:gridSpan w:val="2"/>
            <w:tcBorders>
              <w:top w:val="nil"/>
              <w:left w:val="single" w:color="000000" w:sz="8" w:space="0"/>
              <w:bottom w:val="single" w:color="000000" w:sz="8" w:space="0"/>
              <w:right w:val="single" w:color="000000" w:sz="8" w:space="0"/>
            </w:tcBorders>
            <w:shd w:val="clear" w:color="000000" w:fill="FFFFFF"/>
            <w:vAlign w:val="center"/>
          </w:tcPr>
          <w:p>
            <w:pPr>
              <w:widowControl/>
              <w:spacing w:line="240" w:lineRule="exact"/>
              <w:jc w:val="center"/>
              <w:rPr>
                <w:rFonts w:ascii="仿宋_GB2312" w:hAnsi="仿宋" w:eastAsia="仿宋_GB2312"/>
                <w:color w:val="000000"/>
                <w:kern w:val="0"/>
                <w:sz w:val="21"/>
                <w:szCs w:val="21"/>
              </w:rPr>
            </w:pPr>
            <w:r>
              <w:rPr>
                <w:rFonts w:hint="eastAsia" w:ascii="仿宋_GB2312" w:hAnsi="仿宋" w:eastAsia="仿宋_GB2312" w:cs="宋体"/>
                <w:b/>
                <w:bCs/>
                <w:color w:val="000000"/>
                <w:kern w:val="0"/>
                <w:sz w:val="21"/>
                <w:szCs w:val="21"/>
              </w:rPr>
              <w:t>合 计</w:t>
            </w:r>
          </w:p>
        </w:tc>
        <w:tc>
          <w:tcPr>
            <w:tcW w:w="981" w:type="pct"/>
            <w:tcBorders>
              <w:top w:val="nil"/>
              <w:left w:val="nil"/>
              <w:bottom w:val="single" w:color="000000" w:sz="8" w:space="0"/>
              <w:right w:val="single" w:color="000000" w:sz="8" w:space="0"/>
            </w:tcBorders>
            <w:shd w:val="clear" w:color="000000" w:fill="FFFFFF"/>
            <w:vAlign w:val="center"/>
          </w:tcPr>
          <w:p>
            <w:pPr>
              <w:widowControl/>
              <w:spacing w:line="240" w:lineRule="exact"/>
              <w:jc w:val="right"/>
              <w:rPr>
                <w:rFonts w:hint="default" w:ascii="仿宋_GB2312" w:hAnsi="仿宋" w:eastAsia="仿宋_GB2312"/>
                <w:b/>
                <w:bCs/>
                <w:color w:val="000000"/>
                <w:kern w:val="0"/>
                <w:sz w:val="21"/>
                <w:szCs w:val="21"/>
                <w:lang w:val="en-US" w:eastAsia="zh-CN"/>
              </w:rPr>
            </w:pPr>
            <w:r>
              <w:rPr>
                <w:rFonts w:hint="eastAsia" w:ascii="仿宋_GB2312" w:hAnsi="仿宋" w:eastAsia="仿宋_GB2312"/>
                <w:b/>
                <w:bCs/>
                <w:color w:val="000000"/>
                <w:kern w:val="0"/>
                <w:sz w:val="21"/>
                <w:szCs w:val="21"/>
                <w:lang w:val="en-US" w:eastAsia="zh-CN"/>
              </w:rPr>
              <w:t>715.75</w:t>
            </w:r>
          </w:p>
        </w:tc>
        <w:tc>
          <w:tcPr>
            <w:tcW w:w="918" w:type="pct"/>
            <w:tcBorders>
              <w:top w:val="nil"/>
              <w:left w:val="nil"/>
              <w:bottom w:val="single" w:color="000000" w:sz="8" w:space="0"/>
              <w:right w:val="single" w:color="000000" w:sz="8" w:space="0"/>
            </w:tcBorders>
            <w:shd w:val="clear" w:color="000000" w:fill="FFFFFF"/>
            <w:vAlign w:val="center"/>
          </w:tcPr>
          <w:p>
            <w:pPr>
              <w:widowControl/>
              <w:spacing w:line="240" w:lineRule="exact"/>
              <w:jc w:val="right"/>
              <w:rPr>
                <w:rFonts w:hint="eastAsia" w:ascii="仿宋_GB2312" w:hAnsi="仿宋" w:eastAsia="仿宋_GB2312"/>
                <w:b/>
                <w:bCs/>
                <w:color w:val="000000"/>
                <w:kern w:val="0"/>
                <w:sz w:val="21"/>
                <w:szCs w:val="21"/>
                <w:lang w:eastAsia="zh-CN"/>
              </w:rPr>
            </w:pPr>
            <w:r>
              <w:rPr>
                <w:rFonts w:hint="eastAsia" w:ascii="仿宋_GB2312" w:hAnsi="仿宋" w:eastAsia="仿宋_GB2312"/>
                <w:b/>
                <w:bCs/>
                <w:color w:val="000000"/>
                <w:kern w:val="0"/>
                <w:sz w:val="21"/>
                <w:szCs w:val="21"/>
                <w:lang w:eastAsia="zh-CN"/>
              </w:rPr>
              <w:t>1,171.50</w:t>
            </w:r>
          </w:p>
        </w:tc>
        <w:tc>
          <w:tcPr>
            <w:tcW w:w="1119" w:type="pct"/>
            <w:tcBorders>
              <w:top w:val="nil"/>
              <w:left w:val="nil"/>
              <w:bottom w:val="single" w:color="000000" w:sz="8" w:space="0"/>
              <w:right w:val="single" w:color="000000" w:sz="8" w:space="0"/>
            </w:tcBorders>
            <w:shd w:val="clear" w:color="000000" w:fill="FFFFFF"/>
            <w:vAlign w:val="center"/>
          </w:tcPr>
          <w:p>
            <w:pPr>
              <w:widowControl/>
              <w:spacing w:line="240" w:lineRule="exact"/>
              <w:jc w:val="right"/>
              <w:rPr>
                <w:rFonts w:hint="eastAsia" w:ascii="仿宋_GB2312" w:hAnsi="仿宋" w:eastAsia="仿宋_GB2312"/>
                <w:b/>
                <w:bCs/>
                <w:color w:val="000000"/>
                <w:kern w:val="0"/>
                <w:sz w:val="21"/>
                <w:szCs w:val="21"/>
                <w:lang w:eastAsia="zh-CN"/>
              </w:rPr>
            </w:pPr>
            <w:r>
              <w:rPr>
                <w:rFonts w:hint="eastAsia" w:ascii="仿宋_GB2312" w:hAnsi="仿宋" w:eastAsia="仿宋_GB2312"/>
                <w:b/>
                <w:bCs/>
                <w:color w:val="000000"/>
                <w:kern w:val="0"/>
                <w:sz w:val="21"/>
                <w:szCs w:val="21"/>
                <w:lang w:eastAsia="zh-CN"/>
              </w:rPr>
              <w:t>1,171.50</w:t>
            </w:r>
          </w:p>
        </w:tc>
        <w:tc>
          <w:tcPr>
            <w:tcW w:w="690" w:type="pct"/>
            <w:tcBorders>
              <w:top w:val="nil"/>
              <w:left w:val="nil"/>
              <w:bottom w:val="single" w:color="000000" w:sz="8" w:space="0"/>
              <w:right w:val="single" w:color="000000" w:sz="8" w:space="0"/>
            </w:tcBorders>
            <w:shd w:val="clear" w:color="000000" w:fill="FFFFFF"/>
            <w:vAlign w:val="center"/>
          </w:tcPr>
          <w:p>
            <w:pPr>
              <w:widowControl/>
              <w:spacing w:line="240" w:lineRule="exact"/>
              <w:jc w:val="left"/>
              <w:rPr>
                <w:rFonts w:ascii="仿宋_GB2312" w:hAnsi="仿宋" w:eastAsia="仿宋_GB2312"/>
                <w:b/>
                <w:bCs/>
                <w:color w:val="000000"/>
                <w:kern w:val="0"/>
                <w:sz w:val="21"/>
                <w:szCs w:val="21"/>
              </w:rPr>
            </w:pPr>
          </w:p>
        </w:tc>
      </w:tr>
    </w:tbl>
    <w:p>
      <w:pPr>
        <w:spacing w:line="560" w:lineRule="exact"/>
        <w:ind w:firstLine="643" w:firstLineChars="200"/>
        <w:outlineLvl w:val="2"/>
        <w:rPr>
          <w:rFonts w:hint="eastAsia" w:ascii="楷体" w:hAnsi="楷体" w:eastAsia="楷体" w:cs="楷体"/>
          <w:b/>
          <w:bCs/>
          <w:szCs w:val="32"/>
        </w:rPr>
      </w:pPr>
      <w:r>
        <w:rPr>
          <w:rFonts w:hint="eastAsia" w:ascii="楷体" w:hAnsi="楷体" w:eastAsia="楷体" w:cs="楷体"/>
          <w:b/>
          <w:bCs/>
          <w:szCs w:val="32"/>
        </w:rPr>
        <w:t>2</w:t>
      </w:r>
      <w:r>
        <w:rPr>
          <w:rFonts w:hint="eastAsia" w:ascii="楷体" w:hAnsi="楷体" w:eastAsia="楷体" w:cs="楷体"/>
          <w:b/>
          <w:bCs/>
          <w:szCs w:val="32"/>
          <w:lang w:eastAsia="zh-CN"/>
        </w:rPr>
        <w:t>、</w:t>
      </w:r>
      <w:r>
        <w:rPr>
          <w:rFonts w:hint="eastAsia" w:ascii="楷体" w:hAnsi="楷体" w:eastAsia="楷体" w:cs="楷体"/>
          <w:b/>
          <w:bCs/>
          <w:szCs w:val="32"/>
          <w:lang w:val="en-US" w:eastAsia="zh-CN"/>
        </w:rPr>
        <w:t>部门</w:t>
      </w:r>
      <w:r>
        <w:rPr>
          <w:rFonts w:hint="eastAsia" w:ascii="楷体" w:hAnsi="楷体" w:eastAsia="楷体" w:cs="楷体"/>
          <w:b/>
          <w:bCs/>
          <w:szCs w:val="32"/>
        </w:rPr>
        <w:t>整体支出使用方向和主要内容、涉及范围</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Times New Roman" w:hAnsi="Times New Roman" w:eastAsia="仿宋_GB2312" w:cs="Times New Roman"/>
          <w:szCs w:val="32"/>
        </w:rPr>
      </w:pPr>
      <w:r>
        <w:rPr>
          <w:rFonts w:hint="eastAsia" w:ascii="Times New Roman" w:hAnsi="Times New Roman" w:eastAsia="仿宋_GB2312" w:cs="Times New Roman"/>
          <w:szCs w:val="32"/>
        </w:rPr>
        <w:t>部门整体支出包括基本支出和项目支出。一是用于单位机构正常运转、完成日常工作任务而发生的各项支出，包括用于基本工资、津贴补贴等人员经费以及办公费、印刷费、公务用车运行维护费</w:t>
      </w:r>
      <w:r>
        <w:rPr>
          <w:rFonts w:hint="eastAsia" w:ascii="Times New Roman" w:hAnsi="Times New Roman" w:eastAsia="仿宋_GB2312" w:cs="Times New Roman"/>
          <w:szCs w:val="32"/>
          <w:lang w:eastAsia="zh-CN"/>
        </w:rPr>
        <w:t>、其他交通费用</w:t>
      </w:r>
      <w:r>
        <w:rPr>
          <w:rFonts w:hint="eastAsia" w:ascii="Times New Roman" w:hAnsi="Times New Roman" w:eastAsia="仿宋_GB2312" w:cs="Times New Roman"/>
          <w:szCs w:val="32"/>
        </w:rPr>
        <w:t>等日常公用经费。二是用于单位为完成特定工作任务而发生的支出，包括</w:t>
      </w:r>
      <w:r>
        <w:rPr>
          <w:rFonts w:hint="eastAsia" w:ascii="Times New Roman" w:hAnsi="Times New Roman" w:eastAsia="仿宋_GB2312" w:cs="Times New Roman"/>
          <w:szCs w:val="32"/>
          <w:lang w:eastAsia="zh-CN"/>
        </w:rPr>
        <w:t>民意调查中心工作经费、统计抽样调查、</w:t>
      </w:r>
      <w:r>
        <w:rPr>
          <w:rFonts w:hint="eastAsia" w:ascii="Times New Roman" w:hAnsi="Times New Roman" w:eastAsia="仿宋_GB2312" w:cs="Times New Roman"/>
          <w:szCs w:val="32"/>
          <w:lang w:val="en-US" w:eastAsia="zh-CN"/>
        </w:rPr>
        <w:t>统计数据质量监管平台经费、百强调研经费、乡镇目标管理经费及专项普查经费</w:t>
      </w:r>
      <w:r>
        <w:rPr>
          <w:rFonts w:hint="eastAsia" w:ascii="Times New Roman" w:hAnsi="Times New Roman" w:eastAsia="仿宋_GB2312" w:cs="Times New Roman"/>
          <w:szCs w:val="32"/>
          <w:highlight w:val="none"/>
          <w:lang w:val="en-US" w:eastAsia="zh-CN"/>
        </w:rPr>
        <w:t>6个专项经费</w:t>
      </w:r>
      <w:r>
        <w:rPr>
          <w:rFonts w:hint="eastAsia" w:ascii="Times New Roman" w:hAnsi="Times New Roman" w:eastAsia="仿宋_GB2312" w:cs="Times New Roman"/>
          <w:szCs w:val="32"/>
          <w:highlight w:val="none"/>
        </w:rPr>
        <w:t>。</w:t>
      </w:r>
    </w:p>
    <w:p>
      <w:pPr>
        <w:numPr>
          <w:ilvl w:val="255"/>
          <w:numId w:val="0"/>
        </w:numPr>
        <w:spacing w:before="144" w:beforeLines="25" w:line="560" w:lineRule="exact"/>
        <w:ind w:firstLine="643" w:firstLineChars="200"/>
        <w:outlineLvl w:val="0"/>
        <w:rPr>
          <w:rFonts w:hint="default" w:ascii="楷体" w:hAnsi="楷体" w:eastAsia="楷体" w:cs="楷体"/>
          <w:b/>
          <w:bCs/>
          <w:szCs w:val="32"/>
          <w:lang w:val="en-US" w:eastAsia="zh-CN"/>
        </w:rPr>
      </w:pPr>
      <w:r>
        <w:rPr>
          <w:rFonts w:hint="eastAsia" w:ascii="楷体" w:hAnsi="楷体" w:eastAsia="楷体" w:cs="楷体"/>
          <w:b/>
          <w:bCs/>
          <w:szCs w:val="32"/>
        </w:rPr>
        <w:t>二、</w:t>
      </w:r>
      <w:r>
        <w:rPr>
          <w:rFonts w:hint="eastAsia" w:ascii="楷体" w:hAnsi="楷体" w:eastAsia="楷体" w:cs="楷体"/>
          <w:b/>
          <w:bCs/>
          <w:szCs w:val="32"/>
          <w:lang w:val="en-US" w:eastAsia="zh-CN"/>
        </w:rPr>
        <w:t>部门整体支出资金管理及使用情况</w:t>
      </w:r>
    </w:p>
    <w:p>
      <w:pPr>
        <w:spacing w:line="560" w:lineRule="exact"/>
        <w:ind w:firstLine="643" w:firstLineChars="200"/>
        <w:outlineLvl w:val="1"/>
        <w:rPr>
          <w:rFonts w:ascii="楷体" w:hAnsi="楷体" w:eastAsia="楷体" w:cs="楷体"/>
          <w:b/>
          <w:bCs/>
          <w:szCs w:val="32"/>
        </w:rPr>
      </w:pPr>
      <w:r>
        <w:rPr>
          <w:rFonts w:hint="eastAsia" w:ascii="楷体" w:hAnsi="楷体" w:eastAsia="楷体" w:cs="楷体"/>
          <w:b/>
          <w:bCs/>
          <w:szCs w:val="32"/>
        </w:rPr>
        <w:t>（一）基本支出</w:t>
      </w:r>
    </w:p>
    <w:p>
      <w:pPr>
        <w:spacing w:line="560" w:lineRule="exact"/>
        <w:ind w:firstLine="643" w:firstLineChars="200"/>
        <w:outlineLvl w:val="2"/>
        <w:rPr>
          <w:rFonts w:ascii="楷体" w:hAnsi="楷体" w:eastAsia="楷体" w:cs="楷体"/>
          <w:b/>
          <w:bCs/>
          <w:szCs w:val="32"/>
        </w:rPr>
      </w:pPr>
      <w:r>
        <w:rPr>
          <w:rFonts w:hint="eastAsia" w:ascii="楷体" w:hAnsi="楷体" w:eastAsia="楷体" w:cs="楷体"/>
          <w:b/>
          <w:bCs/>
          <w:szCs w:val="32"/>
        </w:rPr>
        <w:t>1、实际整体收支情况</w:t>
      </w:r>
    </w:p>
    <w:p>
      <w:pPr>
        <w:spacing w:line="560" w:lineRule="exact"/>
        <w:ind w:firstLine="640" w:firstLineChars="200"/>
        <w:rPr>
          <w:rFonts w:ascii="Times New Roman" w:hAnsi="Times New Roman" w:eastAsia="仿宋_GB2312" w:cs="Times New Roman"/>
          <w:szCs w:val="32"/>
        </w:rPr>
      </w:pPr>
      <w:bookmarkStart w:id="2" w:name="_Hlk79155693"/>
      <w:r>
        <w:rPr>
          <w:rFonts w:hint="eastAsia" w:ascii="Times New Roman" w:hAnsi="Times New Roman" w:eastAsia="仿宋_GB2312" w:cs="Times New Roman"/>
          <w:szCs w:val="32"/>
        </w:rPr>
        <w:t>基本支出是指为保障单位机构运转、完成日常工作任务而发生的各项支出，包括职工基本工资、津补贴、社会保障缴费、离退休费等人员经费以及办公费、水电费、办公设备购置费等日常公用经费。2022年</w:t>
      </w:r>
      <w:r>
        <w:rPr>
          <w:rFonts w:hint="eastAsia" w:ascii="Times New Roman" w:hAnsi="Times New Roman" w:eastAsia="仿宋_GB2312" w:cs="Times New Roman"/>
          <w:szCs w:val="32"/>
          <w:lang w:eastAsia="zh-CN"/>
        </w:rPr>
        <w:t>统计局</w:t>
      </w:r>
      <w:r>
        <w:rPr>
          <w:rFonts w:hint="eastAsia" w:ascii="Times New Roman" w:hAnsi="Times New Roman" w:eastAsia="仿宋_GB2312" w:cs="Times New Roman"/>
          <w:szCs w:val="32"/>
          <w:lang w:val="en-US" w:eastAsia="zh-CN"/>
        </w:rPr>
        <w:t>基本</w:t>
      </w:r>
      <w:r>
        <w:rPr>
          <w:rFonts w:ascii="Times New Roman" w:hAnsi="Times New Roman" w:eastAsia="仿宋_GB2312" w:cs="Times New Roman"/>
          <w:szCs w:val="32"/>
        </w:rPr>
        <w:t>支出</w:t>
      </w:r>
      <w:r>
        <w:rPr>
          <w:rFonts w:hint="eastAsia" w:ascii="Times New Roman" w:hAnsi="Times New Roman" w:eastAsia="仿宋_GB2312" w:cs="Times New Roman"/>
          <w:szCs w:val="32"/>
          <w:lang w:val="en-US" w:eastAsia="zh-CN"/>
        </w:rPr>
        <w:t>758.06</w:t>
      </w:r>
      <w:r>
        <w:rPr>
          <w:rFonts w:hint="eastAsia" w:ascii="Times New Roman" w:hAnsi="Times New Roman" w:eastAsia="仿宋_GB2312" w:cs="Times New Roman"/>
          <w:szCs w:val="32"/>
        </w:rPr>
        <w:t>万元</w:t>
      </w:r>
      <w:r>
        <w:rPr>
          <w:rFonts w:hint="eastAsia" w:ascii="Times New Roman" w:hAnsi="Times New Roman" w:eastAsia="仿宋_GB2312" w:cs="Times New Roman"/>
          <w:szCs w:val="32"/>
          <w:lang w:eastAsia="zh-CN"/>
        </w:rPr>
        <w:t>，</w:t>
      </w:r>
      <w:r>
        <w:rPr>
          <w:rFonts w:hint="eastAsia" w:ascii="Times New Roman" w:hAnsi="Times New Roman" w:eastAsia="仿宋_GB2312" w:cs="Times New Roman"/>
          <w:szCs w:val="32"/>
          <w:lang w:val="en-US" w:eastAsia="zh-CN"/>
        </w:rPr>
        <w:t>其中</w:t>
      </w:r>
      <w:r>
        <w:rPr>
          <w:rFonts w:hint="eastAsia" w:ascii="Times New Roman" w:hAnsi="Times New Roman" w:eastAsia="仿宋_GB2312" w:cs="Times New Roman"/>
          <w:szCs w:val="32"/>
        </w:rPr>
        <w:t>：人员经费支出</w:t>
      </w:r>
      <w:r>
        <w:rPr>
          <w:rFonts w:hint="eastAsia" w:ascii="Times New Roman" w:hAnsi="Times New Roman" w:eastAsia="仿宋_GB2312" w:cs="Times New Roman"/>
          <w:szCs w:val="32"/>
          <w:lang w:val="en-US" w:eastAsia="zh-CN"/>
        </w:rPr>
        <w:t>733.36</w:t>
      </w:r>
      <w:r>
        <w:rPr>
          <w:rFonts w:hint="eastAsia" w:ascii="Times New Roman" w:hAnsi="Times New Roman" w:eastAsia="仿宋_GB2312" w:cs="Times New Roman"/>
          <w:szCs w:val="32"/>
        </w:rPr>
        <w:t>万元，日常公用经费支出</w:t>
      </w:r>
      <w:r>
        <w:rPr>
          <w:rFonts w:hint="eastAsia" w:ascii="Times New Roman" w:hAnsi="Times New Roman" w:eastAsia="仿宋_GB2312" w:cs="Times New Roman"/>
          <w:szCs w:val="32"/>
          <w:lang w:val="en-US" w:eastAsia="zh-CN"/>
        </w:rPr>
        <w:t>24.70</w:t>
      </w:r>
      <w:r>
        <w:rPr>
          <w:rFonts w:hint="eastAsia" w:ascii="Times New Roman" w:hAnsi="Times New Roman" w:eastAsia="仿宋_GB2312" w:cs="Times New Roman"/>
          <w:szCs w:val="32"/>
        </w:rPr>
        <w:t>万元。明细见下</w:t>
      </w:r>
      <w:r>
        <w:rPr>
          <w:rFonts w:ascii="Times New Roman" w:hAnsi="Times New Roman" w:eastAsia="仿宋_GB2312" w:cs="Times New Roman"/>
          <w:szCs w:val="32"/>
        </w:rPr>
        <w:t>表：</w:t>
      </w:r>
    </w:p>
    <w:p>
      <w:pPr>
        <w:spacing w:line="360" w:lineRule="exact"/>
        <w:jc w:val="right"/>
        <w:rPr>
          <w:rFonts w:ascii="Times New Roman" w:hAnsi="Times New Roman" w:cs="Times New Roman"/>
          <w:kern w:val="0"/>
          <w:sz w:val="20"/>
          <w:szCs w:val="20"/>
        </w:rPr>
      </w:pPr>
      <w:r>
        <w:rPr>
          <w:rFonts w:ascii="Times New Roman" w:hAnsi="Times New Roman" w:cs="Times New Roman"/>
          <w:kern w:val="0"/>
          <w:sz w:val="20"/>
          <w:szCs w:val="20"/>
        </w:rPr>
        <w:t>金额单位：万元</w:t>
      </w:r>
    </w:p>
    <w:bookmarkEnd w:id="2"/>
    <w:tbl>
      <w:tblPr>
        <w:tblStyle w:val="14"/>
        <w:tblW w:w="4937" w:type="pct"/>
        <w:tblInd w:w="-34" w:type="dxa"/>
        <w:tblLayout w:type="fixed"/>
        <w:tblCellMar>
          <w:top w:w="0" w:type="dxa"/>
          <w:left w:w="108" w:type="dxa"/>
          <w:bottom w:w="0" w:type="dxa"/>
          <w:right w:w="108" w:type="dxa"/>
        </w:tblCellMar>
      </w:tblPr>
      <w:tblGrid>
        <w:gridCol w:w="2999"/>
        <w:gridCol w:w="1566"/>
        <w:gridCol w:w="1325"/>
        <w:gridCol w:w="1250"/>
        <w:gridCol w:w="1275"/>
      </w:tblGrid>
      <w:tr>
        <w:tblPrEx>
          <w:tblCellMar>
            <w:top w:w="0" w:type="dxa"/>
            <w:left w:w="108" w:type="dxa"/>
            <w:bottom w:w="0" w:type="dxa"/>
            <w:right w:w="108" w:type="dxa"/>
          </w:tblCellMar>
        </w:tblPrEx>
        <w:trPr>
          <w:trHeight w:val="492" w:hRule="atLeast"/>
          <w:tblHeader/>
        </w:trPr>
        <w:tc>
          <w:tcPr>
            <w:tcW w:w="1781" w:type="pc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等线" w:eastAsia="仿宋_GB2312" w:cs="宋体"/>
                <w:b/>
                <w:bCs/>
                <w:color w:val="000000"/>
                <w:kern w:val="0"/>
                <w:sz w:val="21"/>
                <w:szCs w:val="21"/>
              </w:rPr>
            </w:pPr>
            <w:bookmarkStart w:id="3" w:name="_Toc17897"/>
            <w:r>
              <w:rPr>
                <w:rFonts w:hint="eastAsia" w:ascii="仿宋_GB2312" w:hAnsi="等线" w:eastAsia="仿宋_GB2312" w:cs="宋体"/>
                <w:b/>
                <w:bCs/>
                <w:color w:val="000000"/>
                <w:kern w:val="0"/>
                <w:sz w:val="21"/>
                <w:szCs w:val="21"/>
              </w:rPr>
              <w:t>项目名称</w:t>
            </w:r>
          </w:p>
        </w:tc>
        <w:tc>
          <w:tcPr>
            <w:tcW w:w="93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等线" w:eastAsia="仿宋_GB2312" w:cs="宋体"/>
                <w:b/>
                <w:bCs/>
                <w:color w:val="000000"/>
                <w:kern w:val="0"/>
                <w:sz w:val="21"/>
                <w:szCs w:val="21"/>
              </w:rPr>
            </w:pPr>
            <w:r>
              <w:rPr>
                <w:rFonts w:hint="eastAsia" w:ascii="仿宋_GB2312" w:hAnsi="等线" w:eastAsia="仿宋_GB2312" w:cs="宋体"/>
                <w:b/>
                <w:bCs/>
                <w:color w:val="000000"/>
                <w:kern w:val="0"/>
                <w:sz w:val="21"/>
                <w:szCs w:val="21"/>
                <w:lang w:val="en-US" w:eastAsia="zh-CN"/>
              </w:rPr>
              <w:t>2022</w:t>
            </w:r>
            <w:r>
              <w:rPr>
                <w:rFonts w:hint="eastAsia" w:ascii="仿宋_GB2312" w:hAnsi="等线" w:eastAsia="仿宋_GB2312" w:cs="宋体"/>
                <w:b/>
                <w:bCs/>
                <w:color w:val="000000"/>
                <w:kern w:val="0"/>
                <w:sz w:val="21"/>
                <w:szCs w:val="21"/>
              </w:rPr>
              <w:t>年预算</w:t>
            </w:r>
          </w:p>
        </w:tc>
        <w:tc>
          <w:tcPr>
            <w:tcW w:w="7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等线" w:eastAsia="仿宋_GB2312" w:cs="宋体"/>
                <w:b/>
                <w:bCs/>
                <w:color w:val="000000"/>
                <w:kern w:val="0"/>
                <w:sz w:val="21"/>
                <w:szCs w:val="21"/>
                <w:lang w:val="en-US" w:eastAsia="zh-CN" w:bidi="ar-SA"/>
              </w:rPr>
            </w:pPr>
            <w:r>
              <w:rPr>
                <w:rFonts w:hint="eastAsia" w:ascii="仿宋_GB2312" w:hAnsi="等线" w:eastAsia="仿宋_GB2312" w:cs="宋体"/>
                <w:b/>
                <w:bCs/>
                <w:color w:val="000000"/>
                <w:kern w:val="0"/>
                <w:sz w:val="21"/>
                <w:szCs w:val="21"/>
              </w:rPr>
              <w:t>2022年</w:t>
            </w:r>
            <w:r>
              <w:rPr>
                <w:rFonts w:hint="eastAsia" w:ascii="仿宋_GB2312" w:hAnsi="等线" w:eastAsia="仿宋_GB2312" w:cs="宋体"/>
                <w:b/>
                <w:bCs/>
                <w:color w:val="000000"/>
                <w:kern w:val="0"/>
                <w:sz w:val="21"/>
                <w:szCs w:val="21"/>
                <w:lang w:val="en-US" w:eastAsia="zh-CN"/>
              </w:rPr>
              <w:t>决算</w:t>
            </w:r>
          </w:p>
        </w:tc>
        <w:tc>
          <w:tcPr>
            <w:tcW w:w="74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等线" w:eastAsia="仿宋_GB2312" w:cs="宋体"/>
                <w:b/>
                <w:bCs/>
                <w:color w:val="000000"/>
                <w:kern w:val="0"/>
                <w:sz w:val="21"/>
                <w:szCs w:val="21"/>
                <w:lang w:val="en-US" w:eastAsia="zh-CN"/>
              </w:rPr>
            </w:pPr>
            <w:r>
              <w:rPr>
                <w:rFonts w:hint="eastAsia" w:ascii="仿宋_GB2312" w:hAnsi="等线" w:eastAsia="仿宋_GB2312" w:cs="宋体"/>
                <w:b/>
                <w:bCs/>
                <w:color w:val="000000"/>
                <w:kern w:val="0"/>
                <w:sz w:val="21"/>
                <w:szCs w:val="21"/>
                <w:lang w:val="en-US" w:eastAsia="zh-CN"/>
              </w:rPr>
              <w:t>执行率</w:t>
            </w:r>
          </w:p>
        </w:tc>
        <w:tc>
          <w:tcPr>
            <w:tcW w:w="757" w:type="pc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等线" w:eastAsia="仿宋_GB2312" w:cs="宋体"/>
                <w:b/>
                <w:bCs/>
                <w:color w:val="000000"/>
                <w:kern w:val="0"/>
                <w:sz w:val="21"/>
                <w:szCs w:val="21"/>
              </w:rPr>
            </w:pPr>
            <w:r>
              <w:rPr>
                <w:rFonts w:hint="eastAsia" w:ascii="仿宋_GB2312" w:hAnsi="等线" w:eastAsia="仿宋_GB2312" w:cs="宋体"/>
                <w:b/>
                <w:bCs/>
                <w:color w:val="000000"/>
                <w:kern w:val="0"/>
                <w:sz w:val="21"/>
                <w:szCs w:val="21"/>
              </w:rPr>
              <w:t>备注</w:t>
            </w: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hint="eastAsia" w:ascii="仿宋_GB2312" w:hAnsi="Times New Roman" w:eastAsia="仿宋_GB2312" w:cs="Times New Roman"/>
                <w:b/>
                <w:bCs/>
                <w:kern w:val="0"/>
                <w:sz w:val="20"/>
                <w:szCs w:val="20"/>
                <w:lang w:val="en-US" w:eastAsia="zh-CN"/>
              </w:rPr>
            </w:pPr>
            <w:r>
              <w:rPr>
                <w:rFonts w:hint="eastAsia" w:ascii="仿宋_GB2312" w:hAnsi="Times New Roman" w:eastAsia="仿宋_GB2312" w:cs="Times New Roman"/>
                <w:b/>
                <w:bCs/>
                <w:kern w:val="0"/>
                <w:sz w:val="20"/>
                <w:szCs w:val="20"/>
                <w:lang w:val="en-US" w:eastAsia="zh-CN"/>
              </w:rPr>
              <w:t>一、工资福利支出</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b/>
                <w:bCs/>
                <w:color w:val="000000"/>
                <w:kern w:val="0"/>
                <w:sz w:val="18"/>
                <w:szCs w:val="18"/>
                <w:lang w:val="en-US" w:eastAsia="zh-CN"/>
              </w:rPr>
            </w:pPr>
            <w:r>
              <w:rPr>
                <w:rFonts w:hint="eastAsia" w:ascii="仿宋" w:hAnsi="仿宋" w:eastAsia="仿宋" w:cs="仿宋"/>
                <w:b/>
                <w:bCs/>
                <w:i w:val="0"/>
                <w:iCs w:val="0"/>
                <w:color w:val="000000"/>
                <w:kern w:val="0"/>
                <w:sz w:val="18"/>
                <w:szCs w:val="18"/>
                <w:u w:val="none"/>
                <w:lang w:val="en-US" w:eastAsia="zh-CN" w:bidi="ar"/>
              </w:rPr>
              <w:t>481.65</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b/>
                <w:bCs/>
                <w:color w:val="000000"/>
                <w:kern w:val="0"/>
                <w:sz w:val="18"/>
                <w:szCs w:val="18"/>
                <w:lang w:val="en-US" w:eastAsia="zh-CN"/>
              </w:rPr>
            </w:pPr>
            <w:r>
              <w:rPr>
                <w:rFonts w:hint="eastAsia" w:ascii="仿宋" w:hAnsi="仿宋" w:eastAsia="仿宋" w:cs="仿宋"/>
                <w:b/>
                <w:bCs/>
                <w:i w:val="0"/>
                <w:iCs w:val="0"/>
                <w:color w:val="000000"/>
                <w:kern w:val="0"/>
                <w:sz w:val="18"/>
                <w:szCs w:val="18"/>
                <w:u w:val="none"/>
                <w:lang w:val="en-US" w:eastAsia="zh-CN" w:bidi="ar"/>
              </w:rPr>
              <w:t>664.18</w:t>
            </w: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b/>
                <w:bCs/>
                <w:color w:val="000000"/>
                <w:kern w:val="0"/>
                <w:sz w:val="18"/>
                <w:szCs w:val="18"/>
                <w:lang w:val="en-US" w:eastAsia="zh-CN"/>
              </w:rPr>
            </w:pPr>
            <w:r>
              <w:rPr>
                <w:rFonts w:hint="eastAsia" w:ascii="仿宋" w:hAnsi="仿宋" w:eastAsia="仿宋" w:cs="仿宋"/>
                <w:b/>
                <w:bCs/>
                <w:i w:val="0"/>
                <w:iCs w:val="0"/>
                <w:color w:val="000000"/>
                <w:kern w:val="0"/>
                <w:sz w:val="18"/>
                <w:szCs w:val="18"/>
                <w:u w:val="none"/>
                <w:lang w:val="en-US" w:eastAsia="zh-CN" w:bidi="ar"/>
              </w:rPr>
              <w:t>137.90%</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b/>
                <w:bCs/>
                <w:color w:val="000000"/>
                <w:kern w:val="0"/>
                <w:sz w:val="18"/>
                <w:szCs w:val="18"/>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 xml:space="preserve">  其他社会保障缴费</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2.03</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1.05</w:t>
            </w: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b w:val="0"/>
                <w:bCs w:val="0"/>
                <w:color w:val="000000"/>
                <w:kern w:val="0"/>
                <w:sz w:val="18"/>
                <w:szCs w:val="18"/>
                <w:lang w:val="en-US" w:eastAsia="zh-CN"/>
              </w:rPr>
            </w:pPr>
            <w:r>
              <w:rPr>
                <w:rFonts w:hint="eastAsia" w:ascii="仿宋" w:hAnsi="仿宋" w:eastAsia="仿宋" w:cs="仿宋"/>
                <w:b w:val="0"/>
                <w:bCs w:val="0"/>
                <w:i w:val="0"/>
                <w:iCs w:val="0"/>
                <w:color w:val="000000"/>
                <w:kern w:val="0"/>
                <w:sz w:val="18"/>
                <w:szCs w:val="18"/>
                <w:u w:val="none"/>
                <w:lang w:val="en-US" w:eastAsia="zh-CN" w:bidi="ar"/>
              </w:rPr>
              <w:t>51.72%</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 xml:space="preserve">  机关事业单位基本养老保险缴费</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cs="仿宋"/>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34.43</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36.6</w:t>
            </w: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b w:val="0"/>
                <w:bCs w:val="0"/>
                <w:color w:val="000000"/>
                <w:kern w:val="0"/>
                <w:sz w:val="18"/>
                <w:szCs w:val="18"/>
                <w:lang w:val="en-US" w:eastAsia="zh-CN"/>
              </w:rPr>
            </w:pPr>
            <w:r>
              <w:rPr>
                <w:rFonts w:hint="eastAsia" w:ascii="仿宋" w:hAnsi="仿宋" w:eastAsia="仿宋" w:cs="仿宋"/>
                <w:b w:val="0"/>
                <w:bCs w:val="0"/>
                <w:i w:val="0"/>
                <w:iCs w:val="0"/>
                <w:color w:val="000000"/>
                <w:kern w:val="0"/>
                <w:sz w:val="18"/>
                <w:szCs w:val="18"/>
                <w:u w:val="none"/>
                <w:lang w:val="en-US" w:eastAsia="zh-CN" w:bidi="ar"/>
              </w:rPr>
              <w:t>106.30%</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 xml:space="preserve">  住房公积金</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cs="仿宋"/>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24.72</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37.47</w:t>
            </w: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b w:val="0"/>
                <w:bCs w:val="0"/>
                <w:color w:val="000000"/>
                <w:kern w:val="0"/>
                <w:sz w:val="18"/>
                <w:szCs w:val="18"/>
                <w:lang w:val="en-US" w:eastAsia="zh-CN"/>
              </w:rPr>
            </w:pPr>
            <w:r>
              <w:rPr>
                <w:rFonts w:hint="eastAsia" w:ascii="仿宋" w:hAnsi="仿宋" w:eastAsia="仿宋" w:cs="仿宋"/>
                <w:b w:val="0"/>
                <w:bCs w:val="0"/>
                <w:i w:val="0"/>
                <w:iCs w:val="0"/>
                <w:color w:val="000000"/>
                <w:kern w:val="0"/>
                <w:sz w:val="18"/>
                <w:szCs w:val="18"/>
                <w:u w:val="none"/>
                <w:lang w:val="en-US" w:eastAsia="zh-CN" w:bidi="ar"/>
              </w:rPr>
              <w:t>151.58%</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 xml:space="preserve">  奖金</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189.64</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306.05</w:t>
            </w: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b w:val="0"/>
                <w:bCs w:val="0"/>
                <w:color w:val="000000"/>
                <w:kern w:val="0"/>
                <w:sz w:val="18"/>
                <w:szCs w:val="18"/>
                <w:lang w:val="en-US" w:eastAsia="zh-CN"/>
              </w:rPr>
            </w:pPr>
            <w:r>
              <w:rPr>
                <w:rFonts w:hint="eastAsia" w:ascii="仿宋" w:hAnsi="仿宋" w:eastAsia="仿宋" w:cs="仿宋"/>
                <w:b w:val="0"/>
                <w:bCs w:val="0"/>
                <w:i w:val="0"/>
                <w:iCs w:val="0"/>
                <w:color w:val="000000"/>
                <w:kern w:val="0"/>
                <w:sz w:val="18"/>
                <w:szCs w:val="18"/>
                <w:u w:val="none"/>
                <w:lang w:val="en-US" w:eastAsia="zh-CN" w:bidi="ar"/>
              </w:rPr>
              <w:t>16</w:t>
            </w:r>
            <w:r>
              <w:rPr>
                <w:rFonts w:hint="eastAsia" w:ascii="仿宋" w:hAnsi="仿宋" w:cs="仿宋"/>
                <w:b w:val="0"/>
                <w:bCs w:val="0"/>
                <w:i w:val="0"/>
                <w:iCs w:val="0"/>
                <w:color w:val="000000"/>
                <w:kern w:val="0"/>
                <w:sz w:val="18"/>
                <w:szCs w:val="18"/>
                <w:u w:val="none"/>
                <w:lang w:val="en-US" w:eastAsia="zh-CN" w:bidi="ar"/>
              </w:rPr>
              <w:t>0.81</w:t>
            </w:r>
            <w:r>
              <w:rPr>
                <w:rFonts w:hint="eastAsia" w:ascii="仿宋" w:hAnsi="仿宋" w:eastAsia="仿宋" w:cs="仿宋"/>
                <w:b w:val="0"/>
                <w:bCs w:val="0"/>
                <w:i w:val="0"/>
                <w:iCs w:val="0"/>
                <w:color w:val="000000"/>
                <w:kern w:val="0"/>
                <w:sz w:val="18"/>
                <w:szCs w:val="18"/>
                <w:u w:val="none"/>
                <w:lang w:val="en-US" w:eastAsia="zh-CN" w:bidi="ar"/>
              </w:rPr>
              <w:t>%</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 xml:space="preserve">  职工基本医疗保险缴费</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17.21</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19.24</w:t>
            </w: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b w:val="0"/>
                <w:bCs w:val="0"/>
                <w:color w:val="000000"/>
                <w:kern w:val="0"/>
                <w:sz w:val="18"/>
                <w:szCs w:val="18"/>
                <w:lang w:val="en-US" w:eastAsia="zh-CN"/>
              </w:rPr>
            </w:pPr>
            <w:r>
              <w:rPr>
                <w:rFonts w:hint="eastAsia" w:ascii="仿宋" w:hAnsi="仿宋" w:eastAsia="仿宋" w:cs="仿宋"/>
                <w:b w:val="0"/>
                <w:bCs w:val="0"/>
                <w:i w:val="0"/>
                <w:iCs w:val="0"/>
                <w:color w:val="000000"/>
                <w:kern w:val="0"/>
                <w:sz w:val="18"/>
                <w:szCs w:val="18"/>
                <w:u w:val="none"/>
                <w:lang w:val="en-US" w:eastAsia="zh-CN" w:bidi="ar"/>
              </w:rPr>
              <w:t>111.80%</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 xml:space="preserve">  津贴补贴</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cs="仿宋"/>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97.2</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96.74</w:t>
            </w: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b w:val="0"/>
                <w:bCs w:val="0"/>
                <w:color w:val="000000"/>
                <w:kern w:val="0"/>
                <w:sz w:val="18"/>
                <w:szCs w:val="18"/>
                <w:lang w:val="en-US" w:eastAsia="zh-CN"/>
              </w:rPr>
            </w:pPr>
            <w:r>
              <w:rPr>
                <w:rFonts w:hint="eastAsia" w:ascii="仿宋" w:hAnsi="仿宋" w:eastAsia="仿宋" w:cs="仿宋"/>
                <w:b w:val="0"/>
                <w:bCs w:val="0"/>
                <w:i w:val="0"/>
                <w:iCs w:val="0"/>
                <w:color w:val="000000"/>
                <w:kern w:val="0"/>
                <w:sz w:val="18"/>
                <w:szCs w:val="18"/>
                <w:u w:val="none"/>
                <w:lang w:val="en-US" w:eastAsia="zh-CN" w:bidi="ar"/>
              </w:rPr>
              <w:t>99.53%</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 xml:space="preserve">  公务员医疗补助缴费</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6.46</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32.24</w:t>
            </w: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b w:val="0"/>
                <w:bCs w:val="0"/>
                <w:color w:val="000000"/>
                <w:kern w:val="0"/>
                <w:sz w:val="18"/>
                <w:szCs w:val="18"/>
                <w:lang w:val="en-US" w:eastAsia="zh-CN"/>
              </w:rPr>
            </w:pPr>
            <w:r>
              <w:rPr>
                <w:rFonts w:hint="eastAsia" w:ascii="仿宋" w:hAnsi="仿宋" w:eastAsia="仿宋" w:cs="仿宋"/>
                <w:b w:val="0"/>
                <w:bCs w:val="0"/>
                <w:i w:val="0"/>
                <w:iCs w:val="0"/>
                <w:color w:val="000000"/>
                <w:kern w:val="0"/>
                <w:sz w:val="18"/>
                <w:szCs w:val="18"/>
                <w:u w:val="none"/>
                <w:lang w:val="en-US" w:eastAsia="zh-CN" w:bidi="ar"/>
              </w:rPr>
              <w:t>499.07%</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 xml:space="preserve">  基本工资</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109.96</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i w:val="0"/>
                <w:iCs w:val="0"/>
                <w:color w:val="000000"/>
                <w:kern w:val="0"/>
                <w:sz w:val="18"/>
                <w:szCs w:val="18"/>
                <w:u w:val="none"/>
                <w:lang w:val="en-US" w:eastAsia="zh-CN" w:bidi="ar"/>
              </w:rPr>
              <w:t>123.95</w:t>
            </w: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b w:val="0"/>
                <w:bCs w:val="0"/>
                <w:color w:val="000000"/>
                <w:kern w:val="0"/>
                <w:sz w:val="18"/>
                <w:szCs w:val="18"/>
                <w:lang w:val="en-US" w:eastAsia="zh-CN"/>
              </w:rPr>
            </w:pPr>
            <w:r>
              <w:rPr>
                <w:rFonts w:hint="eastAsia" w:ascii="仿宋" w:hAnsi="仿宋" w:eastAsia="仿宋" w:cs="仿宋"/>
                <w:b w:val="0"/>
                <w:bCs w:val="0"/>
                <w:i w:val="0"/>
                <w:iCs w:val="0"/>
                <w:color w:val="000000"/>
                <w:kern w:val="0"/>
                <w:sz w:val="18"/>
                <w:szCs w:val="18"/>
                <w:u w:val="none"/>
                <w:lang w:val="en-US" w:eastAsia="zh-CN" w:bidi="ar"/>
              </w:rPr>
              <w:t>112.72%</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 xml:space="preserve">  职业年金缴费</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仿宋" w:hAnsi="仿宋" w:cs="仿宋"/>
                <w:color w:val="000000"/>
                <w:kern w:val="0"/>
                <w:sz w:val="18"/>
                <w:szCs w:val="18"/>
                <w:lang w:val="en-US" w:eastAsia="zh-CN"/>
              </w:rPr>
            </w:pP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10.84</w:t>
            </w: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仿宋" w:hAnsi="仿宋" w:cs="仿宋"/>
                <w:b w:val="0"/>
                <w:bCs w:val="0"/>
                <w:color w:val="000000"/>
                <w:kern w:val="0"/>
                <w:sz w:val="18"/>
                <w:szCs w:val="18"/>
                <w:lang w:val="en-US" w:eastAsia="zh-CN"/>
              </w:rPr>
            </w:pP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b/>
                <w:bCs/>
                <w:kern w:val="0"/>
                <w:sz w:val="20"/>
                <w:szCs w:val="20"/>
                <w:lang w:val="en-US" w:eastAsia="zh-CN"/>
              </w:rPr>
              <w:t>二、对个人和家庭的补助</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cs="仿宋"/>
                <w:b/>
                <w:bCs/>
                <w:color w:val="000000"/>
                <w:kern w:val="0"/>
                <w:sz w:val="18"/>
                <w:szCs w:val="18"/>
                <w:lang w:val="en-US" w:eastAsia="zh-CN"/>
              </w:rPr>
            </w:pPr>
            <w:r>
              <w:rPr>
                <w:rFonts w:hint="eastAsia" w:ascii="仿宋" w:hAnsi="仿宋" w:eastAsia="仿宋" w:cs="仿宋"/>
                <w:b/>
                <w:bCs/>
                <w:i w:val="0"/>
                <w:iCs w:val="0"/>
                <w:color w:val="000000"/>
                <w:kern w:val="0"/>
                <w:sz w:val="18"/>
                <w:szCs w:val="18"/>
                <w:u w:val="none"/>
                <w:lang w:val="en-US" w:eastAsia="zh-CN" w:bidi="ar"/>
              </w:rPr>
              <w:t>31.68</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cs="仿宋"/>
                <w:b/>
                <w:bCs/>
                <w:color w:val="000000"/>
                <w:kern w:val="0"/>
                <w:sz w:val="18"/>
                <w:szCs w:val="18"/>
                <w:lang w:val="en-US" w:eastAsia="zh-CN"/>
              </w:rPr>
            </w:pPr>
            <w:r>
              <w:rPr>
                <w:rFonts w:hint="eastAsia" w:ascii="仿宋" w:hAnsi="仿宋" w:eastAsia="仿宋" w:cs="仿宋"/>
                <w:b/>
                <w:bCs/>
                <w:i w:val="0"/>
                <w:iCs w:val="0"/>
                <w:color w:val="000000"/>
                <w:kern w:val="0"/>
                <w:sz w:val="18"/>
                <w:szCs w:val="18"/>
                <w:u w:val="none"/>
                <w:lang w:val="en-US" w:eastAsia="zh-CN" w:bidi="ar"/>
              </w:rPr>
              <w:t>69.18</w:t>
            </w: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color w:val="000000"/>
                <w:kern w:val="0"/>
                <w:sz w:val="18"/>
                <w:szCs w:val="18"/>
                <w:lang w:val="en-US" w:eastAsia="zh-CN"/>
              </w:rPr>
            </w:pPr>
            <w:r>
              <w:rPr>
                <w:rFonts w:hint="eastAsia" w:ascii="仿宋" w:hAnsi="仿宋" w:eastAsia="仿宋" w:cs="仿宋"/>
                <w:b/>
                <w:bCs/>
                <w:i w:val="0"/>
                <w:iCs w:val="0"/>
                <w:color w:val="000000"/>
                <w:kern w:val="0"/>
                <w:sz w:val="18"/>
                <w:szCs w:val="18"/>
                <w:u w:val="none"/>
                <w:lang w:val="en-US" w:eastAsia="zh-CN" w:bidi="ar"/>
              </w:rPr>
              <w:t>218.37%</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 xml:space="preserve">  离休费</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仿宋" w:hAnsi="仿宋" w:cs="仿宋"/>
                <w:color w:val="000000"/>
                <w:kern w:val="0"/>
                <w:sz w:val="18"/>
                <w:szCs w:val="18"/>
                <w:lang w:val="en-US" w:eastAsia="zh-CN"/>
              </w:rPr>
            </w:pP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仿宋" w:hAnsi="仿宋" w:cs="仿宋"/>
                <w:color w:val="000000"/>
                <w:kern w:val="0"/>
                <w:sz w:val="18"/>
                <w:szCs w:val="18"/>
                <w:lang w:val="en-US" w:eastAsia="zh-CN"/>
              </w:rPr>
            </w:pP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仿宋" w:hAnsi="仿宋" w:cs="仿宋"/>
                <w:color w:val="000000"/>
                <w:kern w:val="0"/>
                <w:sz w:val="18"/>
                <w:szCs w:val="18"/>
                <w:lang w:val="en-US" w:eastAsia="zh-CN"/>
              </w:rPr>
            </w:pP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Times New Roman" w:eastAsia="仿宋_GB2312" w:cs="Times New Roman"/>
                <w:b/>
                <w:bCs/>
                <w:kern w:val="0"/>
                <w:sz w:val="20"/>
                <w:szCs w:val="20"/>
                <w:lang w:val="en-US" w:eastAsia="zh-CN"/>
              </w:rPr>
            </w:pPr>
            <w:r>
              <w:rPr>
                <w:rFonts w:hint="eastAsia" w:ascii="仿宋_GB2312" w:hAnsi="Times New Roman" w:eastAsia="仿宋_GB2312" w:cs="Times New Roman"/>
                <w:kern w:val="0"/>
                <w:sz w:val="20"/>
                <w:szCs w:val="20"/>
                <w:lang w:val="en-US" w:eastAsia="zh-CN"/>
              </w:rPr>
              <w:t xml:space="preserve">  退休费</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cs="仿宋"/>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31.68</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b/>
                <w:bCs/>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69.18</w:t>
            </w: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b/>
                <w:bCs/>
                <w:color w:val="000000"/>
                <w:kern w:val="0"/>
                <w:sz w:val="18"/>
                <w:szCs w:val="18"/>
                <w:lang w:val="en-US" w:eastAsia="zh-CN"/>
              </w:rPr>
            </w:pPr>
            <w:r>
              <w:rPr>
                <w:rFonts w:hint="eastAsia" w:ascii="仿宋" w:hAnsi="仿宋" w:eastAsia="仿宋" w:cs="仿宋"/>
                <w:b w:val="0"/>
                <w:bCs w:val="0"/>
                <w:i w:val="0"/>
                <w:iCs w:val="0"/>
                <w:color w:val="000000"/>
                <w:kern w:val="0"/>
                <w:sz w:val="18"/>
                <w:szCs w:val="18"/>
                <w:u w:val="none"/>
                <w:lang w:val="en-US" w:eastAsia="zh-CN" w:bidi="ar"/>
              </w:rPr>
              <w:t>218.37%</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b/>
                <w:bCs/>
                <w:color w:val="000000"/>
                <w:kern w:val="0"/>
                <w:sz w:val="18"/>
                <w:szCs w:val="18"/>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b/>
                <w:bCs/>
                <w:kern w:val="0"/>
                <w:sz w:val="20"/>
                <w:szCs w:val="20"/>
                <w:lang w:val="en-US" w:eastAsia="zh-CN"/>
              </w:rPr>
              <w:t>三、商品和服务支出</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cs="仿宋"/>
                <w:color w:val="000000"/>
                <w:kern w:val="0"/>
                <w:sz w:val="18"/>
                <w:szCs w:val="18"/>
                <w:lang w:val="en-US" w:eastAsia="zh-CN"/>
              </w:rPr>
            </w:pPr>
            <w:r>
              <w:rPr>
                <w:rFonts w:hint="eastAsia" w:ascii="仿宋" w:hAnsi="仿宋" w:eastAsia="仿宋" w:cs="仿宋"/>
                <w:b/>
                <w:bCs/>
                <w:i w:val="0"/>
                <w:iCs w:val="0"/>
                <w:color w:val="000000"/>
                <w:kern w:val="0"/>
                <w:sz w:val="18"/>
                <w:szCs w:val="18"/>
                <w:u w:val="none"/>
                <w:lang w:val="en-US" w:eastAsia="zh-CN" w:bidi="ar"/>
              </w:rPr>
              <w:t>64</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cs="仿宋"/>
                <w:color w:val="000000"/>
                <w:kern w:val="0"/>
                <w:sz w:val="18"/>
                <w:szCs w:val="18"/>
                <w:lang w:val="en-US" w:eastAsia="zh-CN"/>
              </w:rPr>
            </w:pPr>
            <w:r>
              <w:rPr>
                <w:rFonts w:hint="eastAsia" w:ascii="仿宋" w:hAnsi="仿宋" w:eastAsia="仿宋" w:cs="仿宋"/>
                <w:b/>
                <w:bCs/>
                <w:i w:val="0"/>
                <w:iCs w:val="0"/>
                <w:color w:val="000000"/>
                <w:kern w:val="0"/>
                <w:sz w:val="18"/>
                <w:szCs w:val="18"/>
                <w:u w:val="none"/>
                <w:lang w:val="en-US" w:eastAsia="zh-CN" w:bidi="ar"/>
              </w:rPr>
              <w:t>24.7</w:t>
            </w: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color w:val="000000"/>
                <w:kern w:val="0"/>
                <w:sz w:val="18"/>
                <w:szCs w:val="18"/>
                <w:lang w:val="en-US" w:eastAsia="zh-CN"/>
              </w:rPr>
            </w:pPr>
            <w:r>
              <w:rPr>
                <w:rFonts w:hint="eastAsia" w:ascii="仿宋" w:hAnsi="仿宋" w:eastAsia="仿宋" w:cs="仿宋"/>
                <w:b/>
                <w:bCs/>
                <w:i w:val="0"/>
                <w:iCs w:val="0"/>
                <w:color w:val="000000"/>
                <w:kern w:val="0"/>
                <w:sz w:val="18"/>
                <w:szCs w:val="18"/>
                <w:u w:val="none"/>
                <w:lang w:val="en-US" w:eastAsia="zh-CN" w:bidi="ar"/>
              </w:rPr>
              <w:t>38.59%</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
              <w:rPr>
                <w:rFonts w:ascii="仿宋" w:hAnsi="仿宋" w:cs="仿宋"/>
                <w:color w:val="000000"/>
                <w:kern w:val="0"/>
                <w:sz w:val="18"/>
                <w:szCs w:val="18"/>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 xml:space="preserve">  办公费</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cs="仿宋"/>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5</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cs="仿宋"/>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1.73</w:t>
            </w: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b w:val="0"/>
                <w:bCs w:val="0"/>
                <w:color w:val="000000"/>
                <w:kern w:val="0"/>
                <w:sz w:val="18"/>
                <w:szCs w:val="18"/>
                <w:lang w:val="en-US" w:eastAsia="zh-CN"/>
              </w:rPr>
            </w:pPr>
            <w:r>
              <w:rPr>
                <w:rFonts w:hint="eastAsia" w:ascii="仿宋" w:hAnsi="仿宋" w:eastAsia="仿宋" w:cs="仿宋"/>
                <w:b w:val="0"/>
                <w:bCs w:val="0"/>
                <w:i w:val="0"/>
                <w:iCs w:val="0"/>
                <w:color w:val="000000"/>
                <w:kern w:val="0"/>
                <w:sz w:val="18"/>
                <w:szCs w:val="18"/>
                <w:u w:val="none"/>
                <w:lang w:val="en-US" w:eastAsia="zh-CN" w:bidi="ar"/>
              </w:rPr>
              <w:t>34.60%</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
              <w:rPr>
                <w:rFonts w:ascii="仿宋" w:hAnsi="仿宋" w:cs="仿宋"/>
                <w:color w:val="000000"/>
                <w:kern w:val="0"/>
                <w:sz w:val="18"/>
                <w:szCs w:val="18"/>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 xml:space="preserve">  劳务费</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仿宋" w:hAnsi="仿宋" w:cs="仿宋"/>
                <w:color w:val="000000"/>
                <w:kern w:val="0"/>
                <w:sz w:val="18"/>
                <w:szCs w:val="18"/>
                <w:lang w:val="en-US" w:eastAsia="zh-CN"/>
              </w:rPr>
            </w:pP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cs="仿宋"/>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0.18</w:t>
            </w: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仿宋" w:hAnsi="仿宋" w:cs="仿宋"/>
                <w:b w:val="0"/>
                <w:bCs w:val="0"/>
                <w:color w:val="000000"/>
                <w:kern w:val="0"/>
                <w:sz w:val="18"/>
                <w:szCs w:val="18"/>
                <w:lang w:val="en-US" w:eastAsia="zh-CN"/>
              </w:rPr>
            </w:pP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
              <w:rPr>
                <w:rFonts w:ascii="仿宋" w:hAnsi="仿宋" w:cs="仿宋"/>
                <w:color w:val="000000"/>
                <w:kern w:val="0"/>
                <w:sz w:val="18"/>
                <w:szCs w:val="18"/>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 xml:space="preserve">  工会经费</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7.94</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cs="仿宋"/>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16.64</w:t>
            </w: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color w:val="000000"/>
                <w:kern w:val="0"/>
                <w:sz w:val="18"/>
                <w:szCs w:val="18"/>
                <w:lang w:val="en-US" w:eastAsia="zh-CN"/>
              </w:rPr>
            </w:pPr>
            <w:r>
              <w:rPr>
                <w:rFonts w:hint="eastAsia" w:ascii="仿宋" w:hAnsi="仿宋" w:eastAsia="仿宋" w:cs="仿宋"/>
                <w:b w:val="0"/>
                <w:bCs w:val="0"/>
                <w:i w:val="0"/>
                <w:iCs w:val="0"/>
                <w:color w:val="000000"/>
                <w:kern w:val="0"/>
                <w:sz w:val="18"/>
                <w:szCs w:val="18"/>
                <w:u w:val="none"/>
                <w:lang w:val="en-US" w:eastAsia="zh-CN" w:bidi="ar"/>
              </w:rPr>
              <w:t>209.57%</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
              <w:rPr>
                <w:rFonts w:ascii="仿宋" w:hAnsi="仿宋" w:cs="仿宋"/>
                <w:color w:val="000000"/>
                <w:kern w:val="0"/>
                <w:sz w:val="18"/>
                <w:szCs w:val="18"/>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 xml:space="preserve">  福利费</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2.2</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cs="仿宋"/>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0.79</w:t>
            </w: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color w:val="000000"/>
                <w:kern w:val="0"/>
                <w:sz w:val="18"/>
                <w:szCs w:val="18"/>
                <w:lang w:val="en-US" w:eastAsia="zh-CN"/>
              </w:rPr>
            </w:pPr>
            <w:r>
              <w:rPr>
                <w:rFonts w:hint="eastAsia" w:ascii="仿宋" w:hAnsi="仿宋" w:eastAsia="仿宋" w:cs="仿宋"/>
                <w:b w:val="0"/>
                <w:bCs w:val="0"/>
                <w:i w:val="0"/>
                <w:iCs w:val="0"/>
                <w:color w:val="000000"/>
                <w:kern w:val="0"/>
                <w:sz w:val="18"/>
                <w:szCs w:val="18"/>
                <w:u w:val="none"/>
                <w:lang w:val="en-US" w:eastAsia="zh-CN" w:bidi="ar"/>
              </w:rPr>
              <w:t>35.91%</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
              <w:rPr>
                <w:rFonts w:ascii="仿宋" w:hAnsi="仿宋" w:cs="仿宋"/>
                <w:color w:val="000000"/>
                <w:kern w:val="0"/>
                <w:sz w:val="18"/>
                <w:szCs w:val="18"/>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 xml:space="preserve">  其他交通费用</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12</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cs="仿宋"/>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3.3</w:t>
            </w: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color w:val="000000"/>
                <w:kern w:val="0"/>
                <w:sz w:val="18"/>
                <w:szCs w:val="18"/>
                <w:lang w:val="en-US" w:eastAsia="zh-CN"/>
              </w:rPr>
            </w:pPr>
            <w:r>
              <w:rPr>
                <w:rFonts w:hint="eastAsia" w:ascii="仿宋" w:hAnsi="仿宋" w:eastAsia="仿宋" w:cs="仿宋"/>
                <w:b w:val="0"/>
                <w:bCs w:val="0"/>
                <w:i w:val="0"/>
                <w:iCs w:val="0"/>
                <w:color w:val="000000"/>
                <w:kern w:val="0"/>
                <w:sz w:val="18"/>
                <w:szCs w:val="18"/>
                <w:u w:val="none"/>
                <w:lang w:val="en-US" w:eastAsia="zh-CN" w:bidi="ar"/>
              </w:rPr>
              <w:t>27.50%</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
              <w:rPr>
                <w:rFonts w:ascii="仿宋" w:hAnsi="仿宋" w:cs="仿宋"/>
                <w:color w:val="000000"/>
                <w:kern w:val="0"/>
                <w:sz w:val="18"/>
                <w:szCs w:val="18"/>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Times New Roman" w:eastAsia="仿宋_GB2312" w:cs="Times New Roman"/>
                <w:b/>
                <w:bCs/>
                <w:kern w:val="0"/>
                <w:sz w:val="20"/>
                <w:szCs w:val="20"/>
                <w:lang w:val="en-US" w:eastAsia="zh-CN"/>
              </w:rPr>
            </w:pPr>
            <w:r>
              <w:rPr>
                <w:rFonts w:hint="eastAsia" w:ascii="仿宋_GB2312" w:hAnsi="Times New Roman" w:eastAsia="仿宋_GB2312" w:cs="Times New Roman"/>
                <w:kern w:val="0"/>
                <w:sz w:val="20"/>
                <w:szCs w:val="20"/>
                <w:lang w:val="en-US" w:eastAsia="zh-CN"/>
              </w:rPr>
              <w:t xml:space="preserve">  其他商品和服务支出</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b/>
                <w:bCs/>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36.86</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cs="仿宋"/>
                <w:b/>
                <w:bCs/>
                <w:color w:val="000000"/>
                <w:kern w:val="0"/>
                <w:sz w:val="18"/>
                <w:szCs w:val="18"/>
                <w:lang w:val="en-US" w:eastAsia="zh-CN"/>
              </w:rPr>
            </w:pPr>
            <w:r>
              <w:rPr>
                <w:rFonts w:hint="eastAsia" w:ascii="仿宋" w:hAnsi="仿宋" w:eastAsia="仿宋" w:cs="仿宋"/>
                <w:i w:val="0"/>
                <w:iCs w:val="0"/>
                <w:color w:val="000000"/>
                <w:kern w:val="0"/>
                <w:sz w:val="18"/>
                <w:szCs w:val="18"/>
                <w:u w:val="none"/>
                <w:lang w:val="en-US" w:eastAsia="zh-CN" w:bidi="ar"/>
              </w:rPr>
              <w:t>2.06</w:t>
            </w: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b/>
                <w:bCs/>
                <w:color w:val="000000"/>
                <w:kern w:val="0"/>
                <w:sz w:val="18"/>
                <w:szCs w:val="18"/>
                <w:lang w:val="en-US" w:eastAsia="zh-CN"/>
              </w:rPr>
            </w:pPr>
            <w:r>
              <w:rPr>
                <w:rFonts w:hint="eastAsia" w:ascii="仿宋" w:hAnsi="仿宋" w:eastAsia="仿宋" w:cs="仿宋"/>
                <w:b w:val="0"/>
                <w:bCs w:val="0"/>
                <w:i w:val="0"/>
                <w:iCs w:val="0"/>
                <w:color w:val="000000"/>
                <w:kern w:val="0"/>
                <w:sz w:val="18"/>
                <w:szCs w:val="18"/>
                <w:u w:val="none"/>
                <w:lang w:val="en-US" w:eastAsia="zh-CN" w:bidi="ar"/>
              </w:rPr>
              <w:t>5.59%</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
              <w:rPr>
                <w:b/>
                <w:bCs/>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仿宋_GB2312" w:hAnsi="Times New Roman" w:eastAsia="仿宋_GB2312" w:cs="Times New Roman"/>
                <w:kern w:val="0"/>
                <w:sz w:val="20"/>
                <w:szCs w:val="20"/>
                <w:lang w:val="en-US" w:eastAsia="zh-CN"/>
              </w:rPr>
            </w:pPr>
            <w:r>
              <w:rPr>
                <w:rFonts w:hint="eastAsia" w:ascii="仿宋_GB2312" w:hAnsi="Times New Roman" w:eastAsia="仿宋_GB2312" w:cs="Times New Roman"/>
                <w:b/>
                <w:bCs/>
                <w:kern w:val="0"/>
                <w:sz w:val="20"/>
                <w:szCs w:val="20"/>
                <w:lang w:val="en-US" w:eastAsia="zh-CN"/>
              </w:rPr>
              <w:t>四、资本性支出</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仿宋" w:hAnsi="仿宋" w:cs="仿宋"/>
                <w:color w:val="000000"/>
                <w:kern w:val="0"/>
                <w:sz w:val="18"/>
                <w:szCs w:val="18"/>
                <w:lang w:val="en-US" w:eastAsia="zh-CN"/>
              </w:rPr>
            </w:pP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仿宋" w:hAnsi="仿宋" w:cs="仿宋"/>
                <w:color w:val="000000"/>
                <w:kern w:val="0"/>
                <w:sz w:val="18"/>
                <w:szCs w:val="18"/>
                <w:lang w:val="en-US" w:eastAsia="zh-CN"/>
              </w:rPr>
            </w:pP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仿宋" w:hAnsi="仿宋" w:cs="仿宋"/>
                <w:b w:val="0"/>
                <w:bCs w:val="0"/>
                <w:color w:val="000000"/>
                <w:kern w:val="0"/>
                <w:sz w:val="18"/>
                <w:szCs w:val="18"/>
                <w:lang w:val="en-US" w:eastAsia="zh-CN"/>
              </w:rPr>
            </w:pP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
              <w:rPr>
                <w:b/>
                <w:bCs/>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200" w:firstLineChars="100"/>
              <w:jc w:val="left"/>
              <w:rPr>
                <w:rFonts w:hint="default"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办公设备购置</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仿宋" w:hAnsi="仿宋" w:cs="仿宋"/>
                <w:color w:val="000000"/>
                <w:kern w:val="0"/>
                <w:sz w:val="18"/>
                <w:szCs w:val="18"/>
                <w:lang w:val="en-US" w:eastAsia="zh-CN"/>
              </w:rPr>
            </w:pP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仿宋" w:hAnsi="仿宋" w:cs="仿宋"/>
                <w:color w:val="000000"/>
                <w:kern w:val="0"/>
                <w:sz w:val="18"/>
                <w:szCs w:val="18"/>
                <w:lang w:val="en-US" w:eastAsia="zh-CN"/>
              </w:rPr>
            </w:pP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仿宋" w:hAnsi="仿宋" w:cs="仿宋"/>
                <w:b w:val="0"/>
                <w:bCs w:val="0"/>
                <w:color w:val="000000"/>
                <w:kern w:val="0"/>
                <w:sz w:val="18"/>
                <w:szCs w:val="18"/>
                <w:lang w:val="en-US" w:eastAsia="zh-CN"/>
              </w:rPr>
            </w:pP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
              <w:rPr>
                <w:b/>
                <w:bCs/>
              </w:rPr>
            </w:pPr>
          </w:p>
        </w:tc>
      </w:tr>
      <w:tr>
        <w:tblPrEx>
          <w:tblCellMar>
            <w:top w:w="0" w:type="dxa"/>
            <w:left w:w="108" w:type="dxa"/>
            <w:bottom w:w="0" w:type="dxa"/>
            <w:right w:w="108" w:type="dxa"/>
          </w:tblCellMar>
        </w:tblPrEx>
        <w:trPr>
          <w:trHeight w:val="454" w:hRule="exact"/>
        </w:trPr>
        <w:tc>
          <w:tcPr>
            <w:tcW w:w="17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仿宋_GB2312" w:hAnsi="Times New Roman" w:eastAsia="仿宋_GB2312" w:cs="Times New Roman"/>
                <w:kern w:val="0"/>
                <w:sz w:val="20"/>
                <w:szCs w:val="20"/>
                <w:lang w:val="en-US" w:eastAsia="zh-CN"/>
              </w:rPr>
            </w:pPr>
            <w:r>
              <w:rPr>
                <w:rFonts w:hint="eastAsia" w:ascii="仿宋_GB2312" w:hAnsi="Times New Roman" w:eastAsia="仿宋_GB2312" w:cs="Times New Roman"/>
                <w:b/>
                <w:bCs/>
                <w:kern w:val="0"/>
                <w:sz w:val="20"/>
                <w:szCs w:val="20"/>
                <w:lang w:val="en-US" w:eastAsia="zh-CN"/>
              </w:rPr>
              <w:t>合计</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cs="仿宋"/>
                <w:b/>
                <w:bCs/>
                <w:color w:val="000000"/>
                <w:kern w:val="0"/>
                <w:sz w:val="18"/>
                <w:szCs w:val="18"/>
                <w:lang w:val="en-US" w:eastAsia="zh-CN"/>
              </w:rPr>
            </w:pPr>
            <w:r>
              <w:rPr>
                <w:rFonts w:hint="eastAsia" w:ascii="仿宋" w:hAnsi="仿宋" w:eastAsia="仿宋" w:cs="仿宋"/>
                <w:b/>
                <w:bCs/>
                <w:i w:val="0"/>
                <w:iCs w:val="0"/>
                <w:color w:val="000000"/>
                <w:kern w:val="0"/>
                <w:sz w:val="18"/>
                <w:szCs w:val="18"/>
                <w:u w:val="none"/>
                <w:lang w:val="en-US" w:eastAsia="zh-CN" w:bidi="ar"/>
              </w:rPr>
              <w:t>577.33</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 w:hAnsi="仿宋" w:cs="仿宋"/>
                <w:b/>
                <w:bCs/>
                <w:color w:val="000000"/>
                <w:kern w:val="0"/>
                <w:sz w:val="18"/>
                <w:szCs w:val="18"/>
                <w:lang w:val="en-US" w:eastAsia="zh-CN"/>
              </w:rPr>
            </w:pPr>
            <w:r>
              <w:rPr>
                <w:rFonts w:hint="eastAsia" w:ascii="仿宋" w:hAnsi="仿宋" w:eastAsia="仿宋" w:cs="仿宋"/>
                <w:b/>
                <w:bCs/>
                <w:i w:val="0"/>
                <w:iCs w:val="0"/>
                <w:color w:val="000000"/>
                <w:kern w:val="0"/>
                <w:sz w:val="18"/>
                <w:szCs w:val="18"/>
                <w:u w:val="none"/>
                <w:lang w:val="en-US" w:eastAsia="zh-CN" w:bidi="ar"/>
              </w:rPr>
              <w:t>758.06</w:t>
            </w:r>
          </w:p>
        </w:tc>
        <w:tc>
          <w:tcPr>
            <w:tcW w:w="7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仿宋"/>
                <w:b w:val="0"/>
                <w:bCs w:val="0"/>
                <w:color w:val="000000"/>
                <w:kern w:val="0"/>
                <w:sz w:val="18"/>
                <w:szCs w:val="18"/>
                <w:lang w:val="en-US" w:eastAsia="zh-CN"/>
              </w:rPr>
            </w:pPr>
            <w:r>
              <w:rPr>
                <w:rFonts w:hint="eastAsia" w:ascii="仿宋" w:hAnsi="仿宋" w:eastAsia="仿宋" w:cs="仿宋"/>
                <w:b/>
                <w:bCs/>
                <w:i w:val="0"/>
                <w:iCs w:val="0"/>
                <w:color w:val="000000"/>
                <w:kern w:val="0"/>
                <w:sz w:val="18"/>
                <w:szCs w:val="18"/>
                <w:u w:val="none"/>
                <w:lang w:val="en-US" w:eastAsia="zh-CN" w:bidi="ar"/>
              </w:rPr>
              <w:t>131.30%</w:t>
            </w:r>
          </w:p>
        </w:tc>
        <w:tc>
          <w:tcPr>
            <w:tcW w:w="75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
              <w:rPr>
                <w:b/>
                <w:bCs/>
              </w:rPr>
            </w:pPr>
          </w:p>
        </w:tc>
      </w:tr>
    </w:tbl>
    <w:p>
      <w:pPr>
        <w:spacing w:line="560" w:lineRule="exact"/>
        <w:ind w:firstLine="643" w:firstLineChars="200"/>
        <w:outlineLvl w:val="2"/>
        <w:rPr>
          <w:rFonts w:ascii="楷体" w:hAnsi="楷体" w:eastAsia="楷体" w:cs="楷体"/>
          <w:b/>
          <w:bCs/>
          <w:szCs w:val="32"/>
        </w:rPr>
      </w:pPr>
      <w:r>
        <w:rPr>
          <w:rFonts w:hint="eastAsia" w:ascii="楷体" w:hAnsi="楷体" w:eastAsia="楷体" w:cs="楷体"/>
          <w:b/>
          <w:bCs/>
          <w:szCs w:val="32"/>
        </w:rPr>
        <w:t>2、“三公”经费总支出情况</w:t>
      </w:r>
    </w:p>
    <w:p>
      <w:pPr>
        <w:spacing w:line="56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lang w:val="en-US" w:eastAsia="zh-CN"/>
        </w:rPr>
        <w:t>统计局</w:t>
      </w:r>
      <w:r>
        <w:rPr>
          <w:rFonts w:hint="eastAsia" w:ascii="Times New Roman" w:hAnsi="Times New Roman" w:eastAsia="仿宋_GB2312" w:cs="Times New Roman"/>
          <w:szCs w:val="32"/>
        </w:rPr>
        <w:t>2022年将“三公”经费严格纳入预算管理，按财务管理制度和审核程序严格审批报销，严控“三公”经费支出规模。2022年“三公”经费预算</w:t>
      </w:r>
      <w:r>
        <w:rPr>
          <w:rFonts w:hint="eastAsia" w:ascii="Times New Roman" w:hAnsi="Times New Roman" w:eastAsia="仿宋_GB2312" w:cs="Times New Roman"/>
          <w:szCs w:val="32"/>
          <w:lang w:val="en-US" w:eastAsia="zh-CN"/>
        </w:rPr>
        <w:t>1.20</w:t>
      </w:r>
      <w:r>
        <w:rPr>
          <w:rFonts w:hint="eastAsia" w:ascii="Times New Roman" w:hAnsi="Times New Roman" w:eastAsia="仿宋_GB2312" w:cs="Times New Roman"/>
          <w:szCs w:val="32"/>
        </w:rPr>
        <w:t>万元，实际支出</w:t>
      </w:r>
      <w:r>
        <w:rPr>
          <w:rFonts w:hint="eastAsia" w:ascii="Times New Roman" w:hAnsi="Times New Roman" w:eastAsia="仿宋_GB2312" w:cs="Times New Roman"/>
          <w:szCs w:val="32"/>
          <w:lang w:val="en-US" w:eastAsia="zh-CN"/>
        </w:rPr>
        <w:t>0.32</w:t>
      </w:r>
      <w:r>
        <w:rPr>
          <w:rFonts w:hint="eastAsia" w:ascii="Times New Roman" w:hAnsi="Times New Roman" w:eastAsia="仿宋_GB2312" w:cs="Times New Roman"/>
          <w:szCs w:val="32"/>
        </w:rPr>
        <w:t>万元，“三公”经费控制率为</w:t>
      </w:r>
      <w:r>
        <w:rPr>
          <w:rFonts w:hint="eastAsia" w:ascii="Times New Roman" w:hAnsi="Times New Roman" w:eastAsia="仿宋_GB2312" w:cs="Times New Roman"/>
          <w:szCs w:val="32"/>
          <w:lang w:val="en-US" w:eastAsia="zh-CN"/>
        </w:rPr>
        <w:t>26.67</w:t>
      </w:r>
      <w:r>
        <w:rPr>
          <w:rFonts w:hint="eastAsia" w:ascii="Times New Roman" w:hAnsi="Times New Roman" w:eastAsia="仿宋_GB2312" w:cs="Times New Roman"/>
          <w:szCs w:val="32"/>
        </w:rPr>
        <w:t>%。具体情况如下：</w:t>
      </w:r>
    </w:p>
    <w:p>
      <w:pPr>
        <w:spacing w:line="360" w:lineRule="exact"/>
        <w:jc w:val="right"/>
        <w:rPr>
          <w:rFonts w:ascii="Times New Roman" w:hAnsi="Times New Roman" w:cs="Times New Roman"/>
          <w:kern w:val="0"/>
          <w:sz w:val="20"/>
          <w:szCs w:val="20"/>
        </w:rPr>
      </w:pPr>
      <w:r>
        <w:rPr>
          <w:rFonts w:hint="eastAsia" w:ascii="Times New Roman" w:hAnsi="Times New Roman" w:cs="Times New Roman"/>
          <w:kern w:val="0"/>
          <w:sz w:val="20"/>
          <w:szCs w:val="20"/>
        </w:rPr>
        <w:t>金额单位：万元</w:t>
      </w:r>
    </w:p>
    <w:tbl>
      <w:tblPr>
        <w:tblStyle w:val="14"/>
        <w:tblW w:w="5074" w:type="pct"/>
        <w:tblInd w:w="-18" w:type="dxa"/>
        <w:tblLayout w:type="fixed"/>
        <w:tblCellMar>
          <w:top w:w="0" w:type="dxa"/>
          <w:left w:w="108" w:type="dxa"/>
          <w:bottom w:w="0" w:type="dxa"/>
          <w:right w:w="108" w:type="dxa"/>
        </w:tblCellMar>
      </w:tblPr>
      <w:tblGrid>
        <w:gridCol w:w="2796"/>
        <w:gridCol w:w="861"/>
        <w:gridCol w:w="1153"/>
        <w:gridCol w:w="917"/>
        <w:gridCol w:w="986"/>
        <w:gridCol w:w="1069"/>
        <w:gridCol w:w="866"/>
      </w:tblGrid>
      <w:tr>
        <w:tblPrEx>
          <w:tblCellMar>
            <w:top w:w="0" w:type="dxa"/>
            <w:left w:w="108" w:type="dxa"/>
            <w:bottom w:w="0" w:type="dxa"/>
            <w:right w:w="108" w:type="dxa"/>
          </w:tblCellMar>
        </w:tblPrEx>
        <w:trPr>
          <w:trHeight w:val="617" w:hRule="atLeast"/>
          <w:tblHeader/>
        </w:trPr>
        <w:tc>
          <w:tcPr>
            <w:tcW w:w="1615" w:type="pct"/>
            <w:tcBorders>
              <w:top w:val="single" w:color="auto" w:sz="8" w:space="0"/>
              <w:left w:val="single" w:color="auto" w:sz="8" w:space="0"/>
              <w:bottom w:val="single" w:color="auto" w:sz="4" w:space="0"/>
              <w:right w:val="single" w:color="auto" w:sz="8" w:space="0"/>
            </w:tcBorders>
            <w:shd w:val="clear" w:color="auto" w:fill="auto"/>
            <w:vAlign w:val="center"/>
          </w:tcPr>
          <w:p>
            <w:pPr>
              <w:widowControl/>
              <w:spacing w:line="240" w:lineRule="exact"/>
              <w:jc w:val="center"/>
              <w:rPr>
                <w:rFonts w:ascii="仿宋_GB2312" w:hAnsi="等线" w:eastAsia="仿宋_GB2312" w:cs="宋体"/>
                <w:b/>
                <w:bCs/>
                <w:color w:val="000000"/>
                <w:kern w:val="0"/>
                <w:sz w:val="21"/>
                <w:szCs w:val="21"/>
              </w:rPr>
            </w:pPr>
            <w:r>
              <w:rPr>
                <w:rFonts w:hint="eastAsia" w:ascii="仿宋_GB2312" w:hAnsi="等线" w:eastAsia="仿宋_GB2312" w:cs="宋体"/>
                <w:b/>
                <w:bCs/>
                <w:color w:val="000000"/>
                <w:kern w:val="0"/>
                <w:sz w:val="21"/>
                <w:szCs w:val="21"/>
              </w:rPr>
              <w:t>指  标</w:t>
            </w:r>
          </w:p>
        </w:tc>
        <w:tc>
          <w:tcPr>
            <w:tcW w:w="497" w:type="pct"/>
            <w:tcBorders>
              <w:top w:val="single" w:color="auto" w:sz="8" w:space="0"/>
              <w:left w:val="nil"/>
              <w:bottom w:val="single" w:color="auto" w:sz="4" w:space="0"/>
              <w:right w:val="single" w:color="auto" w:sz="8" w:space="0"/>
            </w:tcBorders>
            <w:shd w:val="clear" w:color="auto" w:fill="auto"/>
            <w:vAlign w:val="center"/>
          </w:tcPr>
          <w:p>
            <w:pPr>
              <w:widowControl/>
              <w:spacing w:line="280" w:lineRule="exact"/>
              <w:jc w:val="center"/>
              <w:rPr>
                <w:rFonts w:ascii="仿宋_GB2312" w:hAnsi="等线" w:eastAsia="仿宋_GB2312" w:cs="宋体"/>
                <w:b/>
                <w:bCs/>
                <w:color w:val="000000"/>
                <w:kern w:val="0"/>
                <w:sz w:val="21"/>
                <w:szCs w:val="21"/>
              </w:rPr>
            </w:pPr>
            <w:r>
              <w:rPr>
                <w:rFonts w:ascii="Times New Roman" w:hAnsi="Times New Roman" w:eastAsia="仿宋_GB2312" w:cs="Times New Roman"/>
                <w:b/>
                <w:bCs/>
                <w:color w:val="000000"/>
                <w:kern w:val="0"/>
                <w:sz w:val="20"/>
                <w:szCs w:val="20"/>
              </w:rPr>
              <w:t>202</w:t>
            </w:r>
            <w:r>
              <w:rPr>
                <w:rFonts w:hint="eastAsia" w:ascii="Times New Roman" w:hAnsi="Times New Roman" w:eastAsia="仿宋_GB2312" w:cs="Times New Roman"/>
                <w:b/>
                <w:bCs/>
                <w:color w:val="000000"/>
                <w:kern w:val="0"/>
                <w:sz w:val="20"/>
                <w:szCs w:val="20"/>
              </w:rPr>
              <w:t>2</w:t>
            </w:r>
            <w:r>
              <w:rPr>
                <w:rFonts w:ascii="Times New Roman" w:hAnsi="Times New Roman" w:eastAsia="仿宋_GB2312" w:cs="Times New Roman"/>
                <w:b/>
                <w:bCs/>
                <w:color w:val="000000"/>
                <w:kern w:val="0"/>
                <w:sz w:val="20"/>
                <w:szCs w:val="20"/>
              </w:rPr>
              <w:t>年年初预算</w:t>
            </w:r>
          </w:p>
        </w:tc>
        <w:tc>
          <w:tcPr>
            <w:tcW w:w="666" w:type="pct"/>
            <w:tcBorders>
              <w:top w:val="single" w:color="auto" w:sz="8" w:space="0"/>
              <w:left w:val="nil"/>
              <w:bottom w:val="single" w:color="auto" w:sz="4" w:space="0"/>
              <w:right w:val="single" w:color="auto" w:sz="8" w:space="0"/>
            </w:tcBorders>
            <w:shd w:val="clear" w:color="auto" w:fill="auto"/>
            <w:vAlign w:val="center"/>
          </w:tcPr>
          <w:p>
            <w:pPr>
              <w:widowControl/>
              <w:spacing w:line="280" w:lineRule="exact"/>
              <w:jc w:val="center"/>
              <w:rPr>
                <w:rFonts w:ascii="仿宋_GB2312" w:hAnsi="等线" w:eastAsia="仿宋_GB2312" w:cs="宋体"/>
                <w:b/>
                <w:bCs/>
                <w:color w:val="000000"/>
                <w:kern w:val="0"/>
                <w:sz w:val="21"/>
                <w:szCs w:val="21"/>
              </w:rPr>
            </w:pPr>
            <w:r>
              <w:rPr>
                <w:rFonts w:ascii="Times New Roman" w:hAnsi="Times New Roman" w:eastAsia="仿宋_GB2312" w:cs="Times New Roman"/>
                <w:b/>
                <w:bCs/>
                <w:color w:val="000000"/>
                <w:kern w:val="0"/>
                <w:sz w:val="20"/>
                <w:szCs w:val="20"/>
              </w:rPr>
              <w:t>202</w:t>
            </w:r>
            <w:r>
              <w:rPr>
                <w:rFonts w:hint="eastAsia" w:ascii="Times New Roman" w:hAnsi="Times New Roman" w:eastAsia="仿宋_GB2312" w:cs="Times New Roman"/>
                <w:b/>
                <w:bCs/>
                <w:color w:val="000000"/>
                <w:kern w:val="0"/>
                <w:sz w:val="20"/>
                <w:szCs w:val="20"/>
              </w:rPr>
              <w:t>2</w:t>
            </w:r>
            <w:r>
              <w:rPr>
                <w:rFonts w:ascii="Times New Roman" w:hAnsi="Times New Roman" w:eastAsia="仿宋_GB2312" w:cs="Times New Roman"/>
                <w:b/>
                <w:bCs/>
                <w:color w:val="000000"/>
                <w:kern w:val="0"/>
                <w:sz w:val="20"/>
                <w:szCs w:val="20"/>
              </w:rPr>
              <w:t>年</w:t>
            </w:r>
            <w:r>
              <w:rPr>
                <w:rFonts w:hint="eastAsia" w:ascii="Times New Roman" w:hAnsi="Times New Roman" w:eastAsia="仿宋_GB2312" w:cs="Times New Roman"/>
                <w:b/>
                <w:bCs/>
                <w:color w:val="000000"/>
                <w:kern w:val="0"/>
                <w:sz w:val="20"/>
                <w:szCs w:val="20"/>
              </w:rPr>
              <w:t>支出情况</w:t>
            </w:r>
          </w:p>
        </w:tc>
        <w:tc>
          <w:tcPr>
            <w:tcW w:w="530" w:type="pct"/>
            <w:tcBorders>
              <w:top w:val="single" w:color="auto" w:sz="8" w:space="0"/>
              <w:left w:val="nil"/>
              <w:bottom w:val="single" w:color="auto" w:sz="4" w:space="0"/>
              <w:right w:val="single" w:color="auto" w:sz="8" w:space="0"/>
            </w:tcBorders>
            <w:shd w:val="clear" w:color="auto" w:fill="auto"/>
            <w:vAlign w:val="center"/>
          </w:tcPr>
          <w:p>
            <w:pPr>
              <w:widowControl/>
              <w:spacing w:line="240" w:lineRule="exact"/>
              <w:jc w:val="center"/>
              <w:rPr>
                <w:rFonts w:ascii="仿宋_GB2312" w:hAnsi="等线" w:eastAsia="仿宋_GB2312" w:cs="宋体"/>
                <w:b/>
                <w:bCs/>
                <w:color w:val="000000"/>
                <w:kern w:val="0"/>
                <w:sz w:val="21"/>
                <w:szCs w:val="21"/>
              </w:rPr>
            </w:pPr>
            <w:r>
              <w:rPr>
                <w:rFonts w:ascii="Times New Roman" w:hAnsi="Times New Roman" w:eastAsia="仿宋_GB2312" w:cs="Times New Roman"/>
                <w:b/>
                <w:bCs/>
                <w:color w:val="000000"/>
                <w:kern w:val="0"/>
                <w:sz w:val="20"/>
                <w:szCs w:val="20"/>
              </w:rPr>
              <w:t>20</w:t>
            </w:r>
            <w:r>
              <w:rPr>
                <w:rFonts w:hint="eastAsia" w:ascii="Times New Roman" w:hAnsi="Times New Roman" w:eastAsia="仿宋_GB2312" w:cs="Times New Roman"/>
                <w:b/>
                <w:bCs/>
                <w:color w:val="000000"/>
                <w:kern w:val="0"/>
                <w:sz w:val="20"/>
                <w:szCs w:val="20"/>
              </w:rPr>
              <w:t>21年支出情况</w:t>
            </w:r>
          </w:p>
        </w:tc>
        <w:tc>
          <w:tcPr>
            <w:tcW w:w="570" w:type="pct"/>
            <w:tcBorders>
              <w:top w:val="single" w:color="auto" w:sz="8" w:space="0"/>
              <w:left w:val="nil"/>
              <w:bottom w:val="single" w:color="auto" w:sz="4" w:space="0"/>
              <w:right w:val="single" w:color="auto" w:sz="8" w:space="0"/>
            </w:tcBorders>
            <w:shd w:val="clear" w:color="auto" w:fill="auto"/>
            <w:vAlign w:val="center"/>
          </w:tcPr>
          <w:p>
            <w:pPr>
              <w:widowControl/>
              <w:spacing w:line="280" w:lineRule="exact"/>
              <w:jc w:val="center"/>
              <w:rPr>
                <w:rFonts w:ascii="仿宋_GB2312" w:hAnsi="等线" w:eastAsia="仿宋_GB2312" w:cs="宋体"/>
                <w:b/>
                <w:bCs/>
                <w:color w:val="000000"/>
                <w:kern w:val="0"/>
                <w:sz w:val="21"/>
                <w:szCs w:val="21"/>
              </w:rPr>
            </w:pPr>
            <w:r>
              <w:rPr>
                <w:rFonts w:hint="eastAsia" w:ascii="Times New Roman" w:hAnsi="Times New Roman" w:eastAsia="仿宋_GB2312" w:cs="Times New Roman"/>
                <w:b/>
                <w:bCs/>
                <w:color w:val="000000"/>
                <w:kern w:val="0"/>
                <w:sz w:val="20"/>
                <w:szCs w:val="20"/>
              </w:rPr>
              <w:t>较2021年同期增加金额</w:t>
            </w:r>
          </w:p>
        </w:tc>
        <w:tc>
          <w:tcPr>
            <w:tcW w:w="618" w:type="pct"/>
            <w:tcBorders>
              <w:top w:val="single" w:color="auto" w:sz="8" w:space="0"/>
              <w:left w:val="nil"/>
              <w:bottom w:val="single" w:color="auto" w:sz="4" w:space="0"/>
              <w:right w:val="single" w:color="auto" w:sz="8" w:space="0"/>
            </w:tcBorders>
            <w:shd w:val="clear" w:color="auto" w:fill="auto"/>
            <w:vAlign w:val="center"/>
          </w:tcPr>
          <w:p>
            <w:pPr>
              <w:widowControl/>
              <w:spacing w:line="280" w:lineRule="exact"/>
              <w:jc w:val="center"/>
              <w:rPr>
                <w:rFonts w:ascii="仿宋_GB2312" w:hAnsi="等线" w:eastAsia="仿宋_GB2312" w:cs="宋体"/>
                <w:b/>
                <w:bCs/>
                <w:color w:val="000000"/>
                <w:kern w:val="0"/>
                <w:sz w:val="21"/>
                <w:szCs w:val="21"/>
              </w:rPr>
            </w:pPr>
            <w:r>
              <w:rPr>
                <w:rFonts w:hint="eastAsia" w:ascii="Times New Roman" w:hAnsi="Times New Roman" w:eastAsia="仿宋_GB2312" w:cs="Times New Roman"/>
                <w:b/>
                <w:bCs/>
                <w:color w:val="000000"/>
                <w:kern w:val="0"/>
                <w:sz w:val="20"/>
                <w:szCs w:val="20"/>
              </w:rPr>
              <w:t>较2021年同期增加比例</w:t>
            </w:r>
          </w:p>
        </w:tc>
        <w:tc>
          <w:tcPr>
            <w:tcW w:w="501" w:type="pct"/>
            <w:tcBorders>
              <w:top w:val="single" w:color="auto" w:sz="8" w:space="0"/>
              <w:left w:val="nil"/>
              <w:bottom w:val="single" w:color="auto" w:sz="4" w:space="0"/>
              <w:right w:val="single" w:color="auto" w:sz="8" w:space="0"/>
            </w:tcBorders>
            <w:shd w:val="clear" w:color="auto" w:fill="auto"/>
            <w:vAlign w:val="center"/>
          </w:tcPr>
          <w:p>
            <w:pPr>
              <w:widowControl/>
              <w:spacing w:line="240" w:lineRule="exact"/>
              <w:jc w:val="center"/>
              <w:rPr>
                <w:rFonts w:ascii="仿宋_GB2312" w:hAnsi="等线" w:eastAsia="仿宋_GB2312" w:cs="宋体"/>
                <w:b/>
                <w:bCs/>
                <w:color w:val="000000"/>
                <w:kern w:val="0"/>
                <w:sz w:val="21"/>
                <w:szCs w:val="21"/>
              </w:rPr>
            </w:pPr>
            <w:r>
              <w:rPr>
                <w:rFonts w:hint="eastAsia" w:ascii="仿宋_GB2312" w:hAnsi="等线" w:eastAsia="仿宋_GB2312" w:cs="宋体"/>
                <w:b/>
                <w:bCs/>
                <w:color w:val="000000"/>
                <w:kern w:val="0"/>
                <w:sz w:val="21"/>
                <w:szCs w:val="21"/>
              </w:rPr>
              <w:t>备注</w:t>
            </w:r>
          </w:p>
        </w:tc>
      </w:tr>
      <w:tr>
        <w:tblPrEx>
          <w:tblCellMar>
            <w:top w:w="0" w:type="dxa"/>
            <w:left w:w="108" w:type="dxa"/>
            <w:bottom w:w="0" w:type="dxa"/>
            <w:right w:w="108" w:type="dxa"/>
          </w:tblCellMar>
        </w:tblPrEx>
        <w:trPr>
          <w:trHeight w:val="437" w:hRule="exact"/>
        </w:trPr>
        <w:tc>
          <w:tcPr>
            <w:tcW w:w="16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cs="宋体"/>
                <w:b/>
                <w:bCs/>
                <w:color w:val="000000"/>
                <w:kern w:val="0"/>
                <w:sz w:val="18"/>
                <w:szCs w:val="18"/>
              </w:rPr>
            </w:pPr>
            <w:r>
              <w:rPr>
                <w:rFonts w:hint="eastAsia" w:ascii="仿宋" w:hAnsi="仿宋" w:cs="宋体"/>
                <w:b/>
                <w:bCs/>
                <w:color w:val="000000"/>
                <w:kern w:val="0"/>
                <w:sz w:val="18"/>
                <w:szCs w:val="18"/>
              </w:rPr>
              <w:t>　“三公”经费支出</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rPr>
                <w:rFonts w:hint="default" w:ascii="仿宋" w:hAnsi="仿宋" w:eastAsia="仿宋" w:cs="宋体"/>
                <w:b/>
                <w:bCs/>
                <w:color w:val="000000"/>
                <w:kern w:val="0"/>
                <w:sz w:val="18"/>
                <w:szCs w:val="18"/>
                <w:lang w:val="en-US" w:eastAsia="zh-CN"/>
              </w:rPr>
            </w:pPr>
            <w:r>
              <w:rPr>
                <w:rFonts w:hint="eastAsia" w:ascii="仿宋" w:hAnsi="仿宋" w:cs="宋体"/>
                <w:b/>
                <w:bCs/>
                <w:color w:val="000000"/>
                <w:kern w:val="0"/>
                <w:sz w:val="18"/>
                <w:szCs w:val="18"/>
                <w:lang w:val="en-US" w:eastAsia="zh-CN"/>
              </w:rPr>
              <w:t>1.20</w:t>
            </w:r>
          </w:p>
        </w:tc>
        <w:tc>
          <w:tcPr>
            <w:tcW w:w="6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rPr>
                <w:rFonts w:hint="eastAsia" w:ascii="仿宋_GB2312" w:hAnsi="等线" w:eastAsia="仿宋_GB2312" w:cs="宋体"/>
                <w:b/>
                <w:bCs/>
                <w:color w:val="000000"/>
                <w:kern w:val="0"/>
                <w:sz w:val="18"/>
                <w:szCs w:val="18"/>
                <w:lang w:eastAsia="zh-CN"/>
              </w:rPr>
            </w:pPr>
            <w:r>
              <w:rPr>
                <w:rFonts w:hint="eastAsia" w:ascii="仿宋_GB2312" w:hAnsi="等线" w:eastAsia="仿宋_GB2312" w:cs="宋体"/>
                <w:b/>
                <w:bCs/>
                <w:color w:val="000000"/>
                <w:kern w:val="0"/>
                <w:sz w:val="18"/>
                <w:szCs w:val="18"/>
                <w:lang w:eastAsia="zh-CN"/>
              </w:rPr>
              <w:t>0.32</w:t>
            </w:r>
          </w:p>
        </w:tc>
        <w:tc>
          <w:tcPr>
            <w:tcW w:w="53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hint="eastAsia" w:ascii="仿宋" w:hAnsi="仿宋" w:eastAsia="仿宋" w:cs="仿宋"/>
                <w:b/>
                <w:bCs/>
                <w:color w:val="000000"/>
                <w:kern w:val="0"/>
                <w:sz w:val="18"/>
                <w:szCs w:val="18"/>
                <w:lang w:eastAsia="zh-CN"/>
              </w:rPr>
            </w:pPr>
            <w:r>
              <w:rPr>
                <w:rFonts w:hint="eastAsia" w:ascii="仿宋" w:hAnsi="仿宋" w:cs="仿宋"/>
                <w:b/>
                <w:bCs/>
                <w:color w:val="000000"/>
                <w:kern w:val="0"/>
                <w:sz w:val="18"/>
                <w:szCs w:val="18"/>
                <w:lang w:eastAsia="zh-CN"/>
              </w:rPr>
              <w:t>0.81</w:t>
            </w:r>
          </w:p>
        </w:tc>
        <w:tc>
          <w:tcPr>
            <w:tcW w:w="57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hint="default" w:ascii="仿宋" w:hAnsi="仿宋" w:eastAsia="仿宋" w:cs="仿宋"/>
                <w:b/>
                <w:bCs/>
                <w:color w:val="000000"/>
                <w:kern w:val="0"/>
                <w:sz w:val="18"/>
                <w:szCs w:val="18"/>
                <w:lang w:val="en-US" w:eastAsia="zh-CN"/>
              </w:rPr>
            </w:pPr>
            <w:r>
              <w:rPr>
                <w:rFonts w:hint="eastAsia" w:ascii="仿宋" w:hAnsi="仿宋" w:cs="仿宋"/>
                <w:b/>
                <w:bCs/>
                <w:color w:val="000000"/>
                <w:kern w:val="0"/>
                <w:sz w:val="18"/>
                <w:szCs w:val="18"/>
              </w:rPr>
              <w:t>-</w:t>
            </w:r>
            <w:r>
              <w:rPr>
                <w:rFonts w:hint="eastAsia" w:ascii="仿宋" w:hAnsi="仿宋" w:cs="仿宋"/>
                <w:b/>
                <w:bCs/>
                <w:color w:val="000000"/>
                <w:kern w:val="0"/>
                <w:sz w:val="18"/>
                <w:szCs w:val="18"/>
                <w:lang w:val="en-US" w:eastAsia="zh-CN"/>
              </w:rPr>
              <w:t>0.49</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b/>
                <w:bCs/>
                <w:color w:val="000000"/>
                <w:kern w:val="0"/>
                <w:sz w:val="18"/>
                <w:szCs w:val="18"/>
              </w:rPr>
            </w:pPr>
            <w:r>
              <w:rPr>
                <w:rFonts w:hint="eastAsia" w:ascii="仿宋" w:hAnsi="仿宋" w:cs="仿宋"/>
                <w:b/>
                <w:bCs/>
                <w:color w:val="000000"/>
                <w:kern w:val="0"/>
                <w:sz w:val="18"/>
                <w:szCs w:val="18"/>
              </w:rPr>
              <w:t>-</w:t>
            </w:r>
            <w:r>
              <w:rPr>
                <w:rFonts w:hint="eastAsia" w:ascii="仿宋" w:hAnsi="仿宋" w:cs="仿宋"/>
                <w:b/>
                <w:bCs/>
                <w:color w:val="000000"/>
                <w:kern w:val="0"/>
                <w:sz w:val="18"/>
                <w:szCs w:val="18"/>
                <w:lang w:val="en-US" w:eastAsia="zh-CN"/>
              </w:rPr>
              <w:t>60.49</w:t>
            </w:r>
            <w:r>
              <w:rPr>
                <w:rFonts w:ascii="仿宋" w:hAnsi="仿宋" w:cs="仿宋"/>
                <w:b/>
                <w:bCs/>
                <w:color w:val="000000"/>
                <w:kern w:val="0"/>
                <w:sz w:val="18"/>
                <w:szCs w:val="18"/>
              </w:rPr>
              <w:t>%</w:t>
            </w:r>
          </w:p>
        </w:tc>
        <w:tc>
          <w:tcPr>
            <w:tcW w:w="5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宋体"/>
                <w:color w:val="000000"/>
                <w:kern w:val="0"/>
                <w:sz w:val="18"/>
                <w:szCs w:val="18"/>
              </w:rPr>
            </w:pPr>
          </w:p>
        </w:tc>
      </w:tr>
      <w:tr>
        <w:tblPrEx>
          <w:tblCellMar>
            <w:top w:w="0" w:type="dxa"/>
            <w:left w:w="108" w:type="dxa"/>
            <w:bottom w:w="0" w:type="dxa"/>
            <w:right w:w="108" w:type="dxa"/>
          </w:tblCellMar>
        </w:tblPrEx>
        <w:trPr>
          <w:trHeight w:val="437" w:hRule="exact"/>
        </w:trPr>
        <w:tc>
          <w:tcPr>
            <w:tcW w:w="16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 w:hAnsi="仿宋" w:cs="宋体"/>
                <w:color w:val="000000"/>
                <w:kern w:val="0"/>
                <w:sz w:val="18"/>
                <w:szCs w:val="18"/>
              </w:rPr>
            </w:pPr>
            <w:r>
              <w:rPr>
                <w:rFonts w:hint="eastAsia" w:ascii="仿宋" w:hAnsi="仿宋" w:cs="宋体"/>
                <w:color w:val="000000"/>
                <w:kern w:val="0"/>
                <w:sz w:val="18"/>
                <w:szCs w:val="18"/>
              </w:rPr>
              <w:t>其中：因公出国（境）费</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rPr>
                <w:rFonts w:ascii="仿宋" w:hAnsi="仿宋" w:cs="宋体"/>
                <w:color w:val="000000"/>
                <w:kern w:val="0"/>
                <w:sz w:val="18"/>
                <w:szCs w:val="18"/>
              </w:rPr>
            </w:pPr>
            <w:r>
              <w:rPr>
                <w:rFonts w:hint="eastAsia" w:ascii="仿宋" w:hAnsi="仿宋" w:cs="宋体"/>
                <w:color w:val="000000"/>
                <w:kern w:val="0"/>
                <w:sz w:val="18"/>
                <w:szCs w:val="18"/>
              </w:rPr>
              <w:t>-</w:t>
            </w:r>
          </w:p>
        </w:tc>
        <w:tc>
          <w:tcPr>
            <w:tcW w:w="6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rPr>
                <w:rFonts w:hint="eastAsia" w:ascii="仿宋" w:hAnsi="仿宋" w:eastAsia="仿宋" w:cs="宋体"/>
                <w:color w:val="000000"/>
                <w:kern w:val="0"/>
                <w:sz w:val="18"/>
                <w:szCs w:val="18"/>
                <w:lang w:eastAsia="zh-CN"/>
              </w:rPr>
            </w:pPr>
            <w:r>
              <w:rPr>
                <w:rFonts w:hint="eastAsia" w:ascii="仿宋" w:hAnsi="仿宋" w:cs="宋体"/>
                <w:color w:val="000000"/>
                <w:kern w:val="0"/>
                <w:sz w:val="18"/>
                <w:szCs w:val="18"/>
                <w:lang w:val="en-US" w:eastAsia="zh-CN"/>
              </w:rPr>
              <w:t>-</w:t>
            </w:r>
          </w:p>
        </w:tc>
        <w:tc>
          <w:tcPr>
            <w:tcW w:w="53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r>
              <w:rPr>
                <w:rFonts w:hint="eastAsia" w:ascii="仿宋" w:hAnsi="仿宋" w:cs="宋体"/>
                <w:color w:val="000000"/>
                <w:kern w:val="0"/>
                <w:sz w:val="18"/>
                <w:szCs w:val="18"/>
                <w:lang w:val="en-US" w:eastAsia="zh-CN"/>
              </w:rPr>
              <w:t>-</w:t>
            </w:r>
          </w:p>
        </w:tc>
        <w:tc>
          <w:tcPr>
            <w:tcW w:w="57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r>
              <w:rPr>
                <w:rFonts w:hint="eastAsia" w:ascii="仿宋" w:hAnsi="仿宋" w:cs="宋体"/>
                <w:color w:val="000000"/>
                <w:kern w:val="0"/>
                <w:sz w:val="18"/>
                <w:szCs w:val="18"/>
                <w:lang w:val="en-US" w:eastAsia="zh-CN"/>
              </w:rPr>
              <w:t>-</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r>
              <w:rPr>
                <w:rFonts w:hint="eastAsia" w:ascii="仿宋" w:hAnsi="仿宋" w:cs="宋体"/>
                <w:color w:val="000000"/>
                <w:kern w:val="0"/>
                <w:sz w:val="18"/>
                <w:szCs w:val="18"/>
                <w:lang w:val="en-US" w:eastAsia="zh-CN"/>
              </w:rPr>
              <w:t>-</w:t>
            </w:r>
          </w:p>
        </w:tc>
        <w:tc>
          <w:tcPr>
            <w:tcW w:w="5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宋体"/>
                <w:color w:val="000000"/>
                <w:kern w:val="0"/>
                <w:sz w:val="18"/>
                <w:szCs w:val="18"/>
              </w:rPr>
            </w:pPr>
          </w:p>
        </w:tc>
      </w:tr>
      <w:tr>
        <w:tblPrEx>
          <w:tblCellMar>
            <w:top w:w="0" w:type="dxa"/>
            <w:left w:w="108" w:type="dxa"/>
            <w:bottom w:w="0" w:type="dxa"/>
            <w:right w:w="108" w:type="dxa"/>
          </w:tblCellMar>
        </w:tblPrEx>
        <w:trPr>
          <w:trHeight w:val="437" w:hRule="exact"/>
        </w:trPr>
        <w:tc>
          <w:tcPr>
            <w:tcW w:w="16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 w:hAnsi="仿宋" w:cs="宋体"/>
                <w:color w:val="000000"/>
                <w:kern w:val="0"/>
                <w:sz w:val="18"/>
                <w:szCs w:val="18"/>
              </w:rPr>
            </w:pPr>
            <w:r>
              <w:rPr>
                <w:rFonts w:hint="eastAsia" w:ascii="仿宋" w:hAnsi="仿宋" w:cs="宋体"/>
                <w:color w:val="000000"/>
                <w:kern w:val="0"/>
                <w:sz w:val="18"/>
                <w:szCs w:val="18"/>
              </w:rPr>
              <w:t xml:space="preserve">    公务用车购置及运行维护费</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rPr>
                <w:rFonts w:ascii="仿宋" w:hAnsi="仿宋" w:cs="宋体"/>
                <w:color w:val="000000"/>
                <w:kern w:val="0"/>
                <w:sz w:val="18"/>
                <w:szCs w:val="18"/>
              </w:rPr>
            </w:pPr>
            <w:r>
              <w:rPr>
                <w:rFonts w:hint="eastAsia" w:ascii="仿宋" w:hAnsi="仿宋" w:cs="宋体"/>
                <w:color w:val="000000"/>
                <w:kern w:val="0"/>
                <w:sz w:val="18"/>
                <w:szCs w:val="18"/>
              </w:rPr>
              <w:t>-</w:t>
            </w:r>
          </w:p>
        </w:tc>
        <w:tc>
          <w:tcPr>
            <w:tcW w:w="6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rPr>
                <w:rFonts w:ascii="仿宋" w:hAnsi="仿宋" w:cs="宋体"/>
                <w:color w:val="000000"/>
                <w:kern w:val="0"/>
                <w:sz w:val="18"/>
                <w:szCs w:val="18"/>
              </w:rPr>
            </w:pPr>
            <w:r>
              <w:rPr>
                <w:rFonts w:hint="eastAsia" w:ascii="仿宋" w:hAnsi="仿宋" w:cs="宋体"/>
                <w:color w:val="000000"/>
                <w:kern w:val="0"/>
                <w:sz w:val="18"/>
                <w:szCs w:val="18"/>
              </w:rPr>
              <w:t>-</w:t>
            </w:r>
          </w:p>
        </w:tc>
        <w:tc>
          <w:tcPr>
            <w:tcW w:w="53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r>
              <w:rPr>
                <w:rFonts w:hint="eastAsia" w:ascii="仿宋" w:hAnsi="仿宋" w:cs="宋体"/>
                <w:color w:val="000000"/>
                <w:kern w:val="0"/>
                <w:sz w:val="18"/>
                <w:szCs w:val="18"/>
              </w:rPr>
              <w:t>-</w:t>
            </w:r>
          </w:p>
        </w:tc>
        <w:tc>
          <w:tcPr>
            <w:tcW w:w="57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r>
              <w:rPr>
                <w:rFonts w:hint="eastAsia" w:ascii="仿宋" w:hAnsi="仿宋" w:cs="宋体"/>
                <w:color w:val="000000"/>
                <w:kern w:val="0"/>
                <w:sz w:val="18"/>
                <w:szCs w:val="18"/>
              </w:rPr>
              <w:t>-</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r>
              <w:rPr>
                <w:rFonts w:hint="eastAsia" w:ascii="仿宋" w:hAnsi="仿宋" w:cs="宋体"/>
                <w:color w:val="000000"/>
                <w:kern w:val="0"/>
                <w:sz w:val="18"/>
                <w:szCs w:val="18"/>
              </w:rPr>
              <w:t>-</w:t>
            </w:r>
          </w:p>
        </w:tc>
        <w:tc>
          <w:tcPr>
            <w:tcW w:w="5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宋体"/>
                <w:color w:val="000000"/>
                <w:kern w:val="0"/>
                <w:sz w:val="18"/>
                <w:szCs w:val="18"/>
              </w:rPr>
            </w:pPr>
          </w:p>
        </w:tc>
      </w:tr>
      <w:tr>
        <w:tblPrEx>
          <w:tblCellMar>
            <w:top w:w="0" w:type="dxa"/>
            <w:left w:w="108" w:type="dxa"/>
            <w:bottom w:w="0" w:type="dxa"/>
            <w:right w:w="108" w:type="dxa"/>
          </w:tblCellMar>
        </w:tblPrEx>
        <w:trPr>
          <w:trHeight w:val="437" w:hRule="exact"/>
        </w:trPr>
        <w:tc>
          <w:tcPr>
            <w:tcW w:w="16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 w:hAnsi="仿宋" w:cs="宋体"/>
                <w:color w:val="000000"/>
                <w:kern w:val="0"/>
                <w:sz w:val="18"/>
                <w:szCs w:val="18"/>
              </w:rPr>
            </w:pPr>
            <w:r>
              <w:rPr>
                <w:rFonts w:hint="eastAsia" w:ascii="仿宋" w:hAnsi="仿宋" w:cs="宋体"/>
                <w:color w:val="000000"/>
                <w:kern w:val="0"/>
                <w:sz w:val="18"/>
                <w:szCs w:val="18"/>
              </w:rPr>
              <w:t xml:space="preserve">  其中：公务用车购置费</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rPr>
                <w:rFonts w:ascii="仿宋" w:hAnsi="仿宋" w:cs="宋体"/>
                <w:color w:val="000000"/>
                <w:kern w:val="0"/>
                <w:sz w:val="18"/>
                <w:szCs w:val="18"/>
              </w:rPr>
            </w:pPr>
            <w:r>
              <w:rPr>
                <w:rFonts w:hint="eastAsia" w:ascii="仿宋" w:hAnsi="仿宋" w:cs="宋体"/>
                <w:color w:val="000000"/>
                <w:kern w:val="0"/>
                <w:sz w:val="18"/>
                <w:szCs w:val="18"/>
              </w:rPr>
              <w:t>-</w:t>
            </w:r>
          </w:p>
        </w:tc>
        <w:tc>
          <w:tcPr>
            <w:tcW w:w="6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rPr>
                <w:rFonts w:ascii="仿宋" w:hAnsi="仿宋" w:cs="宋体"/>
                <w:color w:val="000000"/>
                <w:kern w:val="0"/>
                <w:sz w:val="18"/>
                <w:szCs w:val="18"/>
              </w:rPr>
            </w:pPr>
            <w:r>
              <w:rPr>
                <w:rFonts w:hint="eastAsia" w:ascii="仿宋" w:hAnsi="仿宋" w:cs="宋体"/>
                <w:color w:val="000000"/>
                <w:kern w:val="0"/>
                <w:sz w:val="18"/>
                <w:szCs w:val="18"/>
              </w:rPr>
              <w:t>-</w:t>
            </w:r>
          </w:p>
        </w:tc>
        <w:tc>
          <w:tcPr>
            <w:tcW w:w="53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r>
              <w:rPr>
                <w:rFonts w:hint="eastAsia" w:ascii="仿宋" w:hAnsi="仿宋" w:cs="宋体"/>
                <w:color w:val="000000"/>
                <w:kern w:val="0"/>
                <w:sz w:val="18"/>
                <w:szCs w:val="18"/>
              </w:rPr>
              <w:t>-</w:t>
            </w:r>
          </w:p>
        </w:tc>
        <w:tc>
          <w:tcPr>
            <w:tcW w:w="57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r>
              <w:rPr>
                <w:rFonts w:hint="eastAsia" w:ascii="仿宋" w:hAnsi="仿宋" w:cs="宋体"/>
                <w:color w:val="000000"/>
                <w:kern w:val="0"/>
                <w:sz w:val="18"/>
                <w:szCs w:val="18"/>
              </w:rPr>
              <w:t>-</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r>
              <w:rPr>
                <w:rFonts w:hint="eastAsia" w:ascii="仿宋" w:hAnsi="仿宋" w:cs="宋体"/>
                <w:color w:val="000000"/>
                <w:kern w:val="0"/>
                <w:sz w:val="18"/>
                <w:szCs w:val="18"/>
              </w:rPr>
              <w:t>-</w:t>
            </w:r>
          </w:p>
        </w:tc>
        <w:tc>
          <w:tcPr>
            <w:tcW w:w="5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宋体"/>
                <w:color w:val="000000"/>
                <w:kern w:val="0"/>
                <w:sz w:val="18"/>
                <w:szCs w:val="18"/>
              </w:rPr>
            </w:pPr>
          </w:p>
        </w:tc>
      </w:tr>
      <w:tr>
        <w:tblPrEx>
          <w:tblCellMar>
            <w:top w:w="0" w:type="dxa"/>
            <w:left w:w="108" w:type="dxa"/>
            <w:bottom w:w="0" w:type="dxa"/>
            <w:right w:w="108" w:type="dxa"/>
          </w:tblCellMar>
        </w:tblPrEx>
        <w:trPr>
          <w:trHeight w:val="437" w:hRule="exact"/>
        </w:trPr>
        <w:tc>
          <w:tcPr>
            <w:tcW w:w="16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 w:hAnsi="仿宋" w:cs="宋体"/>
                <w:color w:val="000000"/>
                <w:kern w:val="0"/>
                <w:sz w:val="18"/>
                <w:szCs w:val="18"/>
              </w:rPr>
            </w:pPr>
            <w:r>
              <w:rPr>
                <w:rFonts w:hint="eastAsia" w:ascii="仿宋" w:hAnsi="仿宋" w:cs="宋体"/>
                <w:color w:val="000000"/>
                <w:kern w:val="0"/>
                <w:sz w:val="18"/>
                <w:szCs w:val="18"/>
              </w:rPr>
              <w:t xml:space="preserve">          公务用车运行维护费</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rPr>
                <w:rFonts w:ascii="仿宋" w:hAnsi="仿宋" w:cs="宋体"/>
                <w:color w:val="000000"/>
                <w:kern w:val="0"/>
                <w:sz w:val="18"/>
                <w:szCs w:val="18"/>
              </w:rPr>
            </w:pPr>
            <w:r>
              <w:rPr>
                <w:rFonts w:hint="eastAsia" w:ascii="仿宋" w:hAnsi="仿宋" w:cs="宋体"/>
                <w:color w:val="000000"/>
                <w:kern w:val="0"/>
                <w:sz w:val="18"/>
                <w:szCs w:val="18"/>
              </w:rPr>
              <w:t>-</w:t>
            </w:r>
          </w:p>
        </w:tc>
        <w:tc>
          <w:tcPr>
            <w:tcW w:w="6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rPr>
                <w:rFonts w:hint="default" w:ascii="仿宋" w:hAnsi="仿宋" w:cs="宋体"/>
                <w:color w:val="000000"/>
                <w:kern w:val="0"/>
                <w:sz w:val="18"/>
                <w:szCs w:val="18"/>
                <w:lang w:val="en-US"/>
              </w:rPr>
            </w:pPr>
            <w:r>
              <w:rPr>
                <w:rFonts w:hint="eastAsia" w:ascii="仿宋" w:hAnsi="仿宋" w:cs="宋体"/>
                <w:color w:val="000000"/>
                <w:kern w:val="0"/>
                <w:sz w:val="18"/>
                <w:szCs w:val="18"/>
              </w:rPr>
              <w:t>-</w:t>
            </w:r>
          </w:p>
        </w:tc>
        <w:tc>
          <w:tcPr>
            <w:tcW w:w="53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r>
              <w:rPr>
                <w:rFonts w:hint="eastAsia" w:ascii="仿宋" w:hAnsi="仿宋" w:cs="宋体"/>
                <w:color w:val="000000"/>
                <w:kern w:val="0"/>
                <w:sz w:val="18"/>
                <w:szCs w:val="18"/>
              </w:rPr>
              <w:t>-</w:t>
            </w:r>
          </w:p>
        </w:tc>
        <w:tc>
          <w:tcPr>
            <w:tcW w:w="57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color w:val="000000"/>
                <w:kern w:val="0"/>
                <w:sz w:val="18"/>
                <w:szCs w:val="18"/>
              </w:rPr>
            </w:pPr>
            <w:r>
              <w:rPr>
                <w:rFonts w:hint="eastAsia" w:ascii="仿宋" w:hAnsi="仿宋" w:cs="宋体"/>
                <w:color w:val="000000"/>
                <w:kern w:val="0"/>
                <w:sz w:val="18"/>
                <w:szCs w:val="18"/>
              </w:rPr>
              <w:t>-</w:t>
            </w:r>
          </w:p>
        </w:tc>
        <w:tc>
          <w:tcPr>
            <w:tcW w:w="6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hint="default" w:ascii="仿宋" w:hAnsi="仿宋" w:eastAsia="仿宋" w:cs="仿宋"/>
                <w:color w:val="000000"/>
                <w:kern w:val="0"/>
                <w:sz w:val="18"/>
                <w:szCs w:val="18"/>
                <w:lang w:val="en-US" w:eastAsia="zh-CN"/>
              </w:rPr>
            </w:pPr>
            <w:r>
              <w:rPr>
                <w:rFonts w:hint="eastAsia" w:ascii="仿宋" w:hAnsi="仿宋" w:cs="宋体"/>
                <w:color w:val="000000"/>
                <w:kern w:val="0"/>
                <w:sz w:val="18"/>
                <w:szCs w:val="18"/>
              </w:rPr>
              <w:t>-</w:t>
            </w:r>
          </w:p>
        </w:tc>
        <w:tc>
          <w:tcPr>
            <w:tcW w:w="5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ascii="仿宋" w:hAnsi="仿宋" w:cs="宋体"/>
                <w:color w:val="000000"/>
                <w:kern w:val="0"/>
                <w:sz w:val="18"/>
                <w:szCs w:val="18"/>
              </w:rPr>
            </w:pPr>
          </w:p>
        </w:tc>
      </w:tr>
      <w:tr>
        <w:tblPrEx>
          <w:tblCellMar>
            <w:top w:w="0" w:type="dxa"/>
            <w:left w:w="108" w:type="dxa"/>
            <w:bottom w:w="0" w:type="dxa"/>
            <w:right w:w="108" w:type="dxa"/>
          </w:tblCellMar>
        </w:tblPrEx>
        <w:trPr>
          <w:trHeight w:val="437" w:hRule="exact"/>
        </w:trPr>
        <w:tc>
          <w:tcPr>
            <w:tcW w:w="16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ind w:firstLine="540" w:firstLineChars="300"/>
              <w:jc w:val="left"/>
              <w:rPr>
                <w:rFonts w:ascii="仿宋" w:hAnsi="仿宋" w:cs="宋体"/>
                <w:color w:val="000000"/>
                <w:kern w:val="0"/>
                <w:sz w:val="18"/>
                <w:szCs w:val="18"/>
              </w:rPr>
            </w:pPr>
            <w:r>
              <w:rPr>
                <w:rFonts w:hint="eastAsia" w:ascii="仿宋" w:hAnsi="仿宋" w:cs="宋体"/>
                <w:color w:val="000000"/>
                <w:kern w:val="0"/>
                <w:sz w:val="18"/>
                <w:szCs w:val="18"/>
              </w:rPr>
              <w:t>公务接待费</w:t>
            </w:r>
          </w:p>
        </w:tc>
        <w:tc>
          <w:tcPr>
            <w:tcW w:w="8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right"/>
              <w:rPr>
                <w:rFonts w:hint="default" w:ascii="仿宋" w:hAnsi="仿宋" w:cs="宋体"/>
                <w:b w:val="0"/>
                <w:bCs w:val="0"/>
                <w:color w:val="000000"/>
                <w:kern w:val="0"/>
                <w:sz w:val="18"/>
                <w:szCs w:val="18"/>
                <w:lang w:val="en-US"/>
              </w:rPr>
            </w:pPr>
            <w:r>
              <w:rPr>
                <w:rFonts w:hint="eastAsia" w:ascii="仿宋" w:hAnsi="仿宋" w:cs="宋体"/>
                <w:b w:val="0"/>
                <w:bCs w:val="0"/>
                <w:color w:val="000000"/>
                <w:kern w:val="0"/>
                <w:sz w:val="18"/>
                <w:szCs w:val="18"/>
                <w:lang w:val="en-US" w:eastAsia="zh-CN"/>
              </w:rPr>
              <w:t>1.20</w:t>
            </w:r>
          </w:p>
        </w:tc>
        <w:tc>
          <w:tcPr>
            <w:tcW w:w="11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right"/>
              <w:rPr>
                <w:rFonts w:hint="eastAsia" w:ascii="仿宋" w:hAnsi="仿宋" w:eastAsia="仿宋" w:cs="宋体"/>
                <w:b w:val="0"/>
                <w:bCs w:val="0"/>
                <w:color w:val="000000"/>
                <w:kern w:val="0"/>
                <w:sz w:val="18"/>
                <w:szCs w:val="18"/>
                <w:lang w:eastAsia="zh-CN"/>
              </w:rPr>
            </w:pPr>
            <w:r>
              <w:rPr>
                <w:rFonts w:hint="eastAsia" w:ascii="仿宋_GB2312" w:hAnsi="等线" w:eastAsia="仿宋_GB2312" w:cs="宋体"/>
                <w:b w:val="0"/>
                <w:bCs w:val="0"/>
                <w:color w:val="000000"/>
                <w:kern w:val="0"/>
                <w:sz w:val="18"/>
                <w:szCs w:val="18"/>
                <w:lang w:eastAsia="zh-CN"/>
              </w:rPr>
              <w:t>0.32</w:t>
            </w:r>
          </w:p>
        </w:tc>
        <w:tc>
          <w:tcPr>
            <w:tcW w:w="91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b w:val="0"/>
                <w:bCs w:val="0"/>
                <w:color w:val="000000"/>
                <w:kern w:val="0"/>
                <w:sz w:val="18"/>
                <w:szCs w:val="18"/>
              </w:rPr>
            </w:pPr>
            <w:r>
              <w:rPr>
                <w:rFonts w:hint="eastAsia" w:ascii="仿宋" w:hAnsi="仿宋" w:cs="仿宋"/>
                <w:b w:val="0"/>
                <w:bCs w:val="0"/>
                <w:color w:val="000000"/>
                <w:kern w:val="0"/>
                <w:sz w:val="18"/>
                <w:szCs w:val="18"/>
                <w:lang w:eastAsia="zh-CN"/>
              </w:rPr>
              <w:t>0.81</w:t>
            </w:r>
          </w:p>
        </w:tc>
        <w:tc>
          <w:tcPr>
            <w:tcW w:w="98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b w:val="0"/>
                <w:bCs w:val="0"/>
                <w:color w:val="000000"/>
                <w:kern w:val="0"/>
                <w:sz w:val="18"/>
                <w:szCs w:val="18"/>
              </w:rPr>
            </w:pPr>
            <w:r>
              <w:rPr>
                <w:rFonts w:hint="eastAsia" w:ascii="仿宋" w:hAnsi="仿宋" w:cs="仿宋"/>
                <w:b w:val="0"/>
                <w:bCs w:val="0"/>
                <w:color w:val="000000"/>
                <w:kern w:val="0"/>
                <w:sz w:val="18"/>
                <w:szCs w:val="18"/>
              </w:rPr>
              <w:t>-</w:t>
            </w:r>
            <w:r>
              <w:rPr>
                <w:rFonts w:hint="eastAsia" w:ascii="仿宋" w:hAnsi="仿宋" w:cs="仿宋"/>
                <w:b w:val="0"/>
                <w:bCs w:val="0"/>
                <w:color w:val="000000"/>
                <w:kern w:val="0"/>
                <w:sz w:val="18"/>
                <w:szCs w:val="18"/>
                <w:lang w:val="en-US" w:eastAsia="zh-CN"/>
              </w:rPr>
              <w:t>0.49</w:t>
            </w:r>
          </w:p>
        </w:tc>
        <w:tc>
          <w:tcPr>
            <w:tcW w:w="106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right"/>
              <w:rPr>
                <w:rFonts w:ascii="仿宋" w:hAnsi="仿宋" w:cs="仿宋"/>
                <w:b w:val="0"/>
                <w:bCs w:val="0"/>
                <w:color w:val="000000"/>
                <w:kern w:val="0"/>
                <w:sz w:val="18"/>
                <w:szCs w:val="18"/>
              </w:rPr>
            </w:pPr>
            <w:r>
              <w:rPr>
                <w:rFonts w:hint="eastAsia" w:ascii="仿宋" w:hAnsi="仿宋" w:cs="仿宋"/>
                <w:b w:val="0"/>
                <w:bCs w:val="0"/>
                <w:color w:val="000000"/>
                <w:kern w:val="0"/>
                <w:sz w:val="18"/>
                <w:szCs w:val="18"/>
              </w:rPr>
              <w:t>-</w:t>
            </w:r>
            <w:r>
              <w:rPr>
                <w:rFonts w:hint="eastAsia" w:ascii="仿宋" w:hAnsi="仿宋" w:cs="仿宋"/>
                <w:b w:val="0"/>
                <w:bCs w:val="0"/>
                <w:color w:val="000000"/>
                <w:kern w:val="0"/>
                <w:sz w:val="18"/>
                <w:szCs w:val="18"/>
                <w:lang w:val="en-US" w:eastAsia="zh-CN"/>
              </w:rPr>
              <w:t>60.49</w:t>
            </w:r>
            <w:r>
              <w:rPr>
                <w:rFonts w:ascii="仿宋" w:hAnsi="仿宋" w:cs="仿宋"/>
                <w:b w:val="0"/>
                <w:bCs w:val="0"/>
                <w:color w:val="000000"/>
                <w:kern w:val="0"/>
                <w:sz w:val="18"/>
                <w:szCs w:val="18"/>
              </w:rPr>
              <w:t>%</w:t>
            </w:r>
          </w:p>
        </w:tc>
        <w:tc>
          <w:tcPr>
            <w:tcW w:w="50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right"/>
              <w:rPr>
                <w:rFonts w:ascii="仿宋" w:hAnsi="仿宋" w:cs="宋体"/>
                <w:color w:val="000000"/>
                <w:kern w:val="0"/>
                <w:sz w:val="18"/>
                <w:szCs w:val="18"/>
              </w:rPr>
            </w:pPr>
          </w:p>
        </w:tc>
      </w:tr>
    </w:tbl>
    <w:p>
      <w:pPr>
        <w:spacing w:line="560" w:lineRule="exact"/>
        <w:ind w:firstLine="640" w:firstLineChars="200"/>
        <w:rPr>
          <w:rFonts w:hint="eastAsia" w:ascii="Times New Roman" w:hAnsi="Times New Roman" w:eastAsia="仿宋_GB2312" w:cs="Times New Roman"/>
          <w:szCs w:val="32"/>
          <w:lang w:eastAsia="zh-CN"/>
        </w:rPr>
      </w:pPr>
      <w:r>
        <w:rPr>
          <w:rFonts w:hint="eastAsia" w:ascii="Times New Roman" w:hAnsi="Times New Roman" w:eastAsia="仿宋_GB2312" w:cs="Times New Roman"/>
          <w:szCs w:val="32"/>
          <w:lang w:eastAsia="zh-CN"/>
        </w:rPr>
        <w:t>（</w:t>
      </w:r>
      <w:r>
        <w:rPr>
          <w:rFonts w:hint="eastAsia" w:ascii="Times New Roman" w:hAnsi="Times New Roman" w:eastAsia="仿宋_GB2312" w:cs="Times New Roman"/>
          <w:szCs w:val="32"/>
          <w:lang w:val="en-US" w:eastAsia="zh-CN"/>
        </w:rPr>
        <w:t>1</w:t>
      </w:r>
      <w:r>
        <w:rPr>
          <w:rFonts w:hint="eastAsia" w:ascii="Times New Roman" w:hAnsi="Times New Roman" w:eastAsia="仿宋_GB2312" w:cs="Times New Roman"/>
          <w:szCs w:val="32"/>
          <w:lang w:eastAsia="zh-CN"/>
        </w:rPr>
        <w:t>）</w:t>
      </w:r>
      <w:r>
        <w:rPr>
          <w:rFonts w:ascii="Times New Roman" w:hAnsi="Times New Roman" w:eastAsia="仿宋_GB2312" w:cs="Times New Roman"/>
          <w:szCs w:val="32"/>
        </w:rPr>
        <w:t>公务接待费</w:t>
      </w:r>
      <w:r>
        <w:rPr>
          <w:rFonts w:hint="eastAsia" w:ascii="Times New Roman" w:hAnsi="Times New Roman" w:eastAsia="仿宋_GB2312" w:cs="Times New Roman"/>
          <w:szCs w:val="32"/>
          <w:lang w:eastAsia="zh-CN"/>
        </w:rPr>
        <w:t>：</w:t>
      </w:r>
      <w:r>
        <w:rPr>
          <w:rFonts w:hint="eastAsia" w:ascii="Times New Roman" w:hAnsi="Times New Roman" w:eastAsia="仿宋_GB2312" w:cs="Times New Roman"/>
          <w:szCs w:val="32"/>
          <w:lang w:val="en-US" w:eastAsia="zh-CN"/>
        </w:rPr>
        <w:t>2022年</w:t>
      </w:r>
      <w:r>
        <w:rPr>
          <w:rFonts w:ascii="Times New Roman" w:hAnsi="Times New Roman" w:eastAsia="仿宋_GB2312" w:cs="Times New Roman"/>
          <w:szCs w:val="32"/>
        </w:rPr>
        <w:t>完成</w:t>
      </w:r>
      <w:r>
        <w:rPr>
          <w:rFonts w:hint="eastAsia" w:ascii="Times New Roman" w:hAnsi="Times New Roman" w:eastAsia="仿宋_GB2312" w:cs="Times New Roman"/>
          <w:szCs w:val="32"/>
          <w:lang w:eastAsia="zh-CN"/>
        </w:rPr>
        <w:t>0.32</w:t>
      </w:r>
      <w:r>
        <w:rPr>
          <w:rFonts w:hint="eastAsia" w:ascii="Times New Roman" w:hAnsi="Times New Roman" w:eastAsia="仿宋_GB2312" w:cs="Times New Roman"/>
          <w:szCs w:val="32"/>
        </w:rPr>
        <w:t>万</w:t>
      </w:r>
      <w:r>
        <w:rPr>
          <w:rFonts w:ascii="Times New Roman" w:hAnsi="Times New Roman" w:eastAsia="仿宋_GB2312" w:cs="Times New Roman"/>
          <w:szCs w:val="32"/>
        </w:rPr>
        <w:t>元，比上年</w:t>
      </w:r>
      <w:r>
        <w:rPr>
          <w:rFonts w:hint="eastAsia" w:ascii="Times New Roman" w:hAnsi="Times New Roman" w:eastAsia="仿宋_GB2312" w:cs="Times New Roman"/>
          <w:szCs w:val="32"/>
        </w:rPr>
        <w:t>减少</w:t>
      </w:r>
      <w:r>
        <w:rPr>
          <w:rFonts w:hint="eastAsia" w:ascii="Times New Roman" w:hAnsi="Times New Roman" w:eastAsia="仿宋_GB2312" w:cs="Times New Roman"/>
          <w:szCs w:val="32"/>
          <w:lang w:val="en-US" w:eastAsia="zh-CN"/>
        </w:rPr>
        <w:t>0.49</w:t>
      </w:r>
      <w:r>
        <w:rPr>
          <w:rFonts w:hint="eastAsia" w:ascii="Times New Roman" w:hAnsi="Times New Roman" w:eastAsia="仿宋_GB2312" w:cs="Times New Roman"/>
          <w:szCs w:val="32"/>
        </w:rPr>
        <w:t>万</w:t>
      </w:r>
      <w:r>
        <w:rPr>
          <w:rFonts w:ascii="Times New Roman" w:hAnsi="Times New Roman" w:eastAsia="仿宋_GB2312" w:cs="Times New Roman"/>
          <w:szCs w:val="32"/>
        </w:rPr>
        <w:t>元</w:t>
      </w:r>
      <w:r>
        <w:rPr>
          <w:rFonts w:hint="eastAsia" w:ascii="Times New Roman" w:hAnsi="Times New Roman" w:eastAsia="仿宋_GB2312" w:cs="Times New Roman"/>
          <w:szCs w:val="32"/>
          <w:lang w:eastAsia="zh-CN"/>
        </w:rPr>
        <w:t>、</w:t>
      </w:r>
      <w:r>
        <w:rPr>
          <w:rFonts w:hint="eastAsia" w:ascii="Times New Roman" w:hAnsi="Times New Roman" w:eastAsia="仿宋_GB2312" w:cs="Times New Roman"/>
          <w:szCs w:val="32"/>
        </w:rPr>
        <w:t>下降</w:t>
      </w:r>
      <w:r>
        <w:rPr>
          <w:rFonts w:hint="eastAsia" w:ascii="Times New Roman" w:hAnsi="Times New Roman" w:eastAsia="仿宋_GB2312" w:cs="Times New Roman"/>
          <w:szCs w:val="32"/>
          <w:lang w:val="en-US" w:eastAsia="zh-CN"/>
        </w:rPr>
        <w:t>60.49</w:t>
      </w:r>
      <w:r>
        <w:rPr>
          <w:rFonts w:hint="eastAsia" w:ascii="Times New Roman" w:hAnsi="Times New Roman" w:eastAsia="仿宋_GB2312" w:cs="Times New Roman"/>
          <w:szCs w:val="32"/>
        </w:rPr>
        <w:t>%</w:t>
      </w:r>
      <w:r>
        <w:rPr>
          <w:rFonts w:hint="eastAsia" w:ascii="Times New Roman" w:hAnsi="Times New Roman" w:eastAsia="仿宋_GB2312" w:cs="Times New Roman"/>
          <w:szCs w:val="32"/>
          <w:lang w:eastAsia="zh-CN"/>
        </w:rPr>
        <w:t>，</w:t>
      </w:r>
      <w:r>
        <w:rPr>
          <w:rFonts w:hint="eastAsia" w:ascii="Times New Roman" w:hAnsi="Times New Roman" w:eastAsia="仿宋_GB2312" w:cs="Times New Roman"/>
          <w:szCs w:val="32"/>
        </w:rPr>
        <w:t>减少</w:t>
      </w:r>
      <w:r>
        <w:rPr>
          <w:rFonts w:ascii="Times New Roman" w:hAnsi="Times New Roman" w:eastAsia="仿宋_GB2312" w:cs="Times New Roman"/>
          <w:szCs w:val="32"/>
        </w:rPr>
        <w:t>变化的主要原因是：</w:t>
      </w:r>
      <w:r>
        <w:rPr>
          <w:rFonts w:hint="eastAsia" w:ascii="Times New Roman" w:hAnsi="Times New Roman" w:eastAsia="仿宋_GB2312" w:cs="Times New Roman"/>
          <w:szCs w:val="32"/>
        </w:rPr>
        <w:t>本年度接待活动减少</w:t>
      </w:r>
      <w:r>
        <w:rPr>
          <w:rFonts w:hint="eastAsia" w:ascii="Times New Roman" w:hAnsi="Times New Roman" w:eastAsia="仿宋_GB2312" w:cs="Times New Roman"/>
          <w:szCs w:val="32"/>
          <w:lang w:eastAsia="zh-CN"/>
        </w:rPr>
        <w:t>。</w:t>
      </w:r>
    </w:p>
    <w:p>
      <w:pPr>
        <w:spacing w:line="560" w:lineRule="exact"/>
        <w:ind w:firstLine="640" w:firstLineChars="200"/>
        <w:rPr>
          <w:rFonts w:hint="default" w:ascii="Times New Roman" w:hAnsi="Times New Roman" w:eastAsia="仿宋_GB2312" w:cs="Times New Roman"/>
          <w:szCs w:val="32"/>
          <w:lang w:val="en-US" w:eastAsia="zh-CN"/>
        </w:rPr>
      </w:pPr>
      <w:r>
        <w:rPr>
          <w:rFonts w:hint="eastAsia" w:ascii="Times New Roman" w:hAnsi="Times New Roman" w:eastAsia="仿宋_GB2312" w:cs="Times New Roman"/>
          <w:szCs w:val="32"/>
          <w:lang w:eastAsia="zh-CN"/>
        </w:rPr>
        <w:t>（</w:t>
      </w:r>
      <w:r>
        <w:rPr>
          <w:rFonts w:hint="eastAsia" w:ascii="Times New Roman" w:hAnsi="Times New Roman" w:eastAsia="仿宋_GB2312" w:cs="Times New Roman"/>
          <w:szCs w:val="32"/>
          <w:lang w:val="en-US" w:eastAsia="zh-CN"/>
        </w:rPr>
        <w:t>2</w:t>
      </w:r>
      <w:r>
        <w:rPr>
          <w:rFonts w:hint="eastAsia" w:ascii="Times New Roman" w:hAnsi="Times New Roman" w:eastAsia="仿宋_GB2312" w:cs="Times New Roman"/>
          <w:szCs w:val="32"/>
          <w:lang w:eastAsia="zh-CN"/>
        </w:rPr>
        <w:t>）</w:t>
      </w:r>
      <w:r>
        <w:rPr>
          <w:rFonts w:ascii="Times New Roman" w:hAnsi="Times New Roman" w:eastAsia="仿宋_GB2312" w:cs="Times New Roman"/>
          <w:szCs w:val="32"/>
        </w:rPr>
        <w:t>公</w:t>
      </w:r>
      <w:r>
        <w:rPr>
          <w:rFonts w:hint="eastAsia" w:ascii="Times New Roman" w:hAnsi="Times New Roman" w:eastAsia="仿宋_GB2312" w:cs="Times New Roman"/>
          <w:szCs w:val="32"/>
        </w:rPr>
        <w:t>车</w:t>
      </w:r>
      <w:r>
        <w:rPr>
          <w:rFonts w:hint="eastAsia" w:ascii="Times New Roman" w:hAnsi="Times New Roman" w:eastAsia="仿宋_GB2312" w:cs="Times New Roman"/>
          <w:szCs w:val="32"/>
          <w:lang w:val="en-US" w:eastAsia="zh-CN"/>
        </w:rPr>
        <w:t>用车</w:t>
      </w:r>
      <w:r>
        <w:rPr>
          <w:rFonts w:hint="eastAsia" w:ascii="Times New Roman" w:hAnsi="Times New Roman" w:eastAsia="仿宋_GB2312" w:cs="Times New Roman"/>
          <w:szCs w:val="32"/>
        </w:rPr>
        <w:t>运行</w:t>
      </w:r>
      <w:r>
        <w:rPr>
          <w:rFonts w:hint="eastAsia" w:ascii="Times New Roman" w:hAnsi="Times New Roman" w:eastAsia="仿宋_GB2312" w:cs="Times New Roman"/>
          <w:szCs w:val="32"/>
          <w:lang w:val="en-US" w:eastAsia="zh-CN"/>
        </w:rPr>
        <w:t>维护</w:t>
      </w:r>
      <w:r>
        <w:rPr>
          <w:rFonts w:ascii="Times New Roman" w:hAnsi="Times New Roman" w:eastAsia="仿宋_GB2312" w:cs="Times New Roman"/>
          <w:szCs w:val="32"/>
        </w:rPr>
        <w:t>费</w:t>
      </w:r>
      <w:r>
        <w:rPr>
          <w:rFonts w:hint="eastAsia" w:ascii="Times New Roman" w:hAnsi="Times New Roman" w:eastAsia="仿宋_GB2312" w:cs="Times New Roman"/>
          <w:szCs w:val="32"/>
          <w:lang w:eastAsia="zh-CN"/>
        </w:rPr>
        <w:t>：</w:t>
      </w:r>
      <w:r>
        <w:rPr>
          <w:rFonts w:hint="eastAsia" w:ascii="Times New Roman" w:hAnsi="Times New Roman" w:eastAsia="仿宋_GB2312" w:cs="Times New Roman"/>
          <w:szCs w:val="32"/>
          <w:lang w:val="en-US" w:eastAsia="zh-CN"/>
        </w:rPr>
        <w:t>2022年</w:t>
      </w:r>
      <w:r>
        <w:rPr>
          <w:rFonts w:ascii="Times New Roman" w:hAnsi="Times New Roman" w:eastAsia="仿宋_GB2312" w:cs="Times New Roman"/>
          <w:szCs w:val="32"/>
        </w:rPr>
        <w:t>完成</w:t>
      </w:r>
      <w:r>
        <w:rPr>
          <w:rFonts w:hint="eastAsia" w:ascii="Times New Roman" w:hAnsi="Times New Roman" w:eastAsia="仿宋_GB2312" w:cs="Times New Roman"/>
          <w:szCs w:val="32"/>
        </w:rPr>
        <w:t>0</w:t>
      </w:r>
      <w:r>
        <w:rPr>
          <w:rFonts w:ascii="Times New Roman" w:hAnsi="Times New Roman" w:eastAsia="仿宋_GB2312" w:cs="Times New Roman"/>
          <w:szCs w:val="32"/>
        </w:rPr>
        <w:t>元，比上年减少</w:t>
      </w:r>
      <w:r>
        <w:rPr>
          <w:rFonts w:hint="eastAsia" w:ascii="Times New Roman" w:hAnsi="Times New Roman" w:eastAsia="仿宋_GB2312" w:cs="Times New Roman"/>
          <w:szCs w:val="32"/>
          <w:lang w:val="en-US" w:eastAsia="zh-CN"/>
        </w:rPr>
        <w:t>0</w:t>
      </w:r>
      <w:r>
        <w:rPr>
          <w:rFonts w:hint="eastAsia" w:ascii="Times New Roman" w:hAnsi="Times New Roman" w:eastAsia="仿宋_GB2312" w:cs="Times New Roman"/>
          <w:szCs w:val="32"/>
        </w:rPr>
        <w:t>万</w:t>
      </w:r>
      <w:r>
        <w:rPr>
          <w:rFonts w:ascii="Times New Roman" w:hAnsi="Times New Roman" w:eastAsia="仿宋_GB2312" w:cs="Times New Roman"/>
          <w:szCs w:val="32"/>
        </w:rPr>
        <w:t>元</w:t>
      </w:r>
      <w:r>
        <w:rPr>
          <w:rFonts w:hint="eastAsia" w:ascii="Times New Roman" w:hAnsi="Times New Roman" w:eastAsia="仿宋_GB2312" w:cs="Times New Roman"/>
          <w:szCs w:val="32"/>
          <w:lang w:val="en-US" w:eastAsia="zh-CN"/>
        </w:rPr>
        <w:t>。</w:t>
      </w:r>
    </w:p>
    <w:p>
      <w:pPr>
        <w:spacing w:line="560" w:lineRule="exact"/>
        <w:ind w:firstLine="643" w:firstLineChars="200"/>
        <w:outlineLvl w:val="2"/>
        <w:rPr>
          <w:rFonts w:hint="default" w:ascii="楷体" w:hAnsi="楷体" w:eastAsia="楷体" w:cs="楷体"/>
          <w:b/>
          <w:bCs/>
          <w:szCs w:val="32"/>
          <w:lang w:val="en-US" w:eastAsia="zh-CN"/>
        </w:rPr>
      </w:pPr>
      <w:r>
        <w:rPr>
          <w:rFonts w:hint="eastAsia" w:ascii="楷体" w:hAnsi="楷体" w:eastAsia="楷体" w:cs="楷体"/>
          <w:b/>
          <w:bCs/>
          <w:szCs w:val="32"/>
        </w:rPr>
        <w:t>3、</w:t>
      </w:r>
      <w:r>
        <w:rPr>
          <w:rFonts w:hint="eastAsia" w:ascii="楷体" w:hAnsi="楷体" w:eastAsia="楷体" w:cs="楷体"/>
          <w:b/>
          <w:bCs/>
          <w:szCs w:val="32"/>
          <w:lang w:val="en-US" w:eastAsia="zh-CN"/>
        </w:rPr>
        <w:t>因公出国（境）费用支出和公务用车（购置）情况</w:t>
      </w:r>
    </w:p>
    <w:p>
      <w:pPr>
        <w:spacing w:line="560" w:lineRule="exact"/>
        <w:ind w:firstLine="640" w:firstLineChars="200"/>
        <w:rPr>
          <w:rFonts w:hint="default" w:ascii="仿宋_GB2312" w:hAnsi="仿宋" w:eastAsia="仿宋_GB2312"/>
          <w:b w:val="0"/>
          <w:bCs w:val="0"/>
          <w:kern w:val="2"/>
          <w:sz w:val="32"/>
          <w:szCs w:val="32"/>
          <w:lang w:val="en-US" w:eastAsia="zh-CN"/>
        </w:rPr>
      </w:pPr>
      <w:r>
        <w:rPr>
          <w:rFonts w:hint="eastAsia" w:ascii="仿宋_GB2312" w:hAnsi="仿宋" w:eastAsia="仿宋_GB2312"/>
          <w:b w:val="0"/>
          <w:bCs w:val="0"/>
          <w:kern w:val="2"/>
          <w:sz w:val="32"/>
          <w:szCs w:val="32"/>
          <w:lang w:eastAsia="zh-CN"/>
        </w:rPr>
        <w:t>统计局</w:t>
      </w:r>
      <w:r>
        <w:rPr>
          <w:rFonts w:hint="eastAsia" w:ascii="仿宋_GB2312" w:hAnsi="仿宋" w:eastAsia="仿宋_GB2312"/>
          <w:b w:val="0"/>
          <w:bCs w:val="0"/>
          <w:kern w:val="2"/>
          <w:sz w:val="32"/>
          <w:szCs w:val="32"/>
        </w:rPr>
        <w:t>2022年</w:t>
      </w:r>
      <w:r>
        <w:rPr>
          <w:rFonts w:hint="eastAsia" w:ascii="仿宋_GB2312" w:hAnsi="仿宋" w:eastAsia="仿宋_GB2312"/>
          <w:b w:val="0"/>
          <w:bCs w:val="0"/>
          <w:kern w:val="2"/>
          <w:sz w:val="32"/>
          <w:szCs w:val="32"/>
          <w:lang w:val="en-US" w:eastAsia="zh-CN"/>
        </w:rPr>
        <w:t>无因公出国（境）费用支出和公务用车（购置）支出。</w:t>
      </w:r>
    </w:p>
    <w:p>
      <w:pPr>
        <w:spacing w:line="560" w:lineRule="exact"/>
        <w:ind w:firstLine="643" w:firstLineChars="200"/>
        <w:outlineLvl w:val="1"/>
        <w:rPr>
          <w:rFonts w:ascii="楷体" w:hAnsi="楷体" w:eastAsia="楷体" w:cs="楷体"/>
          <w:b/>
          <w:bCs/>
          <w:szCs w:val="32"/>
        </w:rPr>
      </w:pPr>
      <w:r>
        <w:rPr>
          <w:rFonts w:hint="eastAsia" w:ascii="楷体" w:hAnsi="楷体" w:eastAsia="楷体" w:cs="楷体"/>
          <w:b/>
          <w:bCs/>
          <w:szCs w:val="32"/>
        </w:rPr>
        <w:t>（二）项目支出</w:t>
      </w:r>
    </w:p>
    <w:p>
      <w:pPr>
        <w:spacing w:line="560" w:lineRule="exact"/>
        <w:ind w:firstLine="640" w:firstLineChars="200"/>
        <w:rPr>
          <w:rFonts w:hint="eastAsia" w:ascii="Times New Roman" w:hAnsi="Times New Roman" w:eastAsia="仿宋_GB2312" w:cs="Times New Roman"/>
          <w:szCs w:val="32"/>
        </w:rPr>
      </w:pPr>
      <w:r>
        <w:rPr>
          <w:rFonts w:hint="eastAsia" w:ascii="Times New Roman" w:hAnsi="Times New Roman" w:eastAsia="仿宋_GB2312" w:cs="Times New Roman"/>
          <w:szCs w:val="32"/>
        </w:rPr>
        <w:t>项目支出是指除基本支出以外的所有项目情况，包括部门项目资金（业务工作经费、运行维护经费）、公共专项资金等。</w:t>
      </w:r>
    </w:p>
    <w:p>
      <w:pPr>
        <w:spacing w:line="560" w:lineRule="exact"/>
        <w:ind w:firstLine="643" w:firstLineChars="200"/>
        <w:outlineLvl w:val="2"/>
        <w:rPr>
          <w:rFonts w:ascii="楷体" w:hAnsi="楷体" w:eastAsia="楷体" w:cs="楷体"/>
          <w:b/>
          <w:bCs/>
          <w:szCs w:val="32"/>
        </w:rPr>
      </w:pPr>
      <w:r>
        <w:rPr>
          <w:rFonts w:hint="eastAsia" w:ascii="楷体" w:hAnsi="楷体" w:eastAsia="楷体" w:cs="楷体"/>
          <w:b/>
          <w:bCs/>
          <w:szCs w:val="32"/>
        </w:rPr>
        <w:t>1、项目资金安排落实、总投入等情况分析</w:t>
      </w:r>
    </w:p>
    <w:p>
      <w:pPr>
        <w:spacing w:line="56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lang w:val="en-US" w:eastAsia="zh-CN"/>
        </w:rPr>
        <w:t>统计局</w:t>
      </w:r>
      <w:r>
        <w:rPr>
          <w:rFonts w:hint="eastAsia" w:ascii="Times New Roman" w:hAnsi="Times New Roman" w:eastAsia="仿宋_GB2312" w:cs="Times New Roman"/>
          <w:szCs w:val="32"/>
        </w:rPr>
        <w:t>2022年</w:t>
      </w:r>
      <w:r>
        <w:rPr>
          <w:rFonts w:hint="eastAsia" w:ascii="Times New Roman" w:hAnsi="Times New Roman" w:eastAsia="仿宋_GB2312" w:cs="Times New Roman"/>
          <w:szCs w:val="32"/>
          <w:lang w:val="en-US" w:eastAsia="zh-CN"/>
        </w:rPr>
        <w:t>项目资金</w:t>
      </w:r>
      <w:r>
        <w:rPr>
          <w:rFonts w:hint="eastAsia" w:ascii="Times New Roman" w:hAnsi="Times New Roman" w:eastAsia="仿宋_GB2312" w:cs="Times New Roman"/>
          <w:szCs w:val="32"/>
        </w:rPr>
        <w:t>年初预算</w:t>
      </w:r>
      <w:r>
        <w:rPr>
          <w:rFonts w:hint="eastAsia" w:ascii="Times New Roman" w:hAnsi="Times New Roman" w:eastAsia="仿宋_GB2312" w:cs="Times New Roman"/>
          <w:szCs w:val="32"/>
          <w:lang w:eastAsia="zh-CN"/>
        </w:rPr>
        <w:t>138.42</w:t>
      </w:r>
      <w:r>
        <w:rPr>
          <w:rFonts w:hint="eastAsia" w:ascii="Times New Roman" w:hAnsi="Times New Roman" w:eastAsia="仿宋_GB2312" w:cs="Times New Roman"/>
          <w:szCs w:val="32"/>
        </w:rPr>
        <w:t>万元，本年度项目资金收入</w:t>
      </w:r>
      <w:r>
        <w:rPr>
          <w:rFonts w:hint="eastAsia" w:ascii="Times New Roman" w:hAnsi="Times New Roman" w:eastAsia="仿宋_GB2312" w:cs="Times New Roman"/>
          <w:szCs w:val="32"/>
          <w:lang w:val="en-US" w:eastAsia="zh-CN"/>
        </w:rPr>
        <w:t>413.44</w:t>
      </w:r>
      <w:r>
        <w:rPr>
          <w:rFonts w:hint="eastAsia" w:ascii="Times New Roman" w:hAnsi="Times New Roman" w:eastAsia="仿宋_GB2312" w:cs="Times New Roman"/>
          <w:szCs w:val="32"/>
        </w:rPr>
        <w:t>万元，项目资金</w:t>
      </w:r>
      <w:r>
        <w:rPr>
          <w:rFonts w:hint="eastAsia" w:ascii="Times New Roman" w:hAnsi="Times New Roman" w:eastAsia="仿宋_GB2312" w:cs="Times New Roman"/>
          <w:szCs w:val="32"/>
          <w:lang w:val="en-US" w:eastAsia="zh-CN"/>
        </w:rPr>
        <w:t>支出413.44</w:t>
      </w:r>
      <w:r>
        <w:rPr>
          <w:rFonts w:hint="eastAsia" w:ascii="Times New Roman" w:hAnsi="Times New Roman" w:eastAsia="仿宋_GB2312" w:cs="Times New Roman"/>
          <w:szCs w:val="32"/>
        </w:rPr>
        <w:t>万元，</w:t>
      </w:r>
      <w:r>
        <w:rPr>
          <w:rFonts w:hint="eastAsia" w:ascii="Times New Roman" w:hAnsi="Times New Roman" w:eastAsia="仿宋_GB2312" w:cs="Times New Roman"/>
          <w:szCs w:val="32"/>
          <w:lang w:val="en-US" w:eastAsia="zh-CN"/>
        </w:rPr>
        <w:t>其中：一般公共预算财政拨款项目资金支出411.16万元，其他项目资金支出2.28万元，</w:t>
      </w:r>
      <w:r>
        <w:rPr>
          <w:rFonts w:hint="eastAsia" w:ascii="Times New Roman" w:hAnsi="Times New Roman" w:eastAsia="仿宋_GB2312" w:cs="Times New Roman"/>
          <w:szCs w:val="32"/>
        </w:rPr>
        <w:t>本年度的项目资金情况详情如下表：</w:t>
      </w:r>
    </w:p>
    <w:p>
      <w:pPr>
        <w:spacing w:line="560" w:lineRule="exact"/>
        <w:ind w:firstLine="643" w:firstLineChars="200"/>
        <w:outlineLvl w:val="2"/>
        <w:rPr>
          <w:rFonts w:ascii="楷体" w:hAnsi="楷体" w:eastAsia="楷体" w:cs="楷体"/>
          <w:b/>
          <w:bCs/>
          <w:szCs w:val="32"/>
        </w:rPr>
      </w:pPr>
      <w:r>
        <w:rPr>
          <w:rFonts w:hint="eastAsia" w:ascii="楷体" w:hAnsi="楷体" w:eastAsia="楷体" w:cs="楷体"/>
          <w:b/>
          <w:bCs/>
          <w:szCs w:val="32"/>
        </w:rPr>
        <w:t xml:space="preserve">2、项目资金实际使用情况 </w:t>
      </w:r>
    </w:p>
    <w:p>
      <w:pPr>
        <w:spacing w:line="56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2022年项目资金</w:t>
      </w:r>
      <w:r>
        <w:rPr>
          <w:rFonts w:hint="eastAsia" w:ascii="Times New Roman" w:hAnsi="Times New Roman" w:eastAsia="仿宋_GB2312" w:cs="Times New Roman"/>
          <w:szCs w:val="32"/>
          <w:lang w:val="en-US" w:eastAsia="zh-CN"/>
        </w:rPr>
        <w:t>年初预算138.42万元，本年决算</w:t>
      </w:r>
      <w:r>
        <w:rPr>
          <w:rFonts w:hint="eastAsia" w:ascii="Times New Roman" w:hAnsi="Times New Roman" w:eastAsia="仿宋_GB2312" w:cs="Times New Roman"/>
          <w:szCs w:val="32"/>
        </w:rPr>
        <w:t>支出</w:t>
      </w:r>
      <w:r>
        <w:rPr>
          <w:rFonts w:hint="eastAsia" w:ascii="Times New Roman" w:hAnsi="Times New Roman" w:eastAsia="仿宋_GB2312" w:cs="Times New Roman"/>
          <w:szCs w:val="32"/>
          <w:lang w:val="en-US" w:eastAsia="zh-CN"/>
        </w:rPr>
        <w:t>413.44</w:t>
      </w:r>
      <w:r>
        <w:rPr>
          <w:rFonts w:hint="eastAsia" w:ascii="Times New Roman" w:hAnsi="Times New Roman" w:eastAsia="仿宋_GB2312" w:cs="Times New Roman"/>
          <w:szCs w:val="32"/>
        </w:rPr>
        <w:t>万元，</w:t>
      </w:r>
      <w:r>
        <w:rPr>
          <w:rFonts w:hint="eastAsia" w:ascii="Times New Roman" w:hAnsi="Times New Roman" w:eastAsia="仿宋_GB2312" w:cs="Times New Roman"/>
          <w:szCs w:val="32"/>
          <w:lang w:val="en-US" w:eastAsia="zh-CN"/>
        </w:rPr>
        <w:t>较年初预算增加198.69%</w:t>
      </w:r>
      <w:r>
        <w:rPr>
          <w:rFonts w:hint="eastAsia" w:ascii="Times New Roman" w:hAnsi="Times New Roman" w:eastAsia="仿宋_GB2312" w:cs="Times New Roman"/>
          <w:szCs w:val="32"/>
        </w:rPr>
        <w:t>。项目资金</w:t>
      </w:r>
      <w:r>
        <w:rPr>
          <w:rFonts w:hint="eastAsia" w:ascii="Times New Roman" w:hAnsi="Times New Roman" w:eastAsia="仿宋_GB2312" w:cs="Times New Roman"/>
          <w:szCs w:val="32"/>
          <w:lang w:val="en-US" w:eastAsia="zh-CN"/>
        </w:rPr>
        <w:t>支出明细</w:t>
      </w:r>
      <w:r>
        <w:rPr>
          <w:rFonts w:hint="eastAsia" w:ascii="Times New Roman" w:hAnsi="Times New Roman" w:eastAsia="仿宋_GB2312" w:cs="Times New Roman"/>
          <w:szCs w:val="32"/>
        </w:rPr>
        <w:t>如下表：</w:t>
      </w:r>
    </w:p>
    <w:p>
      <w:pPr>
        <w:spacing w:line="360" w:lineRule="exact"/>
        <w:jc w:val="right"/>
        <w:rPr>
          <w:rFonts w:ascii="Times New Roman" w:hAnsi="Times New Roman" w:cs="Times New Roman"/>
          <w:kern w:val="0"/>
          <w:sz w:val="20"/>
          <w:szCs w:val="20"/>
        </w:rPr>
      </w:pPr>
      <w:r>
        <w:rPr>
          <w:rFonts w:hint="eastAsia" w:ascii="Times New Roman" w:hAnsi="Times New Roman" w:cs="Times New Roman"/>
          <w:kern w:val="0"/>
          <w:sz w:val="20"/>
          <w:szCs w:val="20"/>
        </w:rPr>
        <w:t>金额单位：万元</w:t>
      </w:r>
    </w:p>
    <w:tbl>
      <w:tblPr>
        <w:tblStyle w:val="14"/>
        <w:tblW w:w="8311" w:type="dxa"/>
        <w:tblInd w:w="113" w:type="dxa"/>
        <w:tblLayout w:type="fixed"/>
        <w:tblCellMar>
          <w:top w:w="0" w:type="dxa"/>
          <w:left w:w="108" w:type="dxa"/>
          <w:bottom w:w="0" w:type="dxa"/>
          <w:right w:w="108" w:type="dxa"/>
        </w:tblCellMar>
      </w:tblPr>
      <w:tblGrid>
        <w:gridCol w:w="2263"/>
        <w:gridCol w:w="1198"/>
        <w:gridCol w:w="1388"/>
        <w:gridCol w:w="1212"/>
        <w:gridCol w:w="1213"/>
        <w:gridCol w:w="1037"/>
      </w:tblGrid>
      <w:tr>
        <w:tblPrEx>
          <w:tblCellMar>
            <w:top w:w="0" w:type="dxa"/>
            <w:left w:w="108" w:type="dxa"/>
            <w:bottom w:w="0" w:type="dxa"/>
            <w:right w:w="108" w:type="dxa"/>
          </w:tblCellMar>
        </w:tblPrEx>
        <w:trPr>
          <w:trHeight w:val="397" w:hRule="atLeast"/>
          <w:tblHeader/>
        </w:trPr>
        <w:tc>
          <w:tcPr>
            <w:tcW w:w="2263"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cs="宋体"/>
                <w:b/>
                <w:bCs/>
                <w:color w:val="000000"/>
                <w:kern w:val="0"/>
                <w:sz w:val="18"/>
                <w:szCs w:val="18"/>
              </w:rPr>
            </w:pPr>
            <w:r>
              <w:rPr>
                <w:rFonts w:hint="eastAsia" w:ascii="仿宋" w:hAnsi="仿宋" w:cs="宋体"/>
                <w:b/>
                <w:bCs/>
                <w:color w:val="000000"/>
                <w:kern w:val="0"/>
                <w:sz w:val="18"/>
                <w:szCs w:val="18"/>
              </w:rPr>
              <w:t>项目名称</w:t>
            </w:r>
          </w:p>
        </w:tc>
        <w:tc>
          <w:tcPr>
            <w:tcW w:w="1198"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cs="宋体"/>
                <w:b/>
                <w:bCs/>
                <w:color w:val="000000"/>
                <w:kern w:val="0"/>
                <w:sz w:val="18"/>
                <w:szCs w:val="18"/>
              </w:rPr>
            </w:pPr>
            <w:r>
              <w:rPr>
                <w:rFonts w:hint="eastAsia" w:ascii="仿宋" w:hAnsi="仿宋" w:cs="宋体"/>
                <w:b/>
                <w:bCs/>
                <w:color w:val="000000"/>
                <w:kern w:val="0"/>
                <w:sz w:val="18"/>
                <w:szCs w:val="18"/>
              </w:rPr>
              <w:t>年初预算</w:t>
            </w:r>
          </w:p>
        </w:tc>
        <w:tc>
          <w:tcPr>
            <w:tcW w:w="1388"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cs="宋体"/>
                <w:b/>
                <w:bCs/>
                <w:color w:val="000000"/>
                <w:kern w:val="0"/>
                <w:sz w:val="18"/>
                <w:szCs w:val="18"/>
              </w:rPr>
            </w:pPr>
            <w:r>
              <w:rPr>
                <w:rFonts w:hint="eastAsia" w:ascii="仿宋" w:hAnsi="仿宋" w:cs="宋体"/>
                <w:b/>
                <w:bCs/>
                <w:color w:val="000000"/>
                <w:kern w:val="0"/>
                <w:sz w:val="18"/>
                <w:szCs w:val="18"/>
              </w:rPr>
              <w:t>本年决算收入</w:t>
            </w:r>
          </w:p>
        </w:tc>
        <w:tc>
          <w:tcPr>
            <w:tcW w:w="1212"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cs="宋体"/>
                <w:b/>
                <w:bCs/>
                <w:color w:val="000000"/>
                <w:kern w:val="0"/>
                <w:sz w:val="18"/>
                <w:szCs w:val="18"/>
              </w:rPr>
            </w:pPr>
            <w:r>
              <w:rPr>
                <w:rFonts w:hint="eastAsia" w:ascii="仿宋" w:hAnsi="仿宋" w:cs="宋体"/>
                <w:b/>
                <w:bCs/>
                <w:color w:val="000000"/>
                <w:kern w:val="0"/>
                <w:sz w:val="18"/>
                <w:szCs w:val="18"/>
              </w:rPr>
              <w:t>增加额</w:t>
            </w:r>
          </w:p>
        </w:tc>
        <w:tc>
          <w:tcPr>
            <w:tcW w:w="1213"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cs="宋体"/>
                <w:b/>
                <w:bCs/>
                <w:color w:val="000000"/>
                <w:kern w:val="0"/>
                <w:sz w:val="18"/>
                <w:szCs w:val="18"/>
              </w:rPr>
            </w:pPr>
            <w:r>
              <w:rPr>
                <w:rFonts w:hint="eastAsia" w:ascii="仿宋" w:hAnsi="仿宋" w:cs="宋体"/>
                <w:b/>
                <w:bCs/>
                <w:color w:val="000000"/>
                <w:kern w:val="0"/>
                <w:sz w:val="18"/>
                <w:szCs w:val="18"/>
              </w:rPr>
              <w:t>增减幅度</w:t>
            </w:r>
          </w:p>
        </w:tc>
        <w:tc>
          <w:tcPr>
            <w:tcW w:w="1037"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宋体"/>
                <w:b/>
                <w:bCs/>
                <w:color w:val="000000"/>
                <w:kern w:val="0"/>
                <w:sz w:val="18"/>
                <w:szCs w:val="18"/>
                <w:lang w:eastAsia="zh-CN"/>
              </w:rPr>
            </w:pPr>
            <w:r>
              <w:rPr>
                <w:rFonts w:hint="eastAsia" w:ascii="仿宋" w:hAnsi="仿宋" w:cs="宋体"/>
                <w:b/>
                <w:bCs/>
                <w:color w:val="000000"/>
                <w:kern w:val="0"/>
                <w:sz w:val="18"/>
                <w:szCs w:val="18"/>
                <w:lang w:val="en-US" w:eastAsia="zh-CN"/>
              </w:rPr>
              <w:t>备注</w:t>
            </w:r>
          </w:p>
        </w:tc>
      </w:tr>
      <w:tr>
        <w:tblPrEx>
          <w:tblCellMar>
            <w:top w:w="0" w:type="dxa"/>
            <w:left w:w="108" w:type="dxa"/>
            <w:bottom w:w="0" w:type="dxa"/>
            <w:right w:w="108" w:type="dxa"/>
          </w:tblCellMar>
        </w:tblPrEx>
        <w:trPr>
          <w:trHeight w:val="399" w:hRule="atLeast"/>
        </w:trPr>
        <w:tc>
          <w:tcPr>
            <w:tcW w:w="2263"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 w:hAnsi="仿宋" w:cs="宋体"/>
                <w:color w:val="000000"/>
                <w:kern w:val="0"/>
                <w:sz w:val="18"/>
                <w:szCs w:val="18"/>
              </w:rPr>
            </w:pPr>
            <w:r>
              <w:rPr>
                <w:rFonts w:hint="eastAsia" w:ascii="仿宋" w:hAnsi="仿宋" w:cs="宋体"/>
                <w:color w:val="000000"/>
                <w:kern w:val="0"/>
                <w:sz w:val="18"/>
                <w:szCs w:val="18"/>
              </w:rPr>
              <w:t>一般公共服务支出</w:t>
            </w:r>
          </w:p>
        </w:tc>
        <w:tc>
          <w:tcPr>
            <w:tcW w:w="1198"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仿宋" w:hAnsi="仿宋" w:eastAsia="仿宋" w:cs="宋体"/>
                <w:color w:val="000000"/>
                <w:kern w:val="0"/>
                <w:sz w:val="18"/>
                <w:szCs w:val="18"/>
                <w:lang w:val="en-US" w:eastAsia="zh-CN"/>
              </w:rPr>
            </w:pPr>
            <w:r>
              <w:rPr>
                <w:rFonts w:hint="eastAsia" w:ascii="仿宋" w:hAnsi="仿宋" w:cs="宋体"/>
                <w:color w:val="000000"/>
                <w:kern w:val="0"/>
                <w:sz w:val="18"/>
                <w:szCs w:val="18"/>
                <w:lang w:val="en-US" w:eastAsia="zh-CN"/>
              </w:rPr>
              <w:t>138.42</w:t>
            </w:r>
          </w:p>
        </w:tc>
        <w:tc>
          <w:tcPr>
            <w:tcW w:w="13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仿宋" w:hAnsi="仿宋" w:eastAsia="仿宋" w:cs="宋体"/>
                <w:color w:val="000000"/>
                <w:kern w:val="0"/>
                <w:sz w:val="18"/>
                <w:szCs w:val="18"/>
                <w:lang w:val="en-US" w:eastAsia="zh-CN"/>
              </w:rPr>
            </w:pPr>
            <w:r>
              <w:rPr>
                <w:rFonts w:hint="eastAsia" w:ascii="仿宋" w:hAnsi="仿宋" w:cs="宋体"/>
                <w:color w:val="000000"/>
                <w:kern w:val="0"/>
                <w:sz w:val="18"/>
                <w:szCs w:val="18"/>
                <w:lang w:val="en-US" w:eastAsia="zh-CN"/>
              </w:rPr>
              <w:t>413.44</w:t>
            </w: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仿宋" w:hAnsi="仿宋" w:cs="宋体"/>
                <w:color w:val="000000"/>
                <w:kern w:val="0"/>
                <w:sz w:val="18"/>
                <w:szCs w:val="18"/>
                <w:lang w:val="en-US"/>
              </w:rPr>
            </w:pPr>
            <w:r>
              <w:rPr>
                <w:rFonts w:hint="eastAsia" w:ascii="仿宋" w:hAnsi="仿宋" w:cs="宋体"/>
                <w:color w:val="000000"/>
                <w:kern w:val="0"/>
                <w:sz w:val="18"/>
                <w:szCs w:val="18"/>
                <w:lang w:val="en-US" w:eastAsia="zh-CN"/>
              </w:rPr>
              <w:t>275.02</w:t>
            </w:r>
          </w:p>
        </w:tc>
        <w:tc>
          <w:tcPr>
            <w:tcW w:w="12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仿宋" w:hAnsi="仿宋" w:cs="宋体"/>
                <w:color w:val="000000"/>
                <w:kern w:val="0"/>
                <w:sz w:val="18"/>
                <w:szCs w:val="18"/>
              </w:rPr>
            </w:pPr>
            <w:r>
              <w:rPr>
                <w:rFonts w:hint="eastAsia" w:ascii="仿宋" w:hAnsi="仿宋" w:cs="宋体"/>
                <w:color w:val="000000"/>
                <w:kern w:val="0"/>
                <w:sz w:val="18"/>
                <w:szCs w:val="18"/>
                <w:lang w:val="en-US" w:eastAsia="zh-CN"/>
              </w:rPr>
              <w:t>198.69%</w:t>
            </w:r>
          </w:p>
        </w:tc>
        <w:tc>
          <w:tcPr>
            <w:tcW w:w="103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仿宋" w:hAnsi="仿宋" w:cs="仿宋"/>
                <w:b/>
                <w:bCs/>
                <w:color w:val="000000"/>
                <w:kern w:val="0"/>
                <w:sz w:val="18"/>
                <w:szCs w:val="18"/>
              </w:rPr>
            </w:pPr>
          </w:p>
        </w:tc>
      </w:tr>
      <w:tr>
        <w:tblPrEx>
          <w:tblCellMar>
            <w:top w:w="0" w:type="dxa"/>
            <w:left w:w="108" w:type="dxa"/>
            <w:bottom w:w="0" w:type="dxa"/>
            <w:right w:w="108" w:type="dxa"/>
          </w:tblCellMar>
        </w:tblPrEx>
        <w:trPr>
          <w:trHeight w:val="399" w:hRule="atLeast"/>
        </w:trPr>
        <w:tc>
          <w:tcPr>
            <w:tcW w:w="2263"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cs="宋体"/>
                <w:b/>
                <w:bCs/>
                <w:color w:val="000000"/>
                <w:kern w:val="0"/>
                <w:sz w:val="18"/>
                <w:szCs w:val="18"/>
              </w:rPr>
            </w:pPr>
            <w:r>
              <w:rPr>
                <w:rFonts w:hint="eastAsia" w:ascii="仿宋" w:hAnsi="仿宋" w:cs="宋体"/>
                <w:b/>
                <w:bCs/>
                <w:color w:val="000000"/>
                <w:kern w:val="0"/>
                <w:sz w:val="18"/>
                <w:szCs w:val="18"/>
              </w:rPr>
              <w:t>合计</w:t>
            </w:r>
          </w:p>
        </w:tc>
        <w:tc>
          <w:tcPr>
            <w:tcW w:w="1198"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仿宋" w:hAnsi="仿宋" w:eastAsia="仿宋" w:cs="宋体"/>
                <w:b/>
                <w:bCs/>
                <w:color w:val="000000"/>
                <w:kern w:val="0"/>
                <w:sz w:val="18"/>
                <w:szCs w:val="18"/>
                <w:lang w:eastAsia="zh-CN"/>
              </w:rPr>
            </w:pPr>
            <w:r>
              <w:rPr>
                <w:rFonts w:hint="eastAsia" w:ascii="仿宋" w:hAnsi="仿宋" w:cs="宋体"/>
                <w:b/>
                <w:bCs/>
                <w:color w:val="000000"/>
                <w:kern w:val="0"/>
                <w:sz w:val="18"/>
                <w:szCs w:val="18"/>
                <w:lang w:eastAsia="zh-CN"/>
              </w:rPr>
              <w:t>138.42</w:t>
            </w:r>
          </w:p>
        </w:tc>
        <w:tc>
          <w:tcPr>
            <w:tcW w:w="13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仿宋" w:hAnsi="仿宋" w:eastAsia="仿宋" w:cs="宋体"/>
                <w:b/>
                <w:bCs/>
                <w:color w:val="000000"/>
                <w:kern w:val="0"/>
                <w:sz w:val="18"/>
                <w:szCs w:val="18"/>
                <w:lang w:val="en-US" w:eastAsia="zh-CN"/>
              </w:rPr>
            </w:pPr>
            <w:r>
              <w:rPr>
                <w:rFonts w:hint="eastAsia" w:ascii="仿宋" w:hAnsi="仿宋" w:cs="宋体"/>
                <w:b/>
                <w:bCs/>
                <w:color w:val="000000"/>
                <w:kern w:val="0"/>
                <w:sz w:val="18"/>
                <w:szCs w:val="18"/>
                <w:lang w:val="en-US" w:eastAsia="zh-CN"/>
              </w:rPr>
              <w:t>413.44</w:t>
            </w:r>
          </w:p>
        </w:tc>
        <w:tc>
          <w:tcPr>
            <w:tcW w:w="121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仿宋" w:hAnsi="仿宋" w:cs="宋体"/>
                <w:b/>
                <w:bCs/>
                <w:color w:val="000000"/>
                <w:kern w:val="0"/>
                <w:sz w:val="18"/>
                <w:szCs w:val="18"/>
                <w:lang w:val="en-US"/>
              </w:rPr>
            </w:pPr>
            <w:r>
              <w:rPr>
                <w:rFonts w:hint="eastAsia" w:ascii="仿宋" w:hAnsi="仿宋" w:cs="宋体"/>
                <w:b/>
                <w:bCs/>
                <w:color w:val="000000"/>
                <w:kern w:val="0"/>
                <w:sz w:val="18"/>
                <w:szCs w:val="18"/>
                <w:lang w:val="en-US" w:eastAsia="zh-CN"/>
              </w:rPr>
              <w:t>275.02</w:t>
            </w:r>
          </w:p>
        </w:tc>
        <w:tc>
          <w:tcPr>
            <w:tcW w:w="12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仿宋" w:hAnsi="仿宋" w:cs="宋体"/>
                <w:b/>
                <w:bCs/>
                <w:color w:val="000000"/>
                <w:kern w:val="0"/>
                <w:sz w:val="18"/>
                <w:szCs w:val="18"/>
                <w:lang w:val="en-US"/>
              </w:rPr>
            </w:pPr>
            <w:r>
              <w:rPr>
                <w:rFonts w:hint="eastAsia" w:ascii="仿宋" w:hAnsi="仿宋" w:cs="宋体"/>
                <w:b/>
                <w:bCs/>
                <w:color w:val="000000"/>
                <w:kern w:val="0"/>
                <w:sz w:val="18"/>
                <w:szCs w:val="18"/>
                <w:lang w:val="en-US" w:eastAsia="zh-CN"/>
              </w:rPr>
              <w:t>198.69%</w:t>
            </w:r>
          </w:p>
        </w:tc>
        <w:tc>
          <w:tcPr>
            <w:tcW w:w="1037"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仿宋" w:hAnsi="仿宋" w:cs="仿宋"/>
                <w:b/>
                <w:bCs/>
                <w:color w:val="000000"/>
                <w:kern w:val="0"/>
                <w:sz w:val="18"/>
                <w:szCs w:val="18"/>
              </w:rPr>
            </w:pPr>
          </w:p>
        </w:tc>
      </w:tr>
      <w:bookmarkEnd w:id="3"/>
    </w:tbl>
    <w:p>
      <w:pPr>
        <w:spacing w:line="600" w:lineRule="exact"/>
        <w:ind w:firstLine="643" w:firstLineChars="200"/>
        <w:outlineLvl w:val="2"/>
        <w:rPr>
          <w:rFonts w:ascii="楷体" w:hAnsi="楷体" w:eastAsia="楷体" w:cs="楷体"/>
          <w:b/>
          <w:bCs/>
          <w:szCs w:val="32"/>
        </w:rPr>
      </w:pPr>
      <w:r>
        <w:rPr>
          <w:rFonts w:hint="eastAsia" w:ascii="楷体" w:hAnsi="楷体" w:eastAsia="楷体" w:cs="楷体"/>
          <w:b/>
          <w:bCs/>
          <w:szCs w:val="32"/>
        </w:rPr>
        <w:t>3、项目资金管理情况分析</w:t>
      </w:r>
    </w:p>
    <w:p>
      <w:pPr>
        <w:spacing w:line="560" w:lineRule="exact"/>
        <w:ind w:firstLine="640" w:firstLineChars="200"/>
        <w:contextualSpacing/>
        <w:outlineLvl w:val="1"/>
        <w:rPr>
          <w:rFonts w:ascii="仿宋_GB2312" w:hAnsi="Times New Roman" w:eastAsia="仿宋_GB2312" w:cs="Times New Roman"/>
          <w:bCs/>
          <w:szCs w:val="32"/>
        </w:rPr>
      </w:pPr>
      <w:r>
        <w:rPr>
          <w:rFonts w:hint="eastAsia" w:ascii="楷体" w:hAnsi="楷体" w:eastAsia="楷体" w:cs="楷体"/>
          <w:bCs/>
          <w:szCs w:val="32"/>
        </w:rPr>
        <w:t>（1）项目资金使用情况。</w:t>
      </w:r>
      <w:r>
        <w:rPr>
          <w:rFonts w:hint="eastAsia" w:ascii="仿宋_GB2312" w:hAnsi="Times New Roman" w:eastAsia="仿宋_GB2312" w:cs="Times New Roman"/>
          <w:bCs/>
          <w:szCs w:val="32"/>
        </w:rPr>
        <w:t>为加强和规范财政专项资金管理，提高财政专项资金使用效益，有效发挥财政专项资金的导向和激励作用，</w:t>
      </w:r>
      <w:r>
        <w:rPr>
          <w:rFonts w:hint="eastAsia" w:ascii="仿宋_GB2312" w:hAnsi="Times New Roman" w:eastAsia="仿宋_GB2312" w:cs="Times New Roman"/>
          <w:bCs/>
          <w:szCs w:val="32"/>
          <w:lang w:val="en-US" w:eastAsia="zh-CN"/>
        </w:rPr>
        <w:t>我单位</w:t>
      </w:r>
      <w:r>
        <w:rPr>
          <w:rFonts w:hint="eastAsia" w:ascii="仿宋_GB2312" w:hAnsi="Times New Roman" w:eastAsia="仿宋_GB2312" w:cs="Times New Roman"/>
          <w:bCs/>
          <w:szCs w:val="32"/>
        </w:rPr>
        <w:t>结合单位实际，印发了</w:t>
      </w:r>
      <w:r>
        <w:rPr>
          <w:rFonts w:hint="eastAsia" w:ascii="仿宋_GB2312" w:hAnsi="Times New Roman" w:eastAsia="仿宋_GB2312" w:cs="Times New Roman"/>
          <w:bCs/>
          <w:szCs w:val="32"/>
          <w:lang w:eastAsia="zh-CN"/>
        </w:rPr>
        <w:t>《浏阳市统计局</w:t>
      </w:r>
      <w:r>
        <w:rPr>
          <w:rFonts w:hint="eastAsia" w:ascii="仿宋_GB2312" w:hAnsi="Times New Roman" w:eastAsia="仿宋_GB2312" w:cs="Times New Roman"/>
          <w:bCs/>
          <w:szCs w:val="32"/>
        </w:rPr>
        <w:t>财务管理制度</w:t>
      </w:r>
      <w:r>
        <w:rPr>
          <w:rFonts w:hint="eastAsia" w:ascii="仿宋_GB2312" w:hAnsi="Times New Roman" w:eastAsia="仿宋_GB2312" w:cs="Times New Roman"/>
          <w:bCs/>
          <w:szCs w:val="32"/>
          <w:lang w:eastAsia="zh-CN"/>
        </w:rPr>
        <w:t>》《浏阳市统计局</w:t>
      </w:r>
      <w:r>
        <w:rPr>
          <w:rFonts w:hint="eastAsia" w:ascii="仿宋_GB2312" w:hAnsi="Times New Roman" w:eastAsia="仿宋_GB2312" w:cs="Times New Roman"/>
          <w:bCs/>
          <w:szCs w:val="32"/>
        </w:rPr>
        <w:t>财政资金监管制度</w:t>
      </w:r>
      <w:r>
        <w:rPr>
          <w:rFonts w:hint="eastAsia" w:ascii="仿宋_GB2312" w:hAnsi="Times New Roman" w:eastAsia="仿宋_GB2312" w:cs="Times New Roman"/>
          <w:bCs/>
          <w:szCs w:val="32"/>
          <w:lang w:eastAsia="zh-CN"/>
        </w:rPr>
        <w:t>》《浏阳市统计局</w:t>
      </w:r>
      <w:r>
        <w:rPr>
          <w:rFonts w:hint="eastAsia" w:ascii="仿宋_GB2312" w:hAnsi="Times New Roman" w:eastAsia="仿宋_GB2312" w:cs="Times New Roman"/>
          <w:bCs/>
          <w:szCs w:val="32"/>
        </w:rPr>
        <w:t>资产管理制度</w:t>
      </w:r>
      <w:r>
        <w:rPr>
          <w:rFonts w:hint="eastAsia" w:ascii="仿宋_GB2312" w:hAnsi="Times New Roman" w:eastAsia="仿宋_GB2312" w:cs="Times New Roman"/>
          <w:bCs/>
          <w:szCs w:val="32"/>
          <w:lang w:eastAsia="zh-CN"/>
        </w:rPr>
        <w:t>》《浏阳市统计局</w:t>
      </w:r>
      <w:r>
        <w:rPr>
          <w:rFonts w:hint="eastAsia" w:ascii="仿宋_GB2312" w:hAnsi="Times New Roman" w:eastAsia="仿宋_GB2312" w:cs="Times New Roman"/>
          <w:bCs/>
          <w:szCs w:val="32"/>
        </w:rPr>
        <w:t>政府采购管理制度</w:t>
      </w:r>
      <w:r>
        <w:rPr>
          <w:rFonts w:hint="eastAsia" w:ascii="仿宋_GB2312" w:hAnsi="Times New Roman" w:eastAsia="仿宋_GB2312" w:cs="Times New Roman"/>
          <w:bCs/>
          <w:szCs w:val="32"/>
          <w:lang w:eastAsia="zh-CN"/>
        </w:rPr>
        <w:t>》《浏阳市统计局</w:t>
      </w:r>
      <w:r>
        <w:rPr>
          <w:rFonts w:hint="eastAsia" w:ascii="仿宋_GB2312" w:hAnsi="Times New Roman" w:eastAsia="仿宋_GB2312" w:cs="Times New Roman"/>
          <w:bCs/>
          <w:szCs w:val="32"/>
        </w:rPr>
        <w:t>债权债务管理制度</w:t>
      </w:r>
      <w:r>
        <w:rPr>
          <w:rFonts w:hint="eastAsia" w:ascii="仿宋_GB2312" w:hAnsi="Times New Roman" w:eastAsia="仿宋_GB2312" w:cs="Times New Roman"/>
          <w:bCs/>
          <w:szCs w:val="32"/>
          <w:lang w:eastAsia="zh-CN"/>
        </w:rPr>
        <w:t>》《浏阳市统计局</w:t>
      </w:r>
      <w:r>
        <w:rPr>
          <w:rFonts w:hint="eastAsia" w:ascii="仿宋_GB2312" w:hAnsi="Times New Roman" w:eastAsia="仿宋_GB2312" w:cs="Times New Roman"/>
          <w:bCs/>
          <w:szCs w:val="32"/>
        </w:rPr>
        <w:t>档案管理制度</w:t>
      </w:r>
      <w:r>
        <w:rPr>
          <w:rFonts w:hint="eastAsia" w:ascii="仿宋_GB2312" w:hAnsi="Times New Roman" w:eastAsia="仿宋_GB2312" w:cs="Times New Roman"/>
          <w:bCs/>
          <w:szCs w:val="32"/>
          <w:lang w:eastAsia="zh-CN"/>
        </w:rPr>
        <w:t>》《浏阳市统计局</w:t>
      </w:r>
      <w:r>
        <w:rPr>
          <w:rFonts w:hint="eastAsia" w:ascii="仿宋_GB2312" w:hAnsi="Times New Roman" w:eastAsia="仿宋_GB2312" w:cs="Times New Roman"/>
          <w:bCs/>
          <w:szCs w:val="32"/>
        </w:rPr>
        <w:t>专项资金管理制度</w:t>
      </w:r>
      <w:r>
        <w:rPr>
          <w:rFonts w:hint="eastAsia" w:ascii="仿宋_GB2312" w:hAnsi="Times New Roman" w:eastAsia="仿宋_GB2312" w:cs="Times New Roman"/>
          <w:bCs/>
          <w:szCs w:val="32"/>
          <w:u w:val="none"/>
          <w:lang w:eastAsia="zh-CN"/>
        </w:rPr>
        <w:t>》</w:t>
      </w:r>
      <w:r>
        <w:rPr>
          <w:rFonts w:hint="eastAsia" w:ascii="仿宋_GB2312" w:hAnsi="Times New Roman" w:eastAsia="仿宋_GB2312" w:cs="Times New Roman"/>
          <w:bCs/>
          <w:szCs w:val="32"/>
          <w:u w:val="none"/>
          <w:lang w:val="en-US" w:eastAsia="zh-CN"/>
        </w:rPr>
        <w:t>等</w:t>
      </w:r>
      <w:r>
        <w:rPr>
          <w:rFonts w:hint="eastAsia" w:ascii="仿宋_GB2312" w:hAnsi="Times New Roman" w:eastAsia="仿宋_GB2312" w:cs="Times New Roman"/>
          <w:bCs/>
          <w:szCs w:val="32"/>
        </w:rPr>
        <w:t>，以及各专项资金管理办法等相关规定，对项目资金进行管理。</w:t>
      </w:r>
    </w:p>
    <w:p>
      <w:pPr>
        <w:spacing w:line="600" w:lineRule="exact"/>
        <w:ind w:firstLine="640" w:firstLineChars="200"/>
        <w:contextualSpacing/>
        <w:outlineLvl w:val="1"/>
        <w:rPr>
          <w:rFonts w:ascii="仿宋_GB2312" w:hAnsi="Times New Roman" w:eastAsia="仿宋_GB2312" w:cs="Times New Roman"/>
          <w:bCs/>
          <w:szCs w:val="32"/>
        </w:rPr>
      </w:pPr>
      <w:r>
        <w:rPr>
          <w:rFonts w:hint="eastAsia" w:ascii="楷体" w:hAnsi="楷体" w:eastAsia="楷体" w:cs="楷体"/>
          <w:bCs/>
          <w:szCs w:val="32"/>
        </w:rPr>
        <w:t>（2）项目管理情况。</w:t>
      </w:r>
      <w:r>
        <w:rPr>
          <w:rFonts w:hint="eastAsia" w:ascii="Times New Roman" w:hAnsi="Times New Roman" w:eastAsia="仿宋_GB2312" w:cs="Times New Roman"/>
          <w:szCs w:val="32"/>
          <w:lang w:eastAsia="zh-CN"/>
        </w:rPr>
        <w:t>统计局</w:t>
      </w:r>
      <w:r>
        <w:rPr>
          <w:rFonts w:hint="eastAsia" w:ascii="仿宋_GB2312" w:hAnsi="Times New Roman" w:eastAsia="仿宋_GB2312"/>
          <w:bCs/>
          <w:szCs w:val="32"/>
        </w:rPr>
        <w:t>制定了项目管理相关制度，包括会议制度、合同制度、财务管理制度、廉洁自律制度等。在项目实施过程中，工作人员能严格执行制度的相关规定，派专人负责督查，确保建设任务按时高效完成。</w:t>
      </w:r>
    </w:p>
    <w:p>
      <w:pPr>
        <w:numPr>
          <w:ilvl w:val="255"/>
          <w:numId w:val="0"/>
        </w:numPr>
        <w:spacing w:before="144" w:beforeLines="25" w:line="560" w:lineRule="exact"/>
        <w:ind w:firstLine="643" w:firstLineChars="200"/>
        <w:outlineLvl w:val="0"/>
        <w:rPr>
          <w:rFonts w:ascii="楷体" w:hAnsi="楷体" w:eastAsia="楷体" w:cs="楷体"/>
          <w:b/>
          <w:bCs/>
          <w:szCs w:val="32"/>
        </w:rPr>
      </w:pPr>
      <w:r>
        <w:rPr>
          <w:rFonts w:hint="eastAsia" w:ascii="楷体" w:hAnsi="楷体" w:eastAsia="楷体" w:cs="楷体"/>
          <w:b/>
          <w:bCs/>
          <w:szCs w:val="32"/>
        </w:rPr>
        <w:t>三、项目组织实施情况</w:t>
      </w:r>
    </w:p>
    <w:p>
      <w:pPr>
        <w:spacing w:line="560" w:lineRule="exact"/>
        <w:ind w:firstLine="643" w:firstLineChars="200"/>
        <w:outlineLvl w:val="1"/>
        <w:rPr>
          <w:rFonts w:ascii="楷体" w:hAnsi="楷体" w:eastAsia="楷体" w:cs="楷体"/>
          <w:b/>
          <w:bCs/>
          <w:szCs w:val="32"/>
          <w:highlight w:val="none"/>
        </w:rPr>
      </w:pPr>
      <w:r>
        <w:rPr>
          <w:rFonts w:hint="eastAsia" w:ascii="楷体" w:hAnsi="楷体" w:eastAsia="楷体" w:cs="楷体"/>
          <w:b/>
          <w:bCs/>
          <w:szCs w:val="32"/>
          <w:highlight w:val="none"/>
        </w:rPr>
        <w:t>1、项目组织情况分析</w:t>
      </w:r>
    </w:p>
    <w:p>
      <w:pPr>
        <w:spacing w:line="560" w:lineRule="exact"/>
        <w:ind w:firstLine="640" w:firstLineChars="200"/>
        <w:contextualSpacing/>
        <w:outlineLvl w:val="1"/>
        <w:rPr>
          <w:rFonts w:hint="default" w:ascii="仿宋_GB2312" w:hAnsi="Times New Roman" w:eastAsia="仿宋_GB2312" w:cs="Times New Roman"/>
          <w:bCs/>
          <w:color w:val="auto"/>
          <w:szCs w:val="32"/>
          <w:highlight w:val="none"/>
          <w:lang w:val="en-US" w:eastAsia="zh-CN"/>
        </w:rPr>
      </w:pPr>
      <w:r>
        <w:rPr>
          <w:rFonts w:hint="eastAsia" w:ascii="Times New Roman" w:hAnsi="Times New Roman" w:eastAsia="仿宋_GB2312" w:cs="Times New Roman"/>
          <w:szCs w:val="32"/>
          <w:highlight w:val="none"/>
          <w:lang w:val="en-US" w:eastAsia="zh-CN"/>
        </w:rPr>
        <w:t>2022年，统计局项目采购及实施严格按照《湖南省财政厅关于印发&lt;湖南省政府采购电子卖场管理办法&gt;的通知》（湘财购</w:t>
      </w:r>
      <w:r>
        <w:rPr>
          <w:rFonts w:hint="eastAsia" w:ascii="仿宋" w:hAnsi="仿宋" w:eastAsia="仿宋" w:cs="仿宋"/>
          <w:szCs w:val="32"/>
          <w:highlight w:val="none"/>
          <w:lang w:val="en-US" w:eastAsia="zh-CN"/>
        </w:rPr>
        <w:t>〔</w:t>
      </w:r>
      <w:r>
        <w:rPr>
          <w:rFonts w:hint="eastAsia" w:ascii="仿宋" w:hAnsi="仿宋" w:cs="仿宋"/>
          <w:szCs w:val="32"/>
          <w:highlight w:val="none"/>
          <w:lang w:val="en-US" w:eastAsia="zh-CN"/>
        </w:rPr>
        <w:t>2019</w:t>
      </w:r>
      <w:r>
        <w:rPr>
          <w:rFonts w:hint="eastAsia" w:ascii="仿宋" w:hAnsi="仿宋" w:eastAsia="仿宋" w:cs="仿宋"/>
          <w:szCs w:val="32"/>
          <w:highlight w:val="none"/>
          <w:lang w:val="en-US" w:eastAsia="zh-CN"/>
        </w:rPr>
        <w:t>〕</w:t>
      </w:r>
      <w:r>
        <w:rPr>
          <w:rFonts w:hint="eastAsia" w:ascii="仿宋" w:hAnsi="仿宋" w:cs="仿宋"/>
          <w:szCs w:val="32"/>
          <w:highlight w:val="none"/>
          <w:lang w:val="en-US" w:eastAsia="zh-CN"/>
        </w:rPr>
        <w:t>27号</w:t>
      </w:r>
      <w:r>
        <w:rPr>
          <w:rFonts w:hint="eastAsia" w:ascii="Times New Roman" w:hAnsi="Times New Roman" w:eastAsia="仿宋_GB2312" w:cs="Times New Roman"/>
          <w:szCs w:val="32"/>
          <w:highlight w:val="none"/>
          <w:lang w:val="en-US" w:eastAsia="zh-CN"/>
        </w:rPr>
        <w:t>）、《湖南省财政厅关于进一步加强政府采购需求管理的通知》（湘财购</w:t>
      </w:r>
      <w:r>
        <w:rPr>
          <w:rFonts w:hint="eastAsia" w:ascii="仿宋" w:hAnsi="仿宋" w:eastAsia="仿宋" w:cs="仿宋"/>
          <w:szCs w:val="32"/>
          <w:highlight w:val="none"/>
          <w:lang w:val="en-US" w:eastAsia="zh-CN"/>
        </w:rPr>
        <w:t>〔</w:t>
      </w:r>
      <w:r>
        <w:rPr>
          <w:rFonts w:hint="eastAsia" w:ascii="仿宋" w:hAnsi="仿宋" w:cs="仿宋"/>
          <w:szCs w:val="32"/>
          <w:highlight w:val="none"/>
          <w:lang w:val="en-US" w:eastAsia="zh-CN"/>
        </w:rPr>
        <w:t>2022</w:t>
      </w:r>
      <w:r>
        <w:rPr>
          <w:rFonts w:hint="eastAsia" w:ascii="仿宋" w:hAnsi="仿宋" w:eastAsia="仿宋" w:cs="仿宋"/>
          <w:szCs w:val="32"/>
          <w:highlight w:val="none"/>
          <w:lang w:val="en-US" w:eastAsia="zh-CN"/>
        </w:rPr>
        <w:t>〕</w:t>
      </w:r>
      <w:r>
        <w:rPr>
          <w:rFonts w:hint="eastAsia" w:ascii="仿宋" w:hAnsi="仿宋" w:cs="仿宋"/>
          <w:szCs w:val="32"/>
          <w:highlight w:val="none"/>
          <w:lang w:val="en-US" w:eastAsia="zh-CN"/>
        </w:rPr>
        <w:t>35号</w:t>
      </w:r>
      <w:r>
        <w:rPr>
          <w:rFonts w:hint="eastAsia" w:ascii="Times New Roman" w:hAnsi="Times New Roman" w:eastAsia="仿宋_GB2312" w:cs="Times New Roman"/>
          <w:szCs w:val="32"/>
          <w:highlight w:val="none"/>
          <w:lang w:val="en-US" w:eastAsia="zh-CN"/>
        </w:rPr>
        <w:t>）以及《长沙市人民政府办公厅关于印发2022-2023年度政府集中采购目录及政府采购限额标准的通知》（长政办函</w:t>
      </w:r>
      <w:r>
        <w:rPr>
          <w:rFonts w:hint="eastAsia" w:ascii="仿宋" w:hAnsi="仿宋" w:eastAsia="仿宋" w:cs="仿宋"/>
          <w:szCs w:val="32"/>
          <w:highlight w:val="none"/>
          <w:lang w:val="en-US" w:eastAsia="zh-CN"/>
        </w:rPr>
        <w:t>〔</w:t>
      </w:r>
      <w:r>
        <w:rPr>
          <w:rFonts w:hint="eastAsia" w:ascii="仿宋" w:hAnsi="仿宋" w:cs="仿宋"/>
          <w:szCs w:val="32"/>
          <w:highlight w:val="none"/>
          <w:lang w:val="en-US" w:eastAsia="zh-CN"/>
        </w:rPr>
        <w:t>2021</w:t>
      </w:r>
      <w:r>
        <w:rPr>
          <w:rFonts w:hint="eastAsia" w:ascii="仿宋" w:hAnsi="仿宋" w:eastAsia="仿宋" w:cs="仿宋"/>
          <w:szCs w:val="32"/>
          <w:highlight w:val="none"/>
          <w:lang w:val="en-US" w:eastAsia="zh-CN"/>
        </w:rPr>
        <w:t>〕</w:t>
      </w:r>
      <w:r>
        <w:rPr>
          <w:rFonts w:hint="eastAsia" w:ascii="仿宋" w:hAnsi="仿宋" w:cs="仿宋"/>
          <w:szCs w:val="32"/>
          <w:highlight w:val="none"/>
          <w:lang w:val="en-US" w:eastAsia="zh-CN"/>
        </w:rPr>
        <w:t>60号</w:t>
      </w:r>
      <w:r>
        <w:rPr>
          <w:rFonts w:hint="eastAsia" w:ascii="Times New Roman" w:hAnsi="Times New Roman" w:eastAsia="仿宋_GB2312" w:cs="Times New Roman"/>
          <w:szCs w:val="32"/>
          <w:highlight w:val="none"/>
          <w:lang w:val="en-US" w:eastAsia="zh-CN"/>
        </w:rPr>
        <w:t>）等规定执行，项目支出均遵循先预算、再审批、后支出的原则，凡属于政府集中采购目录内的商品、服务全部通过省电子卖场进行采购，确保了财政资金使用和财政审批程序合法、保证了项目资金的合理使用。</w:t>
      </w:r>
      <w:r>
        <w:rPr>
          <w:rFonts w:hint="eastAsia" w:ascii="Times New Roman" w:hAnsi="Times New Roman" w:eastAsia="仿宋_GB2312" w:cs="仿宋_GB2312"/>
          <w:kern w:val="0"/>
          <w:szCs w:val="32"/>
          <w:shd w:val="clear" w:color="auto" w:fill="FFFFFF"/>
          <w:lang w:bidi="ar"/>
        </w:rPr>
        <w:t>为规范政府采购活动，提高采购效率，有效节约财政资金，</w:t>
      </w:r>
      <w:r>
        <w:rPr>
          <w:rFonts w:hint="eastAsia" w:ascii="Times New Roman" w:hAnsi="Times New Roman" w:eastAsia="仿宋_GB2312" w:cs="仿宋_GB2312"/>
          <w:kern w:val="0"/>
          <w:szCs w:val="32"/>
          <w:highlight w:val="none"/>
          <w:shd w:val="clear" w:color="auto" w:fill="FFFFFF"/>
          <w:lang w:eastAsia="zh-CN" w:bidi="ar"/>
        </w:rPr>
        <w:t>全年采购办公用品等货物共计</w:t>
      </w:r>
      <w:r>
        <w:rPr>
          <w:rFonts w:hint="eastAsia" w:ascii="Times New Roman" w:hAnsi="Times New Roman" w:eastAsia="仿宋_GB2312" w:cs="仿宋_GB2312"/>
          <w:kern w:val="0"/>
          <w:szCs w:val="32"/>
          <w:highlight w:val="none"/>
          <w:shd w:val="clear" w:color="auto" w:fill="FFFFFF"/>
          <w:lang w:val="en-US" w:eastAsia="zh-CN" w:bidi="ar"/>
        </w:rPr>
        <w:t>8.08万元，均通过电子卖场进行。</w:t>
      </w:r>
    </w:p>
    <w:p>
      <w:pPr>
        <w:spacing w:line="560" w:lineRule="exact"/>
        <w:ind w:firstLine="643" w:firstLineChars="200"/>
        <w:outlineLvl w:val="1"/>
        <w:rPr>
          <w:rFonts w:ascii="楷体" w:hAnsi="楷体" w:eastAsia="楷体" w:cs="楷体"/>
          <w:b/>
          <w:bCs/>
          <w:szCs w:val="32"/>
        </w:rPr>
      </w:pPr>
      <w:r>
        <w:rPr>
          <w:rFonts w:hint="eastAsia" w:ascii="楷体" w:hAnsi="楷体" w:eastAsia="楷体" w:cs="楷体"/>
          <w:b/>
          <w:bCs/>
          <w:szCs w:val="32"/>
        </w:rPr>
        <w:t>2、项目管理情况分析</w:t>
      </w:r>
    </w:p>
    <w:p>
      <w:pPr>
        <w:numPr>
          <w:ilvl w:val="255"/>
          <w:numId w:val="0"/>
        </w:numPr>
        <w:spacing w:line="56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为加强</w:t>
      </w:r>
      <w:r>
        <w:rPr>
          <w:rFonts w:hint="eastAsia" w:ascii="Times New Roman" w:hAnsi="Times New Roman" w:eastAsia="仿宋_GB2312" w:cs="Times New Roman"/>
          <w:szCs w:val="32"/>
          <w:lang w:val="en-US" w:eastAsia="zh-CN"/>
        </w:rPr>
        <w:t>统计局</w:t>
      </w:r>
      <w:r>
        <w:rPr>
          <w:rFonts w:hint="eastAsia" w:ascii="Times New Roman" w:hAnsi="Times New Roman" w:eastAsia="仿宋_GB2312" w:cs="Times New Roman"/>
          <w:szCs w:val="32"/>
        </w:rPr>
        <w:t>项目管理，提高内部控制管理水平，</w:t>
      </w:r>
      <w:r>
        <w:rPr>
          <w:rFonts w:hint="eastAsia" w:ascii="Times New Roman" w:hAnsi="Times New Roman" w:eastAsia="仿宋_GB2312" w:cs="Times New Roman"/>
          <w:szCs w:val="32"/>
          <w:lang w:val="en-US" w:eastAsia="zh-CN"/>
        </w:rPr>
        <w:t>统计局</w:t>
      </w:r>
      <w:r>
        <w:rPr>
          <w:rFonts w:hint="eastAsia" w:ascii="Times New Roman" w:hAnsi="Times New Roman" w:eastAsia="仿宋_GB2312" w:cs="Times New Roman"/>
          <w:szCs w:val="32"/>
        </w:rPr>
        <w:t>制定了《政府投资建设项目管理办法》《</w:t>
      </w:r>
      <w:r>
        <w:rPr>
          <w:rFonts w:hint="eastAsia" w:ascii="Times New Roman" w:hAnsi="Times New Roman" w:eastAsia="仿宋_GB2312" w:cs="Times New Roman"/>
          <w:szCs w:val="32"/>
          <w:lang w:eastAsia="zh-CN"/>
        </w:rPr>
        <w:t>浏阳市统计局</w:t>
      </w:r>
      <w:r>
        <w:rPr>
          <w:rFonts w:hint="eastAsia" w:ascii="Times New Roman" w:hAnsi="Times New Roman" w:eastAsia="仿宋_GB2312" w:cs="Times New Roman"/>
          <w:szCs w:val="32"/>
        </w:rPr>
        <w:t>资金管理及财务审批制度》《</w:t>
      </w:r>
      <w:r>
        <w:rPr>
          <w:rFonts w:hint="eastAsia" w:ascii="仿宋_GB2312" w:hAnsi="Times New Roman" w:eastAsia="仿宋_GB2312" w:cs="Times New Roman"/>
          <w:bCs/>
          <w:szCs w:val="32"/>
          <w:lang w:eastAsia="zh-CN"/>
        </w:rPr>
        <w:t>浏阳市统计局</w:t>
      </w:r>
      <w:r>
        <w:rPr>
          <w:rFonts w:hint="eastAsia" w:ascii="Times New Roman" w:hAnsi="Times New Roman" w:eastAsia="仿宋_GB2312" w:cs="Times New Roman"/>
          <w:szCs w:val="32"/>
        </w:rPr>
        <w:t xml:space="preserve">“三重一大”决策制度实施办法》等相关制度，项目财务管理严格按照相关法律法规、财经纪律、财务规章制度和预（决）算、政府采购、国库集中支付、专项资金等管理办法和操作规程执行。项目资金的支付符合国家财经法规和财务管理制度规定，项目资金拨付有完整的审批程序和手续，符合部门预算批复的用途并按规定内容予以公开。 </w:t>
      </w:r>
    </w:p>
    <w:p>
      <w:pPr>
        <w:numPr>
          <w:ilvl w:val="255"/>
          <w:numId w:val="0"/>
        </w:numPr>
        <w:spacing w:before="144" w:beforeLines="25" w:line="560" w:lineRule="exact"/>
        <w:ind w:firstLine="643" w:firstLineChars="200"/>
        <w:outlineLvl w:val="0"/>
        <w:rPr>
          <w:rFonts w:ascii="楷体" w:hAnsi="楷体" w:eastAsia="楷体" w:cs="楷体"/>
          <w:b/>
          <w:bCs/>
          <w:szCs w:val="32"/>
        </w:rPr>
      </w:pPr>
      <w:r>
        <w:rPr>
          <w:rFonts w:hint="eastAsia" w:ascii="楷体" w:hAnsi="楷体" w:eastAsia="楷体" w:cs="楷体"/>
          <w:b/>
          <w:bCs/>
          <w:szCs w:val="32"/>
        </w:rPr>
        <w:t xml:space="preserve">四、资产管理情况 </w:t>
      </w:r>
    </w:p>
    <w:p>
      <w:pPr>
        <w:spacing w:line="560" w:lineRule="exact"/>
        <w:ind w:firstLine="643" w:firstLineChars="200"/>
        <w:outlineLvl w:val="1"/>
        <w:rPr>
          <w:rFonts w:hint="eastAsia" w:ascii="楷体" w:hAnsi="楷体" w:eastAsia="楷体" w:cs="楷体"/>
          <w:b/>
          <w:bCs/>
          <w:szCs w:val="32"/>
        </w:rPr>
      </w:pPr>
      <w:r>
        <w:rPr>
          <w:rFonts w:hint="eastAsia" w:ascii="楷体" w:hAnsi="楷体" w:eastAsia="楷体" w:cs="楷体"/>
          <w:b/>
          <w:bCs/>
          <w:szCs w:val="32"/>
        </w:rPr>
        <w:t>（一）制度建设情况</w:t>
      </w:r>
    </w:p>
    <w:p>
      <w:pPr>
        <w:spacing w:line="560" w:lineRule="exact"/>
        <w:ind w:firstLine="640" w:firstLineChars="200"/>
        <w:outlineLvl w:val="2"/>
        <w:rPr>
          <w:rFonts w:hint="eastAsia" w:ascii="Times New Roman" w:hAnsi="Times New Roman" w:eastAsia="仿宋_GB2312" w:cs="Times New Roman"/>
          <w:szCs w:val="32"/>
        </w:rPr>
      </w:pPr>
      <w:r>
        <w:rPr>
          <w:rFonts w:hint="eastAsia" w:ascii="Times New Roman" w:hAnsi="Times New Roman" w:eastAsia="仿宋_GB2312" w:cs="Times New Roman"/>
          <w:szCs w:val="32"/>
        </w:rPr>
        <w:t>为规范</w:t>
      </w:r>
      <w:r>
        <w:rPr>
          <w:rFonts w:hint="eastAsia" w:ascii="Times New Roman" w:hAnsi="Times New Roman" w:eastAsia="仿宋_GB2312" w:cs="Times New Roman"/>
          <w:szCs w:val="32"/>
          <w:lang w:eastAsia="zh-CN"/>
        </w:rPr>
        <w:t>统计局</w:t>
      </w:r>
      <w:r>
        <w:rPr>
          <w:rFonts w:hint="eastAsia" w:ascii="Times New Roman" w:hAnsi="Times New Roman" w:eastAsia="仿宋_GB2312" w:cs="Times New Roman"/>
          <w:szCs w:val="32"/>
        </w:rPr>
        <w:t>资产管理，有效配置资源，提高资产的使用效益，保证资产的安全完整，促进各项事业健康发展，</w:t>
      </w:r>
      <w:r>
        <w:rPr>
          <w:rFonts w:hint="eastAsia" w:ascii="Times New Roman" w:hAnsi="Times New Roman" w:eastAsia="仿宋_GB2312" w:cs="Times New Roman"/>
          <w:szCs w:val="32"/>
          <w:lang w:eastAsia="zh-CN"/>
        </w:rPr>
        <w:t>统计局</w:t>
      </w:r>
      <w:r>
        <w:rPr>
          <w:rFonts w:hint="eastAsia" w:ascii="Times New Roman" w:hAnsi="Times New Roman" w:eastAsia="仿宋_GB2312" w:cs="Times New Roman"/>
          <w:szCs w:val="32"/>
        </w:rPr>
        <w:t>制定了《固定资产管理制度》并建立了规范的固定资产台账，对资产实行分类编号管理并张贴标签，定期进行资产盘点，及时记录、更新资产异动情况，确保账实相符、账卡相符。</w:t>
      </w:r>
    </w:p>
    <w:p>
      <w:pPr>
        <w:spacing w:line="560" w:lineRule="exact"/>
        <w:ind w:firstLine="643" w:firstLineChars="200"/>
        <w:outlineLvl w:val="1"/>
        <w:rPr>
          <w:rFonts w:hint="default" w:ascii="楷体" w:hAnsi="楷体" w:eastAsia="楷体" w:cs="楷体"/>
          <w:b/>
          <w:bCs/>
          <w:szCs w:val="32"/>
          <w:lang w:val="en-US" w:eastAsia="zh-CN"/>
        </w:rPr>
      </w:pPr>
      <w:r>
        <w:rPr>
          <w:rFonts w:hint="eastAsia" w:ascii="楷体" w:hAnsi="楷体" w:eastAsia="楷体" w:cs="楷体"/>
          <w:b/>
          <w:bCs/>
          <w:szCs w:val="32"/>
        </w:rPr>
        <w:t>（</w:t>
      </w:r>
      <w:r>
        <w:rPr>
          <w:rFonts w:hint="eastAsia" w:ascii="楷体" w:hAnsi="楷体" w:eastAsia="楷体" w:cs="楷体"/>
          <w:b/>
          <w:bCs/>
          <w:szCs w:val="32"/>
          <w:lang w:val="en-US" w:eastAsia="zh-CN"/>
        </w:rPr>
        <w:t>二</w:t>
      </w:r>
      <w:r>
        <w:rPr>
          <w:rFonts w:hint="eastAsia" w:ascii="楷体" w:hAnsi="楷体" w:eastAsia="楷体" w:cs="楷体"/>
          <w:b/>
          <w:bCs/>
          <w:szCs w:val="32"/>
        </w:rPr>
        <w:t>）制度</w:t>
      </w:r>
      <w:r>
        <w:rPr>
          <w:rFonts w:hint="eastAsia" w:ascii="楷体" w:hAnsi="楷体" w:eastAsia="楷体" w:cs="楷体"/>
          <w:b/>
          <w:bCs/>
          <w:szCs w:val="32"/>
          <w:lang w:val="en-US" w:eastAsia="zh-CN"/>
        </w:rPr>
        <w:t>管理措施</w:t>
      </w:r>
    </w:p>
    <w:p>
      <w:pPr>
        <w:spacing w:line="560" w:lineRule="exact"/>
        <w:ind w:firstLine="640" w:firstLineChars="200"/>
        <w:outlineLvl w:val="2"/>
        <w:rPr>
          <w:rFonts w:ascii="Times New Roman" w:hAnsi="Times New Roman" w:eastAsia="仿宋_GB2312" w:cs="Times New Roman"/>
          <w:szCs w:val="32"/>
        </w:rPr>
      </w:pPr>
      <w:r>
        <w:rPr>
          <w:rFonts w:hint="eastAsia" w:ascii="Times New Roman" w:hAnsi="Times New Roman" w:eastAsia="仿宋_GB2312" w:cs="Times New Roman"/>
          <w:szCs w:val="32"/>
          <w:lang w:val="en-US" w:eastAsia="zh-CN"/>
        </w:rPr>
        <w:t>统计局</w:t>
      </w:r>
      <w:r>
        <w:rPr>
          <w:rFonts w:hint="eastAsia" w:ascii="Times New Roman" w:hAnsi="Times New Roman" w:eastAsia="仿宋_GB2312" w:cs="Times New Roman"/>
          <w:szCs w:val="32"/>
        </w:rPr>
        <w:t>资产管理严格按照《长沙市市级行政事业单位国有资产使用管理规定》（长财资产〔2019〕75号）执行，资产的购置、验收、入账、领用均按严格管理制度执行，落实相关资产管理人员和使用人员的职责。在资产处置方面，按照《行政事业单位国有资产管理实施办法》的规定，履行相应的审批手续，无私自违规处置资产的现象。</w:t>
      </w:r>
    </w:p>
    <w:p>
      <w:pPr>
        <w:spacing w:line="560" w:lineRule="exact"/>
        <w:ind w:firstLine="643" w:firstLineChars="200"/>
        <w:outlineLvl w:val="1"/>
        <w:rPr>
          <w:rFonts w:hint="default" w:ascii="楷体" w:hAnsi="楷体" w:eastAsia="楷体" w:cs="楷体"/>
          <w:b/>
          <w:bCs/>
          <w:szCs w:val="32"/>
          <w:lang w:val="en-US" w:eastAsia="zh-CN"/>
        </w:rPr>
      </w:pPr>
      <w:r>
        <w:rPr>
          <w:rFonts w:hint="eastAsia" w:ascii="楷体" w:hAnsi="楷体" w:eastAsia="楷体" w:cs="楷体"/>
          <w:b/>
          <w:bCs/>
          <w:szCs w:val="32"/>
        </w:rPr>
        <w:t>（</w:t>
      </w:r>
      <w:r>
        <w:rPr>
          <w:rFonts w:hint="eastAsia" w:ascii="楷体" w:hAnsi="楷体" w:eastAsia="楷体" w:cs="楷体"/>
          <w:b/>
          <w:bCs/>
          <w:szCs w:val="32"/>
          <w:lang w:val="en-US" w:eastAsia="zh-CN"/>
        </w:rPr>
        <w:t>三</w:t>
      </w:r>
      <w:r>
        <w:rPr>
          <w:rFonts w:hint="eastAsia" w:ascii="楷体" w:hAnsi="楷体" w:eastAsia="楷体" w:cs="楷体"/>
          <w:b/>
          <w:bCs/>
          <w:szCs w:val="32"/>
        </w:rPr>
        <w:t>）</w:t>
      </w:r>
      <w:r>
        <w:rPr>
          <w:rFonts w:hint="eastAsia" w:ascii="楷体" w:hAnsi="楷体" w:eastAsia="楷体" w:cs="楷体"/>
          <w:b/>
          <w:bCs/>
          <w:szCs w:val="32"/>
          <w:lang w:val="en-US" w:eastAsia="zh-CN"/>
        </w:rPr>
        <w:t>资产配置及处置情况</w:t>
      </w:r>
    </w:p>
    <w:p>
      <w:pPr>
        <w:spacing w:line="560" w:lineRule="exact"/>
        <w:ind w:firstLine="640" w:firstLineChars="200"/>
        <w:outlineLvl w:val="2"/>
        <w:rPr>
          <w:rFonts w:hint="eastAsia" w:ascii="Times New Roman" w:hAnsi="Times New Roman" w:eastAsia="仿宋_GB2312" w:cs="Times New Roman"/>
          <w:szCs w:val="32"/>
          <w:lang w:val="en-US" w:eastAsia="zh-CN"/>
        </w:rPr>
      </w:pPr>
      <w:r>
        <w:rPr>
          <w:rFonts w:hint="eastAsia" w:ascii="Times New Roman" w:hAnsi="Times New Roman" w:eastAsia="仿宋_GB2312" w:cs="Times New Roman"/>
          <w:szCs w:val="32"/>
          <w:lang w:val="en-US" w:eastAsia="zh-CN"/>
        </w:rPr>
        <w:t>统计局资产配置严格执行《长沙市市级行政事业单位国有资产配置管理规定》（长财资产〔2018〕32号）、《长沙市市级行政事业单位通用资产配置标准》（长财资产〔2018〕33号）及《浏阳市行政事业单位通用资产配置标准》（浏财函〔2018〕113号）等相关文件规定。所有固定资产均纳入资产管理信息系统管理，每年在资产信息系统中与预算同步申报下一年度的资产配置计划。</w:t>
      </w:r>
    </w:p>
    <w:p>
      <w:pPr>
        <w:spacing w:line="560" w:lineRule="exact"/>
        <w:ind w:firstLine="640" w:firstLineChars="200"/>
        <w:outlineLvl w:val="2"/>
        <w:rPr>
          <w:highlight w:val="none"/>
        </w:rPr>
      </w:pPr>
      <w:r>
        <w:rPr>
          <w:rFonts w:hint="eastAsia" w:ascii="楷体" w:hAnsi="楷体" w:eastAsia="楷体" w:cs="楷体"/>
          <w:szCs w:val="32"/>
          <w:lang w:val="en-US" w:eastAsia="zh-CN"/>
        </w:rPr>
        <w:t>1、资产配置。</w:t>
      </w:r>
      <w:r>
        <w:rPr>
          <w:rFonts w:hint="eastAsia" w:ascii="Times New Roman" w:hAnsi="Times New Roman" w:eastAsia="仿宋_GB2312" w:cs="Times New Roman"/>
          <w:szCs w:val="32"/>
        </w:rPr>
        <w:t>截至2022年12月31日单位资产合计数</w:t>
      </w:r>
      <w:r>
        <w:rPr>
          <w:rFonts w:hint="eastAsia" w:ascii="Times New Roman" w:hAnsi="Times New Roman" w:eastAsia="仿宋_GB2312" w:cs="Times New Roman"/>
          <w:szCs w:val="32"/>
          <w:lang w:eastAsia="zh-CN"/>
        </w:rPr>
        <w:t>279.56</w:t>
      </w:r>
      <w:r>
        <w:rPr>
          <w:rFonts w:hint="eastAsia" w:ascii="Times New Roman" w:hAnsi="Times New Roman" w:eastAsia="仿宋_GB2312" w:cs="Times New Roman"/>
          <w:szCs w:val="32"/>
        </w:rPr>
        <w:t>万元，其中固定资产原值</w:t>
      </w:r>
      <w:r>
        <w:rPr>
          <w:rFonts w:hint="eastAsia" w:ascii="Times New Roman" w:hAnsi="Times New Roman" w:eastAsia="仿宋_GB2312" w:cs="Times New Roman"/>
          <w:szCs w:val="32"/>
          <w:lang w:eastAsia="zh-CN"/>
        </w:rPr>
        <w:t>279.56</w:t>
      </w:r>
      <w:r>
        <w:rPr>
          <w:rFonts w:hint="eastAsia" w:ascii="Times New Roman" w:hAnsi="Times New Roman" w:eastAsia="仿宋_GB2312" w:cs="Times New Roman"/>
          <w:szCs w:val="32"/>
        </w:rPr>
        <w:t>万元，固定资产累计折旧</w:t>
      </w:r>
      <w:r>
        <w:rPr>
          <w:rFonts w:hint="eastAsia" w:ascii="Times New Roman" w:hAnsi="Times New Roman" w:eastAsia="仿宋_GB2312" w:cs="Times New Roman"/>
          <w:szCs w:val="32"/>
          <w:lang w:val="en-US" w:eastAsia="zh-CN"/>
        </w:rPr>
        <w:t>144.90</w:t>
      </w:r>
      <w:r>
        <w:rPr>
          <w:rFonts w:hint="eastAsia" w:ascii="Times New Roman" w:hAnsi="Times New Roman" w:eastAsia="仿宋_GB2312" w:cs="Times New Roman"/>
          <w:szCs w:val="32"/>
        </w:rPr>
        <w:t>万元，固定资产净值</w:t>
      </w:r>
      <w:r>
        <w:rPr>
          <w:rFonts w:hint="eastAsia" w:ascii="Times New Roman" w:hAnsi="Times New Roman" w:eastAsia="仿宋_GB2312" w:cs="Times New Roman"/>
          <w:szCs w:val="32"/>
          <w:lang w:val="en-US" w:eastAsia="zh-CN"/>
        </w:rPr>
        <w:t>134.66</w:t>
      </w:r>
      <w:r>
        <w:rPr>
          <w:rFonts w:hint="eastAsia" w:ascii="Times New Roman" w:hAnsi="Times New Roman" w:eastAsia="仿宋_GB2312" w:cs="Times New Roman"/>
          <w:szCs w:val="32"/>
        </w:rPr>
        <w:t>万元</w:t>
      </w:r>
      <w:r>
        <w:rPr>
          <w:rFonts w:hint="eastAsia" w:ascii="Times New Roman" w:hAnsi="Times New Roman" w:eastAsia="仿宋_GB2312" w:cs="Times New Roman"/>
          <w:szCs w:val="32"/>
          <w:highlight w:val="none"/>
        </w:rPr>
        <w:t>。流动资产合计数为</w:t>
      </w:r>
      <w:r>
        <w:rPr>
          <w:rFonts w:hint="eastAsia" w:ascii="Times New Roman" w:hAnsi="Times New Roman" w:eastAsia="仿宋_GB2312" w:cs="Times New Roman"/>
          <w:szCs w:val="32"/>
          <w:highlight w:val="none"/>
          <w:lang w:val="en-US" w:eastAsia="zh-CN"/>
        </w:rPr>
        <w:t>41.10</w:t>
      </w:r>
      <w:r>
        <w:rPr>
          <w:rFonts w:hint="eastAsia" w:ascii="Times New Roman" w:hAnsi="Times New Roman" w:eastAsia="仿宋_GB2312" w:cs="Times New Roman"/>
          <w:szCs w:val="32"/>
          <w:highlight w:val="none"/>
        </w:rPr>
        <w:t>万元。</w:t>
      </w:r>
    </w:p>
    <w:p>
      <w:pPr>
        <w:spacing w:line="560" w:lineRule="exact"/>
        <w:ind w:firstLine="640" w:firstLineChars="200"/>
        <w:outlineLvl w:val="2"/>
        <w:rPr>
          <w:rFonts w:hint="eastAsia" w:ascii="Times New Roman" w:hAnsi="Times New Roman" w:eastAsia="仿宋_GB2312" w:cs="Times New Roman"/>
          <w:szCs w:val="32"/>
          <w:lang w:val="en-US" w:eastAsia="zh-CN"/>
        </w:rPr>
      </w:pPr>
      <w:r>
        <w:rPr>
          <w:rFonts w:hint="eastAsia" w:ascii="楷体" w:hAnsi="楷体" w:eastAsia="楷体" w:cs="楷体"/>
          <w:szCs w:val="32"/>
          <w:lang w:val="en-US" w:eastAsia="zh-CN"/>
        </w:rPr>
        <w:t>2、资产处置。</w:t>
      </w:r>
      <w:r>
        <w:rPr>
          <w:rFonts w:hint="eastAsia" w:ascii="Times New Roman" w:hAnsi="Times New Roman" w:eastAsia="仿宋_GB2312" w:cs="Times New Roman"/>
          <w:szCs w:val="32"/>
          <w:lang w:val="en-US" w:eastAsia="zh-CN"/>
        </w:rPr>
        <w:t>统计局资产处置严格按市国资部门有关文件要求执行，所有资产处置经市国资中心审批后，再办理资产处置相关手续，最后凭资产处置批复文件、处置结果等有关资料，及时按照现行财务会计制度的规定进行账务处理和系统核销，做到“账实相符”“账账相符”。</w:t>
      </w:r>
    </w:p>
    <w:p>
      <w:pPr>
        <w:numPr>
          <w:ilvl w:val="255"/>
          <w:numId w:val="0"/>
        </w:numPr>
        <w:spacing w:before="144" w:beforeLines="25" w:line="560" w:lineRule="exact"/>
        <w:ind w:firstLine="643" w:firstLineChars="200"/>
        <w:outlineLvl w:val="0"/>
        <w:rPr>
          <w:rFonts w:ascii="楷体" w:hAnsi="楷体" w:eastAsia="楷体" w:cs="楷体"/>
          <w:b/>
          <w:bCs/>
          <w:szCs w:val="32"/>
        </w:rPr>
      </w:pPr>
      <w:r>
        <w:rPr>
          <w:rFonts w:hint="eastAsia" w:ascii="楷体" w:hAnsi="楷体" w:eastAsia="楷体" w:cs="楷体"/>
          <w:b/>
          <w:bCs/>
          <w:szCs w:val="32"/>
        </w:rPr>
        <w:t>五</w:t>
      </w:r>
      <w:r>
        <w:rPr>
          <w:rFonts w:hint="eastAsia" w:ascii="楷体" w:hAnsi="楷体" w:eastAsia="楷体" w:cs="楷体"/>
          <w:b/>
          <w:bCs/>
          <w:szCs w:val="32"/>
          <w:lang w:eastAsia="zh-Hans"/>
        </w:rPr>
        <w:t>、</w:t>
      </w:r>
      <w:r>
        <w:rPr>
          <w:rFonts w:hint="eastAsia" w:ascii="楷体" w:hAnsi="楷体" w:eastAsia="楷体" w:cs="楷体"/>
          <w:b/>
          <w:bCs/>
          <w:szCs w:val="32"/>
          <w:highlight w:val="none"/>
        </w:rPr>
        <w:t>部门整体支出绩效情况</w:t>
      </w:r>
    </w:p>
    <w:p>
      <w:pPr>
        <w:spacing w:line="560" w:lineRule="exact"/>
        <w:ind w:firstLine="643" w:firstLineChars="200"/>
        <w:contextualSpacing/>
        <w:outlineLvl w:val="1"/>
        <w:rPr>
          <w:rFonts w:hint="eastAsia" w:ascii="楷体" w:hAnsi="楷体" w:eastAsia="楷体" w:cs="楷体"/>
          <w:b/>
          <w:bCs/>
          <w:szCs w:val="32"/>
          <w:lang w:val="en-US" w:eastAsia="zh-CN"/>
        </w:rPr>
      </w:pPr>
      <w:r>
        <w:rPr>
          <w:rFonts w:hint="eastAsia" w:ascii="楷体" w:hAnsi="楷体" w:eastAsia="楷体" w:cs="楷体"/>
          <w:b/>
          <w:bCs/>
          <w:szCs w:val="32"/>
          <w:lang w:val="en-US" w:eastAsia="zh-CN"/>
        </w:rPr>
        <w:t>（一）单位总支出情况的绩效分析</w:t>
      </w:r>
    </w:p>
    <w:p>
      <w:pPr>
        <w:spacing w:line="560" w:lineRule="exact"/>
        <w:ind w:firstLine="640" w:firstLineChars="200"/>
        <w:contextualSpacing/>
        <w:rPr>
          <w:rFonts w:hint="eastAsia" w:ascii="Times New Roman" w:hAnsi="Times New Roman" w:eastAsia="仿宋_GB2312" w:cs="仿宋_GB2312"/>
          <w:szCs w:val="32"/>
          <w:lang w:val="en-US" w:eastAsia="zh-CN"/>
        </w:rPr>
      </w:pPr>
      <w:r>
        <w:rPr>
          <w:rFonts w:hint="default" w:ascii="Times New Roman" w:hAnsi="Times New Roman" w:eastAsia="仿宋_GB2312" w:cs="Times New Roman"/>
          <w:szCs w:val="32"/>
          <w:lang w:val="en-US" w:eastAsia="zh-CN"/>
        </w:rPr>
        <w:t xml:space="preserve">2022 </w:t>
      </w:r>
      <w:r>
        <w:rPr>
          <w:rFonts w:hint="eastAsia" w:ascii="Times New Roman" w:hAnsi="Times New Roman" w:eastAsia="仿宋_GB2312" w:cs="Times New Roman"/>
          <w:szCs w:val="32"/>
          <w:lang w:val="en-US" w:eastAsia="zh-CN"/>
        </w:rPr>
        <w:t>年度本单位共支</w:t>
      </w:r>
      <w:r>
        <w:rPr>
          <w:rFonts w:hint="default" w:ascii="Times New Roman" w:hAnsi="Times New Roman" w:eastAsia="仿宋_GB2312" w:cs="Times New Roman"/>
          <w:szCs w:val="32"/>
          <w:lang w:val="en-US" w:eastAsia="zh-CN"/>
        </w:rPr>
        <w:t>出资金</w:t>
      </w:r>
      <w:r>
        <w:rPr>
          <w:rFonts w:hint="eastAsia" w:ascii="Times New Roman" w:hAnsi="Times New Roman" w:eastAsia="仿宋_GB2312" w:cs="Times New Roman"/>
          <w:szCs w:val="32"/>
          <w:lang w:val="en-US" w:eastAsia="zh-CN"/>
        </w:rPr>
        <w:t>1,171.50</w:t>
      </w:r>
      <w:r>
        <w:rPr>
          <w:rFonts w:hint="default" w:ascii="Times New Roman" w:hAnsi="Times New Roman" w:eastAsia="仿宋_GB2312" w:cs="Times New Roman"/>
          <w:szCs w:val="32"/>
          <w:lang w:val="en-US" w:eastAsia="zh-CN"/>
        </w:rPr>
        <w:t>万元，其中</w:t>
      </w:r>
      <w:r>
        <w:rPr>
          <w:rFonts w:hint="eastAsia" w:ascii="Times New Roman" w:hAnsi="Times New Roman" w:eastAsia="仿宋_GB2312" w:cs="Times New Roman"/>
          <w:szCs w:val="32"/>
          <w:lang w:val="en-US" w:eastAsia="zh-CN"/>
        </w:rPr>
        <w:t>：</w:t>
      </w:r>
      <w:r>
        <w:rPr>
          <w:rFonts w:hint="default" w:ascii="Times New Roman" w:hAnsi="Times New Roman" w:eastAsia="仿宋_GB2312" w:cs="Times New Roman"/>
          <w:szCs w:val="32"/>
          <w:lang w:val="en-US" w:eastAsia="zh-CN"/>
        </w:rPr>
        <w:t>财政资金</w:t>
      </w:r>
      <w:r>
        <w:rPr>
          <w:rFonts w:hint="eastAsia" w:ascii="Times New Roman" w:hAnsi="Times New Roman" w:eastAsia="仿宋_GB2312" w:cs="Times New Roman"/>
          <w:szCs w:val="32"/>
          <w:lang w:val="en-US" w:eastAsia="zh-CN"/>
        </w:rPr>
        <w:t>1,169.22</w:t>
      </w:r>
      <w:r>
        <w:rPr>
          <w:rFonts w:hint="default" w:ascii="Times New Roman" w:hAnsi="Times New Roman" w:eastAsia="仿宋_GB2312" w:cs="Times New Roman"/>
          <w:szCs w:val="32"/>
          <w:lang w:val="en-US" w:eastAsia="zh-CN"/>
        </w:rPr>
        <w:t>万元</w:t>
      </w:r>
      <w:r>
        <w:rPr>
          <w:rFonts w:hint="eastAsia" w:ascii="Times New Roman" w:hAnsi="Times New Roman" w:eastAsia="仿宋_GB2312" w:cs="Times New Roman"/>
          <w:szCs w:val="32"/>
          <w:lang w:val="en-US" w:eastAsia="zh-CN"/>
        </w:rPr>
        <w:t>，其他资金2.28万元</w:t>
      </w:r>
      <w:r>
        <w:rPr>
          <w:rFonts w:hint="default" w:ascii="Times New Roman" w:hAnsi="Times New Roman" w:eastAsia="仿宋_GB2312" w:cs="Times New Roman"/>
          <w:szCs w:val="32"/>
          <w:lang w:val="en-US" w:eastAsia="zh-CN"/>
        </w:rPr>
        <w:t>。基本支出</w:t>
      </w:r>
      <w:r>
        <w:rPr>
          <w:rFonts w:hint="eastAsia" w:ascii="Times New Roman" w:hAnsi="Times New Roman" w:eastAsia="仿宋_GB2312" w:cs="Times New Roman"/>
          <w:szCs w:val="32"/>
          <w:lang w:val="en-US" w:eastAsia="zh-CN"/>
        </w:rPr>
        <w:t>758.06</w:t>
      </w:r>
      <w:r>
        <w:rPr>
          <w:rFonts w:hint="default" w:ascii="Times New Roman" w:hAnsi="Times New Roman" w:eastAsia="仿宋_GB2312" w:cs="Times New Roman"/>
          <w:szCs w:val="32"/>
          <w:lang w:val="en-US" w:eastAsia="zh-CN"/>
        </w:rPr>
        <w:t>万元</w:t>
      </w:r>
      <w:r>
        <w:rPr>
          <w:rFonts w:hint="eastAsia" w:ascii="Times New Roman" w:hAnsi="Times New Roman" w:eastAsia="仿宋_GB2312" w:cs="Times New Roman"/>
          <w:szCs w:val="32"/>
          <w:lang w:val="en-US" w:eastAsia="zh-CN"/>
        </w:rPr>
        <w:t>，基本支出保障了单位正常运转的日常支出，包括基本工资、津贴补贴等人员经费以及办公费、差旅费、会议费等日常公用经费；项目支出413.44万元，项目支出主要用于一般公共服务支出，包括办公费、印刷费、邮电费、公务接待费、劳务费及其他交通费用等。</w:t>
      </w:r>
    </w:p>
    <w:p>
      <w:pPr>
        <w:numPr>
          <w:ilvl w:val="0"/>
          <w:numId w:val="1"/>
        </w:numPr>
        <w:spacing w:line="600" w:lineRule="exact"/>
        <w:ind w:firstLine="643" w:firstLineChars="200"/>
        <w:outlineLvl w:val="2"/>
        <w:rPr>
          <w:rFonts w:hint="eastAsia" w:ascii="楷体" w:hAnsi="楷体" w:eastAsia="楷体" w:cs="楷体"/>
          <w:b/>
          <w:bCs/>
          <w:szCs w:val="32"/>
          <w:lang w:val="en-US" w:eastAsia="zh-CN"/>
        </w:rPr>
      </w:pPr>
      <w:r>
        <w:rPr>
          <w:rFonts w:hint="eastAsia" w:ascii="楷体" w:hAnsi="楷体" w:eastAsia="楷体" w:cs="楷体"/>
          <w:b/>
          <w:bCs/>
          <w:szCs w:val="32"/>
          <w:lang w:val="en-US" w:eastAsia="zh-CN"/>
        </w:rPr>
        <w:t>单位项目资金绩效分析</w:t>
      </w:r>
    </w:p>
    <w:p>
      <w:pPr>
        <w:numPr>
          <w:ilvl w:val="0"/>
          <w:numId w:val="0"/>
        </w:numPr>
        <w:spacing w:line="600" w:lineRule="exact"/>
        <w:ind w:firstLine="643" w:firstLineChars="200"/>
        <w:outlineLvl w:val="2"/>
        <w:rPr>
          <w:rFonts w:hint="eastAsia" w:ascii="楷体" w:hAnsi="楷体" w:eastAsia="楷体" w:cs="楷体"/>
          <w:b/>
          <w:bCs/>
          <w:szCs w:val="32"/>
          <w:lang w:val="en-US" w:eastAsia="zh-CN"/>
        </w:rPr>
      </w:pPr>
      <w:r>
        <w:rPr>
          <w:rFonts w:hint="default" w:ascii="楷体" w:hAnsi="楷体" w:eastAsia="楷体" w:cs="楷体"/>
          <w:b/>
          <w:bCs/>
          <w:szCs w:val="32"/>
          <w:lang w:val="en-US" w:eastAsia="zh-CN"/>
        </w:rPr>
        <w:t>1</w:t>
      </w:r>
      <w:r>
        <w:rPr>
          <w:rFonts w:hint="eastAsia" w:ascii="楷体" w:hAnsi="楷体" w:eastAsia="楷体" w:cs="楷体"/>
          <w:b/>
          <w:bCs/>
          <w:szCs w:val="32"/>
          <w:lang w:val="en-US" w:eastAsia="zh-CN"/>
        </w:rPr>
        <w:t>、项目基本情况简介</w:t>
      </w:r>
    </w:p>
    <w:p>
      <w:pPr>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2022年浏阳市统计局整体</w:t>
      </w:r>
      <w:r>
        <w:rPr>
          <w:rFonts w:hint="eastAsia" w:ascii="仿宋_GB2312" w:hAnsi="仿宋" w:eastAsia="仿宋_GB2312"/>
          <w:sz w:val="32"/>
          <w:szCs w:val="32"/>
          <w:lang w:val="en-US" w:eastAsia="zh-CN"/>
        </w:rPr>
        <w:t>预算</w:t>
      </w:r>
      <w:r>
        <w:rPr>
          <w:rFonts w:hint="eastAsia" w:ascii="仿宋_GB2312" w:hAnsi="仿宋" w:eastAsia="仿宋_GB2312"/>
          <w:sz w:val="32"/>
          <w:szCs w:val="32"/>
          <w:lang w:eastAsia="zh-CN"/>
        </w:rPr>
        <w:t>支出715.75万元，全部实行整体支出绩效目标管理。编报绩效目标的项目</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个，涉及项目</w:t>
      </w:r>
      <w:r>
        <w:rPr>
          <w:rFonts w:hint="eastAsia" w:ascii="仿宋_GB2312" w:hAnsi="仿宋" w:eastAsia="仿宋_GB2312"/>
          <w:sz w:val="32"/>
          <w:szCs w:val="32"/>
          <w:lang w:val="en-US" w:eastAsia="zh-CN"/>
        </w:rPr>
        <w:t>预算</w:t>
      </w:r>
      <w:r>
        <w:rPr>
          <w:rFonts w:hint="eastAsia" w:ascii="仿宋_GB2312" w:hAnsi="仿宋" w:eastAsia="仿宋_GB2312"/>
          <w:sz w:val="32"/>
          <w:szCs w:val="32"/>
          <w:lang w:eastAsia="zh-CN"/>
        </w:rPr>
        <w:t>支出138.42万元，其中：民意调查中心工作经费</w:t>
      </w:r>
      <w:r>
        <w:rPr>
          <w:rFonts w:hint="eastAsia" w:ascii="仿宋_GB2312" w:hAnsi="仿宋" w:eastAsia="仿宋_GB2312"/>
          <w:sz w:val="32"/>
          <w:szCs w:val="32"/>
          <w:lang w:val="en-US" w:eastAsia="zh-CN"/>
        </w:rPr>
        <w:t>30.00</w:t>
      </w:r>
      <w:r>
        <w:rPr>
          <w:rFonts w:hint="eastAsia" w:ascii="仿宋_GB2312" w:hAnsi="仿宋" w:eastAsia="仿宋_GB2312"/>
          <w:sz w:val="32"/>
          <w:szCs w:val="32"/>
          <w:lang w:eastAsia="zh-CN"/>
        </w:rPr>
        <w:t>万元、统计抽样调查</w:t>
      </w: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0</w:t>
      </w:r>
      <w:r>
        <w:rPr>
          <w:rFonts w:hint="eastAsia" w:ascii="仿宋_GB2312" w:hAnsi="仿宋" w:eastAsia="仿宋_GB2312"/>
          <w:sz w:val="32"/>
          <w:szCs w:val="32"/>
          <w:lang w:val="en-US" w:eastAsia="zh-CN"/>
        </w:rPr>
        <w:t>.00</w:t>
      </w:r>
      <w:r>
        <w:rPr>
          <w:rFonts w:hint="eastAsia" w:ascii="仿宋_GB2312" w:hAnsi="仿宋" w:eastAsia="仿宋_GB2312"/>
          <w:sz w:val="32"/>
          <w:szCs w:val="32"/>
          <w:lang w:eastAsia="zh-CN"/>
        </w:rPr>
        <w:t>万元、统计数据质量监管平台经费</w:t>
      </w:r>
      <w:r>
        <w:rPr>
          <w:rFonts w:hint="eastAsia" w:ascii="仿宋_GB2312" w:hAnsi="仿宋" w:eastAsia="仿宋_GB2312"/>
          <w:sz w:val="32"/>
          <w:szCs w:val="32"/>
          <w:lang w:val="en-US" w:eastAsia="zh-CN"/>
        </w:rPr>
        <w:t>46.40</w:t>
      </w:r>
      <w:r>
        <w:rPr>
          <w:rFonts w:hint="eastAsia" w:ascii="仿宋_GB2312" w:hAnsi="仿宋" w:eastAsia="仿宋_GB2312"/>
          <w:sz w:val="32"/>
          <w:szCs w:val="32"/>
          <w:lang w:eastAsia="zh-CN"/>
        </w:rPr>
        <w:t>万元，全部实行项目支出绩效目标管理。</w:t>
      </w:r>
    </w:p>
    <w:p>
      <w:pPr>
        <w:spacing w:line="560" w:lineRule="exact"/>
        <w:ind w:firstLine="640" w:firstLineChars="200"/>
        <w:rPr>
          <w:rFonts w:hint="default"/>
          <w:highlight w:val="none"/>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为便于开展绩效自评工作，</w:t>
      </w:r>
      <w:r>
        <w:rPr>
          <w:rFonts w:hint="eastAsia" w:ascii="仿宋_GB2312" w:hAnsi="仿宋" w:eastAsia="仿宋_GB2312"/>
          <w:sz w:val="32"/>
          <w:szCs w:val="32"/>
        </w:rPr>
        <w:t>根据</w:t>
      </w:r>
      <w:r>
        <w:rPr>
          <w:rFonts w:hint="eastAsia" w:ascii="Times New Roman" w:hAnsi="Times New Roman" w:eastAsia="仿宋_GB2312" w:cs="Times New Roman"/>
          <w:sz w:val="32"/>
          <w:szCs w:val="32"/>
          <w:highlight w:val="none"/>
          <w:lang w:val="en-US" w:eastAsia="zh-CN"/>
        </w:rPr>
        <w:t>《浏阳市财政局关于开展2022年度部门整体支出绩效评价和2023年度绩效监控工作的函》（浏财函〔2023〕22号）及结合本单位实际情况</w:t>
      </w:r>
      <w:r>
        <w:rPr>
          <w:rFonts w:hint="eastAsia" w:ascii="仿宋_GB2312" w:hAnsi="仿宋" w:eastAsia="仿宋_GB2312"/>
          <w:sz w:val="32"/>
          <w:szCs w:val="32"/>
        </w:rPr>
        <w:t>，评价小组</w:t>
      </w:r>
      <w:r>
        <w:rPr>
          <w:rFonts w:hint="eastAsia" w:ascii="仿宋_GB2312" w:hAnsi="仿宋" w:eastAsia="仿宋_GB2312"/>
          <w:sz w:val="32"/>
          <w:szCs w:val="32"/>
          <w:lang w:eastAsia="zh-CN"/>
        </w:rPr>
        <w:t>按项目类型</w:t>
      </w:r>
      <w:r>
        <w:rPr>
          <w:rFonts w:hint="eastAsia" w:ascii="仿宋_GB2312" w:hAnsi="仿宋" w:eastAsia="仿宋_GB2312"/>
          <w:sz w:val="32"/>
          <w:szCs w:val="32"/>
          <w:lang w:val="en-US" w:eastAsia="zh-CN"/>
        </w:rPr>
        <w:t>对</w:t>
      </w:r>
      <w:r>
        <w:rPr>
          <w:rFonts w:hint="eastAsia" w:ascii="仿宋_GB2312" w:hAnsi="仿宋" w:eastAsia="仿宋_GB2312"/>
          <w:sz w:val="32"/>
          <w:szCs w:val="32"/>
          <w:lang w:eastAsia="zh-CN"/>
        </w:rPr>
        <w:t>民意调查中心工作经费、统计抽样调查、统计数据质量监管平台经费</w:t>
      </w:r>
      <w:r>
        <w:rPr>
          <w:rFonts w:hint="eastAsia" w:ascii="仿宋_GB2312" w:hAnsi="仿宋" w:eastAsia="仿宋_GB2312"/>
          <w:sz w:val="32"/>
          <w:szCs w:val="32"/>
          <w:lang w:val="en-US" w:eastAsia="zh-CN"/>
        </w:rPr>
        <w:t>3</w:t>
      </w:r>
      <w:r>
        <w:rPr>
          <w:rFonts w:hint="eastAsia" w:ascii="仿宋_GB2312" w:hAnsi="仿宋" w:eastAsia="仿宋_GB2312"/>
          <w:sz w:val="32"/>
          <w:szCs w:val="32"/>
        </w:rPr>
        <w:t>个项目</w:t>
      </w:r>
      <w:r>
        <w:rPr>
          <w:rFonts w:hint="eastAsia" w:ascii="仿宋_GB2312" w:hAnsi="仿宋" w:eastAsia="仿宋_GB2312"/>
          <w:sz w:val="32"/>
          <w:szCs w:val="32"/>
          <w:lang w:eastAsia="zh-CN"/>
        </w:rPr>
        <w:t>开展了绩效自评工作</w:t>
      </w:r>
      <w:r>
        <w:rPr>
          <w:rFonts w:hint="eastAsia" w:ascii="仿宋_GB2312" w:hAnsi="仿宋" w:eastAsia="仿宋_GB2312"/>
          <w:sz w:val="32"/>
          <w:szCs w:val="32"/>
        </w:rPr>
        <w:t>，</w:t>
      </w:r>
      <w:r>
        <w:rPr>
          <w:rFonts w:hint="eastAsia" w:ascii="仿宋_GB2312" w:hAnsi="仿宋" w:eastAsia="仿宋_GB2312"/>
          <w:sz w:val="32"/>
          <w:szCs w:val="32"/>
          <w:lang w:val="en-US" w:eastAsia="zh-CN"/>
        </w:rPr>
        <w:t>项目</w:t>
      </w:r>
      <w:r>
        <w:rPr>
          <w:rFonts w:hint="eastAsia" w:ascii="仿宋_GB2312" w:hAnsi="仿宋" w:eastAsia="仿宋_GB2312"/>
          <w:sz w:val="32"/>
          <w:szCs w:val="32"/>
        </w:rPr>
        <w:t>占</w:t>
      </w:r>
      <w:r>
        <w:rPr>
          <w:rFonts w:hint="eastAsia" w:ascii="仿宋_GB2312" w:hAnsi="仿宋" w:eastAsia="仿宋_GB2312"/>
          <w:sz w:val="32"/>
          <w:szCs w:val="32"/>
          <w:lang w:eastAsia="zh-CN"/>
        </w:rPr>
        <w:t>比</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Cs w:val="32"/>
          <w:lang w:val="en-US" w:eastAsia="zh-CN"/>
        </w:rPr>
        <w:t>各</w:t>
      </w:r>
      <w:r>
        <w:rPr>
          <w:rFonts w:hint="default" w:ascii="仿宋_GB2312" w:hAnsi="仿宋" w:eastAsia="仿宋_GB2312"/>
          <w:szCs w:val="32"/>
          <w:lang w:val="en-US" w:eastAsia="zh-CN"/>
        </w:rPr>
        <w:t>项目的投入支出和绩效情况</w:t>
      </w:r>
      <w:r>
        <w:rPr>
          <w:rFonts w:hint="eastAsia" w:ascii="仿宋_GB2312" w:hAnsi="仿宋" w:eastAsia="仿宋_GB2312"/>
          <w:szCs w:val="32"/>
          <w:lang w:val="en-US" w:eastAsia="zh-CN"/>
        </w:rPr>
        <w:t>如下：</w:t>
      </w:r>
    </w:p>
    <w:p>
      <w:pPr>
        <w:spacing w:line="360" w:lineRule="exact"/>
        <w:jc w:val="right"/>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金额单位：万元</w:t>
      </w:r>
    </w:p>
    <w:tbl>
      <w:tblPr>
        <w:tblStyle w:val="14"/>
        <w:tblW w:w="5113" w:type="pct"/>
        <w:tblInd w:w="-170" w:type="dxa"/>
        <w:tblLayout w:type="fixed"/>
        <w:tblCellMar>
          <w:top w:w="0" w:type="dxa"/>
          <w:left w:w="108" w:type="dxa"/>
          <w:bottom w:w="0" w:type="dxa"/>
          <w:right w:w="108" w:type="dxa"/>
        </w:tblCellMar>
      </w:tblPr>
      <w:tblGrid>
        <w:gridCol w:w="1755"/>
        <w:gridCol w:w="960"/>
        <w:gridCol w:w="5130"/>
        <w:gridCol w:w="870"/>
      </w:tblGrid>
      <w:tr>
        <w:tblPrEx>
          <w:tblCellMar>
            <w:top w:w="0" w:type="dxa"/>
            <w:left w:w="108" w:type="dxa"/>
            <w:bottom w:w="0" w:type="dxa"/>
            <w:right w:w="108" w:type="dxa"/>
          </w:tblCellMar>
        </w:tblPrEx>
        <w:trPr>
          <w:trHeight w:val="454" w:hRule="exact"/>
          <w:tblHeader/>
        </w:trPr>
        <w:tc>
          <w:tcPr>
            <w:tcW w:w="100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 w:hAnsi="仿宋" w:cs="宋体"/>
                <w:b/>
                <w:bCs/>
                <w:color w:val="000000"/>
                <w:kern w:val="0"/>
                <w:sz w:val="18"/>
                <w:szCs w:val="18"/>
                <w:highlight w:val="none"/>
              </w:rPr>
            </w:pPr>
            <w:r>
              <w:rPr>
                <w:rFonts w:hint="eastAsia" w:ascii="仿宋" w:hAnsi="仿宋" w:cs="宋体"/>
                <w:b/>
                <w:bCs/>
                <w:color w:val="000000"/>
                <w:kern w:val="0"/>
                <w:sz w:val="18"/>
                <w:szCs w:val="18"/>
                <w:highlight w:val="none"/>
              </w:rPr>
              <w:t>项目名称</w:t>
            </w:r>
          </w:p>
        </w:tc>
        <w:tc>
          <w:tcPr>
            <w:tcW w:w="55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仿宋" w:hAnsi="仿宋" w:eastAsia="仿宋" w:cs="仿宋"/>
                <w:b/>
                <w:bCs/>
                <w:color w:val="000000"/>
                <w:kern w:val="0"/>
                <w:sz w:val="18"/>
                <w:szCs w:val="18"/>
                <w:highlight w:val="none"/>
                <w:lang w:val="en-US" w:eastAsia="zh-CN"/>
              </w:rPr>
            </w:pPr>
            <w:r>
              <w:rPr>
                <w:rFonts w:hint="eastAsia" w:ascii="仿宋" w:hAnsi="仿宋" w:cs="仿宋"/>
                <w:b/>
                <w:bCs/>
                <w:color w:val="000000"/>
                <w:kern w:val="0"/>
                <w:sz w:val="18"/>
                <w:szCs w:val="18"/>
                <w:highlight w:val="none"/>
                <w:lang w:val="en-US" w:eastAsia="zh-CN"/>
              </w:rPr>
              <w:t>预算金额</w:t>
            </w:r>
          </w:p>
        </w:tc>
        <w:tc>
          <w:tcPr>
            <w:tcW w:w="294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wordWrap/>
              <w:spacing w:line="240" w:lineRule="exact"/>
              <w:jc w:val="center"/>
              <w:rPr>
                <w:rFonts w:hint="default" w:ascii="仿宋" w:hAnsi="仿宋" w:eastAsia="仿宋" w:cs="仿宋"/>
                <w:b/>
                <w:bCs/>
                <w:color w:val="000000"/>
                <w:kern w:val="0"/>
                <w:sz w:val="18"/>
                <w:szCs w:val="18"/>
                <w:highlight w:val="none"/>
                <w:lang w:val="en-US" w:eastAsia="zh-CN" w:bidi="ar-SA"/>
              </w:rPr>
            </w:pPr>
            <w:r>
              <w:rPr>
                <w:rFonts w:hint="eastAsia" w:ascii="仿宋" w:hAnsi="仿宋" w:cs="仿宋"/>
                <w:b/>
                <w:bCs/>
                <w:color w:val="000000"/>
                <w:kern w:val="0"/>
                <w:sz w:val="18"/>
                <w:szCs w:val="18"/>
                <w:highlight w:val="none"/>
                <w:lang w:val="en-US" w:eastAsia="zh-CN"/>
              </w:rPr>
              <w:t>主要内容</w:t>
            </w:r>
          </w:p>
        </w:tc>
        <w:tc>
          <w:tcPr>
            <w:tcW w:w="49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仿宋" w:hAnsi="仿宋" w:eastAsia="仿宋" w:cs="仿宋"/>
                <w:b/>
                <w:bCs/>
                <w:color w:val="000000"/>
                <w:kern w:val="0"/>
                <w:sz w:val="18"/>
                <w:szCs w:val="18"/>
                <w:highlight w:val="none"/>
                <w:lang w:val="en-US" w:eastAsia="zh-CN" w:bidi="ar-SA"/>
              </w:rPr>
            </w:pPr>
            <w:r>
              <w:rPr>
                <w:rFonts w:hint="eastAsia" w:ascii="仿宋" w:hAnsi="仿宋" w:cs="仿宋"/>
                <w:b/>
                <w:bCs/>
                <w:color w:val="000000"/>
                <w:kern w:val="0"/>
                <w:sz w:val="18"/>
                <w:szCs w:val="18"/>
                <w:highlight w:val="none"/>
                <w:lang w:val="en-US" w:eastAsia="zh-CN"/>
              </w:rPr>
              <w:t>备注</w:t>
            </w:r>
          </w:p>
        </w:tc>
      </w:tr>
      <w:tr>
        <w:tblPrEx>
          <w:tblCellMar>
            <w:top w:w="0" w:type="dxa"/>
            <w:left w:w="108" w:type="dxa"/>
            <w:bottom w:w="0" w:type="dxa"/>
            <w:right w:w="108" w:type="dxa"/>
          </w:tblCellMar>
        </w:tblPrEx>
        <w:trPr>
          <w:trHeight w:val="729" w:hRule="exact"/>
        </w:trPr>
        <w:tc>
          <w:tcPr>
            <w:tcW w:w="10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 w:hAnsi="仿宋" w:cs="宋体"/>
                <w:color w:val="000000"/>
                <w:kern w:val="0"/>
                <w:sz w:val="18"/>
                <w:szCs w:val="18"/>
                <w:highlight w:val="none"/>
                <w:lang w:val="en-US" w:eastAsia="zh-CN"/>
              </w:rPr>
            </w:pPr>
            <w:r>
              <w:rPr>
                <w:rFonts w:hint="eastAsia" w:ascii="仿宋" w:hAnsi="仿宋" w:cs="宋体"/>
                <w:color w:val="000000"/>
                <w:kern w:val="0"/>
                <w:sz w:val="18"/>
                <w:szCs w:val="18"/>
                <w:highlight w:val="none"/>
                <w:lang w:val="en-US" w:eastAsia="zh-CN"/>
              </w:rPr>
              <w:t>民意调查中心工作经费</w:t>
            </w:r>
          </w:p>
        </w:tc>
        <w:tc>
          <w:tcPr>
            <w:tcW w:w="55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hint="default" w:ascii="仿宋" w:hAnsi="仿宋" w:cs="宋体"/>
                <w:color w:val="000000"/>
                <w:kern w:val="0"/>
                <w:sz w:val="18"/>
                <w:szCs w:val="18"/>
                <w:highlight w:val="none"/>
                <w:lang w:val="en-US"/>
              </w:rPr>
            </w:pPr>
            <w:r>
              <w:rPr>
                <w:rFonts w:hint="eastAsia" w:ascii="仿宋" w:hAnsi="仿宋" w:cs="宋体"/>
                <w:color w:val="000000"/>
                <w:kern w:val="0"/>
                <w:sz w:val="18"/>
                <w:szCs w:val="18"/>
                <w:highlight w:val="none"/>
                <w:lang w:val="en-US" w:eastAsia="zh-CN"/>
              </w:rPr>
              <w:t>45.00</w:t>
            </w:r>
          </w:p>
        </w:tc>
        <w:tc>
          <w:tcPr>
            <w:tcW w:w="29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 w:hAnsi="仿宋" w:cs="宋体"/>
                <w:color w:val="000000"/>
                <w:kern w:val="0"/>
                <w:sz w:val="18"/>
                <w:szCs w:val="18"/>
                <w:highlight w:val="none"/>
                <w:lang w:val="en-US" w:eastAsia="zh-CN"/>
              </w:rPr>
            </w:pPr>
            <w:r>
              <w:rPr>
                <w:rFonts w:hint="eastAsia" w:ascii="仿宋" w:hAnsi="仿宋" w:cs="宋体"/>
                <w:color w:val="000000"/>
                <w:kern w:val="0"/>
                <w:sz w:val="18"/>
                <w:szCs w:val="18"/>
                <w:highlight w:val="none"/>
                <w:lang w:val="en-US" w:eastAsia="zh-CN"/>
              </w:rPr>
              <w:t>搞好第七次人口普查、民意调查和统计报表报送、全面加强基层基础建设，切实提高统计服务水平，着力强化部门统计工作。</w:t>
            </w:r>
          </w:p>
        </w:tc>
        <w:tc>
          <w:tcPr>
            <w:tcW w:w="49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000000"/>
                <w:kern w:val="0"/>
                <w:sz w:val="18"/>
                <w:szCs w:val="18"/>
                <w:highlight w:val="none"/>
              </w:rPr>
            </w:pPr>
          </w:p>
        </w:tc>
      </w:tr>
      <w:tr>
        <w:tblPrEx>
          <w:tblCellMar>
            <w:top w:w="0" w:type="dxa"/>
            <w:left w:w="108" w:type="dxa"/>
            <w:bottom w:w="0" w:type="dxa"/>
            <w:right w:w="108" w:type="dxa"/>
          </w:tblCellMar>
        </w:tblPrEx>
        <w:trPr>
          <w:trHeight w:val="499" w:hRule="exact"/>
        </w:trPr>
        <w:tc>
          <w:tcPr>
            <w:tcW w:w="10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 w:hAnsi="仿宋" w:cs="宋体"/>
                <w:color w:val="000000"/>
                <w:kern w:val="0"/>
                <w:sz w:val="18"/>
                <w:szCs w:val="18"/>
                <w:highlight w:val="none"/>
                <w:lang w:val="en-US" w:eastAsia="zh-CN"/>
              </w:rPr>
            </w:pPr>
            <w:r>
              <w:rPr>
                <w:rFonts w:hint="eastAsia" w:ascii="仿宋" w:hAnsi="仿宋" w:cs="宋体"/>
                <w:color w:val="000000"/>
                <w:kern w:val="0"/>
                <w:sz w:val="18"/>
                <w:szCs w:val="18"/>
                <w:highlight w:val="none"/>
                <w:lang w:val="en-US" w:eastAsia="zh-CN"/>
              </w:rPr>
              <w:t>统计抽样调查</w:t>
            </w:r>
          </w:p>
        </w:tc>
        <w:tc>
          <w:tcPr>
            <w:tcW w:w="55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hint="eastAsia" w:ascii="仿宋" w:hAnsi="仿宋" w:cs="宋体"/>
                <w:color w:val="000000"/>
                <w:kern w:val="0"/>
                <w:sz w:val="18"/>
                <w:szCs w:val="18"/>
                <w:highlight w:val="none"/>
              </w:rPr>
            </w:pPr>
            <w:r>
              <w:rPr>
                <w:rFonts w:hint="eastAsia" w:ascii="仿宋" w:hAnsi="仿宋" w:cs="宋体"/>
                <w:color w:val="000000"/>
                <w:kern w:val="0"/>
                <w:sz w:val="18"/>
                <w:szCs w:val="18"/>
                <w:highlight w:val="none"/>
                <w:lang w:val="en-US" w:eastAsia="zh-CN"/>
              </w:rPr>
              <w:t>44.42</w:t>
            </w:r>
          </w:p>
        </w:tc>
        <w:tc>
          <w:tcPr>
            <w:tcW w:w="29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 w:hAnsi="仿宋" w:cs="宋体"/>
                <w:color w:val="000000"/>
                <w:kern w:val="0"/>
                <w:sz w:val="18"/>
                <w:szCs w:val="18"/>
                <w:highlight w:val="none"/>
                <w:lang w:val="en-US" w:eastAsia="zh-CN"/>
              </w:rPr>
            </w:pPr>
            <w:r>
              <w:rPr>
                <w:rFonts w:hint="eastAsia" w:ascii="仿宋" w:hAnsi="仿宋" w:cs="宋体"/>
                <w:color w:val="000000"/>
                <w:kern w:val="0"/>
                <w:sz w:val="18"/>
                <w:szCs w:val="18"/>
                <w:highlight w:val="none"/>
                <w:lang w:val="en-US" w:eastAsia="zh-CN"/>
              </w:rPr>
              <w:t>提高统计数据质量，为服务科学决策、服务民生和促进经济发展发挥积极作用。</w:t>
            </w:r>
          </w:p>
        </w:tc>
        <w:tc>
          <w:tcPr>
            <w:tcW w:w="49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000000"/>
                <w:kern w:val="0"/>
                <w:sz w:val="18"/>
                <w:szCs w:val="18"/>
                <w:highlight w:val="none"/>
              </w:rPr>
            </w:pPr>
          </w:p>
        </w:tc>
      </w:tr>
      <w:tr>
        <w:tblPrEx>
          <w:tblCellMar>
            <w:top w:w="0" w:type="dxa"/>
            <w:left w:w="108" w:type="dxa"/>
            <w:bottom w:w="0" w:type="dxa"/>
            <w:right w:w="108" w:type="dxa"/>
          </w:tblCellMar>
        </w:tblPrEx>
        <w:trPr>
          <w:trHeight w:val="499" w:hRule="exact"/>
        </w:trPr>
        <w:tc>
          <w:tcPr>
            <w:tcW w:w="10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 w:hAnsi="仿宋" w:cs="宋体"/>
                <w:color w:val="000000"/>
                <w:kern w:val="0"/>
                <w:sz w:val="18"/>
                <w:szCs w:val="18"/>
                <w:highlight w:val="none"/>
                <w:lang w:val="en-US" w:eastAsia="zh-CN"/>
              </w:rPr>
            </w:pPr>
            <w:r>
              <w:rPr>
                <w:rFonts w:hint="eastAsia" w:ascii="仿宋" w:hAnsi="仿宋" w:cs="宋体"/>
                <w:color w:val="000000"/>
                <w:kern w:val="0"/>
                <w:sz w:val="18"/>
                <w:szCs w:val="18"/>
                <w:highlight w:val="none"/>
                <w:lang w:val="en-US" w:eastAsia="zh-CN"/>
              </w:rPr>
              <w:t>统计数据质量监管平台经费</w:t>
            </w:r>
          </w:p>
        </w:tc>
        <w:tc>
          <w:tcPr>
            <w:tcW w:w="55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hint="default" w:ascii="仿宋" w:hAnsi="仿宋" w:cs="宋体"/>
                <w:color w:val="000000"/>
                <w:kern w:val="0"/>
                <w:sz w:val="18"/>
                <w:szCs w:val="18"/>
                <w:highlight w:val="none"/>
                <w:lang w:val="en-US"/>
              </w:rPr>
            </w:pPr>
            <w:r>
              <w:rPr>
                <w:rFonts w:hint="eastAsia" w:ascii="仿宋" w:hAnsi="仿宋" w:cs="宋体"/>
                <w:color w:val="000000"/>
                <w:kern w:val="0"/>
                <w:sz w:val="18"/>
                <w:szCs w:val="18"/>
                <w:highlight w:val="none"/>
                <w:lang w:val="en-US" w:eastAsia="zh-CN"/>
              </w:rPr>
              <w:t>30.00</w:t>
            </w:r>
          </w:p>
        </w:tc>
        <w:tc>
          <w:tcPr>
            <w:tcW w:w="29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 w:hAnsi="仿宋" w:cs="宋体"/>
                <w:color w:val="000000"/>
                <w:kern w:val="0"/>
                <w:sz w:val="18"/>
                <w:szCs w:val="18"/>
                <w:highlight w:val="none"/>
                <w:lang w:val="en-US" w:eastAsia="zh-CN"/>
              </w:rPr>
            </w:pPr>
            <w:r>
              <w:rPr>
                <w:rFonts w:hint="eastAsia" w:ascii="仿宋" w:hAnsi="仿宋" w:cs="宋体"/>
                <w:color w:val="000000"/>
                <w:kern w:val="0"/>
                <w:sz w:val="18"/>
                <w:szCs w:val="18"/>
                <w:highlight w:val="none"/>
                <w:lang w:val="en-US" w:eastAsia="zh-CN"/>
              </w:rPr>
              <w:t>提高统计数据质量，为服务科学决策、服务民生和促进经济发展发挥积极作用。</w:t>
            </w:r>
          </w:p>
        </w:tc>
        <w:tc>
          <w:tcPr>
            <w:tcW w:w="49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000000"/>
                <w:kern w:val="0"/>
                <w:sz w:val="18"/>
                <w:szCs w:val="18"/>
                <w:highlight w:val="none"/>
              </w:rPr>
            </w:pPr>
          </w:p>
        </w:tc>
      </w:tr>
      <w:tr>
        <w:tblPrEx>
          <w:tblCellMar>
            <w:top w:w="0" w:type="dxa"/>
            <w:left w:w="108" w:type="dxa"/>
            <w:bottom w:w="0" w:type="dxa"/>
            <w:right w:w="108" w:type="dxa"/>
          </w:tblCellMar>
        </w:tblPrEx>
        <w:trPr>
          <w:trHeight w:val="499" w:hRule="exact"/>
        </w:trPr>
        <w:tc>
          <w:tcPr>
            <w:tcW w:w="10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 w:hAnsi="仿宋" w:cs="宋体"/>
                <w:color w:val="000000"/>
                <w:kern w:val="0"/>
                <w:sz w:val="18"/>
                <w:szCs w:val="18"/>
                <w:highlight w:val="none"/>
                <w:lang w:val="en-US" w:eastAsia="zh-CN"/>
              </w:rPr>
            </w:pPr>
            <w:r>
              <w:rPr>
                <w:rFonts w:hint="eastAsia" w:ascii="仿宋" w:hAnsi="仿宋" w:cs="宋体"/>
                <w:color w:val="000000"/>
                <w:kern w:val="0"/>
                <w:sz w:val="18"/>
                <w:szCs w:val="18"/>
                <w:highlight w:val="none"/>
                <w:lang w:val="en-US" w:eastAsia="zh-CN"/>
              </w:rPr>
              <w:t>百强调研经费</w:t>
            </w:r>
          </w:p>
        </w:tc>
        <w:tc>
          <w:tcPr>
            <w:tcW w:w="55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hint="default" w:ascii="仿宋" w:hAnsi="仿宋" w:cs="宋体"/>
                <w:color w:val="000000"/>
                <w:kern w:val="0"/>
                <w:sz w:val="18"/>
                <w:szCs w:val="18"/>
                <w:highlight w:val="none"/>
                <w:lang w:val="en-US" w:eastAsia="zh-CN"/>
              </w:rPr>
            </w:pPr>
            <w:r>
              <w:rPr>
                <w:rFonts w:hint="eastAsia" w:ascii="仿宋" w:hAnsi="仿宋" w:cs="宋体"/>
                <w:color w:val="000000"/>
                <w:kern w:val="0"/>
                <w:sz w:val="18"/>
                <w:szCs w:val="18"/>
                <w:highlight w:val="none"/>
                <w:lang w:val="en-US" w:eastAsia="zh-CN"/>
              </w:rPr>
              <w:t>10.00</w:t>
            </w:r>
          </w:p>
        </w:tc>
        <w:tc>
          <w:tcPr>
            <w:tcW w:w="29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 w:hAnsi="仿宋" w:cs="宋体"/>
                <w:color w:val="000000"/>
                <w:kern w:val="0"/>
                <w:sz w:val="18"/>
                <w:szCs w:val="18"/>
                <w:highlight w:val="none"/>
                <w:lang w:val="en-US" w:eastAsia="zh-CN"/>
              </w:rPr>
            </w:pPr>
            <w:r>
              <w:rPr>
                <w:rFonts w:hint="eastAsia" w:ascii="仿宋" w:hAnsi="仿宋" w:cs="宋体"/>
                <w:color w:val="000000"/>
                <w:kern w:val="0"/>
                <w:sz w:val="18"/>
                <w:szCs w:val="18"/>
                <w:highlight w:val="none"/>
                <w:lang w:val="en-US" w:eastAsia="zh-CN"/>
              </w:rPr>
              <w:t>提高统计数据质量，为服务科学决策、服务民生和促进经济发展发挥积极作用。</w:t>
            </w:r>
          </w:p>
        </w:tc>
        <w:tc>
          <w:tcPr>
            <w:tcW w:w="49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000000"/>
                <w:kern w:val="0"/>
                <w:sz w:val="18"/>
                <w:szCs w:val="18"/>
                <w:highlight w:val="none"/>
              </w:rPr>
            </w:pPr>
          </w:p>
        </w:tc>
      </w:tr>
      <w:tr>
        <w:tblPrEx>
          <w:tblCellMar>
            <w:top w:w="0" w:type="dxa"/>
            <w:left w:w="108" w:type="dxa"/>
            <w:bottom w:w="0" w:type="dxa"/>
            <w:right w:w="108" w:type="dxa"/>
          </w:tblCellMar>
        </w:tblPrEx>
        <w:trPr>
          <w:trHeight w:val="499" w:hRule="exact"/>
        </w:trPr>
        <w:tc>
          <w:tcPr>
            <w:tcW w:w="10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 w:hAnsi="仿宋" w:cs="宋体"/>
                <w:color w:val="000000"/>
                <w:kern w:val="0"/>
                <w:sz w:val="18"/>
                <w:szCs w:val="18"/>
                <w:highlight w:val="none"/>
                <w:lang w:val="en-US" w:eastAsia="zh-CN"/>
              </w:rPr>
            </w:pPr>
            <w:r>
              <w:rPr>
                <w:rFonts w:hint="eastAsia" w:ascii="仿宋" w:hAnsi="仿宋" w:cs="宋体"/>
                <w:color w:val="000000"/>
                <w:kern w:val="0"/>
                <w:sz w:val="18"/>
                <w:szCs w:val="18"/>
                <w:highlight w:val="none"/>
                <w:lang w:val="en-US" w:eastAsia="zh-CN"/>
              </w:rPr>
              <w:t>乡镇目标管理经费</w:t>
            </w:r>
          </w:p>
        </w:tc>
        <w:tc>
          <w:tcPr>
            <w:tcW w:w="55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hint="default" w:ascii="仿宋" w:hAnsi="仿宋" w:cs="宋体"/>
                <w:color w:val="000000"/>
                <w:kern w:val="0"/>
                <w:sz w:val="18"/>
                <w:szCs w:val="18"/>
                <w:highlight w:val="none"/>
                <w:lang w:val="en-US" w:eastAsia="zh-CN"/>
              </w:rPr>
            </w:pPr>
            <w:r>
              <w:rPr>
                <w:rFonts w:hint="eastAsia" w:ascii="仿宋" w:hAnsi="仿宋" w:cs="宋体"/>
                <w:color w:val="000000"/>
                <w:kern w:val="0"/>
                <w:sz w:val="18"/>
                <w:szCs w:val="18"/>
                <w:highlight w:val="none"/>
                <w:lang w:val="en-US" w:eastAsia="zh-CN"/>
              </w:rPr>
              <w:t>5.00</w:t>
            </w:r>
          </w:p>
        </w:tc>
        <w:tc>
          <w:tcPr>
            <w:tcW w:w="29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 w:hAnsi="仿宋" w:cs="宋体"/>
                <w:color w:val="000000"/>
                <w:kern w:val="0"/>
                <w:sz w:val="18"/>
                <w:szCs w:val="18"/>
                <w:highlight w:val="none"/>
                <w:lang w:val="en-US" w:eastAsia="zh-CN"/>
              </w:rPr>
            </w:pPr>
            <w:r>
              <w:rPr>
                <w:rFonts w:hint="eastAsia" w:ascii="仿宋" w:hAnsi="仿宋" w:cs="宋体"/>
                <w:color w:val="000000"/>
                <w:kern w:val="0"/>
                <w:sz w:val="18"/>
                <w:szCs w:val="18"/>
                <w:highlight w:val="none"/>
                <w:lang w:val="en-US" w:eastAsia="zh-CN"/>
              </w:rPr>
              <w:t>提高统计数据质量，为服务科学决策、服务民生和促进经济发展发挥积极作用。</w:t>
            </w:r>
          </w:p>
        </w:tc>
        <w:tc>
          <w:tcPr>
            <w:tcW w:w="49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000000"/>
                <w:kern w:val="0"/>
                <w:sz w:val="18"/>
                <w:szCs w:val="18"/>
                <w:highlight w:val="none"/>
              </w:rPr>
            </w:pPr>
          </w:p>
        </w:tc>
      </w:tr>
      <w:tr>
        <w:tblPrEx>
          <w:tblCellMar>
            <w:top w:w="0" w:type="dxa"/>
            <w:left w:w="108" w:type="dxa"/>
            <w:bottom w:w="0" w:type="dxa"/>
            <w:right w:w="108" w:type="dxa"/>
          </w:tblCellMar>
        </w:tblPrEx>
        <w:trPr>
          <w:trHeight w:val="499" w:hRule="exact"/>
        </w:trPr>
        <w:tc>
          <w:tcPr>
            <w:tcW w:w="10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 w:hAnsi="仿宋" w:cs="宋体"/>
                <w:color w:val="000000"/>
                <w:kern w:val="0"/>
                <w:sz w:val="18"/>
                <w:szCs w:val="18"/>
                <w:highlight w:val="none"/>
                <w:lang w:val="en-US" w:eastAsia="zh-CN"/>
              </w:rPr>
            </w:pPr>
            <w:r>
              <w:rPr>
                <w:rFonts w:hint="eastAsia" w:ascii="仿宋" w:hAnsi="仿宋" w:cs="宋体"/>
                <w:color w:val="000000"/>
                <w:kern w:val="0"/>
                <w:sz w:val="18"/>
                <w:szCs w:val="18"/>
                <w:highlight w:val="none"/>
                <w:lang w:val="en-US" w:eastAsia="zh-CN"/>
              </w:rPr>
              <w:t>专项普查经费</w:t>
            </w:r>
          </w:p>
        </w:tc>
        <w:tc>
          <w:tcPr>
            <w:tcW w:w="55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hint="default" w:ascii="仿宋" w:hAnsi="仿宋" w:cs="宋体"/>
                <w:color w:val="000000"/>
                <w:kern w:val="0"/>
                <w:sz w:val="18"/>
                <w:szCs w:val="18"/>
                <w:highlight w:val="none"/>
                <w:lang w:val="en-US" w:eastAsia="zh-CN"/>
              </w:rPr>
            </w:pPr>
            <w:r>
              <w:rPr>
                <w:rFonts w:hint="eastAsia" w:ascii="仿宋" w:hAnsi="仿宋" w:cs="宋体"/>
                <w:color w:val="000000"/>
                <w:kern w:val="0"/>
                <w:sz w:val="18"/>
                <w:szCs w:val="18"/>
                <w:highlight w:val="none"/>
                <w:lang w:val="en-US" w:eastAsia="zh-CN"/>
              </w:rPr>
              <w:t>4.00</w:t>
            </w:r>
          </w:p>
        </w:tc>
        <w:tc>
          <w:tcPr>
            <w:tcW w:w="29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 w:hAnsi="仿宋" w:cs="宋体"/>
                <w:color w:val="000000"/>
                <w:kern w:val="0"/>
                <w:sz w:val="18"/>
                <w:szCs w:val="18"/>
                <w:highlight w:val="none"/>
                <w:lang w:val="en-US" w:eastAsia="zh-CN"/>
              </w:rPr>
            </w:pPr>
            <w:r>
              <w:rPr>
                <w:rFonts w:hint="eastAsia" w:ascii="仿宋" w:hAnsi="仿宋" w:cs="宋体"/>
                <w:color w:val="000000"/>
                <w:kern w:val="0"/>
                <w:sz w:val="18"/>
                <w:szCs w:val="18"/>
                <w:highlight w:val="none"/>
                <w:lang w:val="en-US" w:eastAsia="zh-CN"/>
              </w:rPr>
              <w:t>了解我市“人口”发展变化情况的重大国情国力调查，为制定下阶段积极发展规划和人口发展战略提供依据。</w:t>
            </w:r>
          </w:p>
        </w:tc>
        <w:tc>
          <w:tcPr>
            <w:tcW w:w="49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000000"/>
                <w:kern w:val="0"/>
                <w:sz w:val="18"/>
                <w:szCs w:val="18"/>
                <w:highlight w:val="none"/>
              </w:rPr>
            </w:pPr>
          </w:p>
        </w:tc>
      </w:tr>
      <w:tr>
        <w:tblPrEx>
          <w:tblCellMar>
            <w:top w:w="0" w:type="dxa"/>
            <w:left w:w="108" w:type="dxa"/>
            <w:bottom w:w="0" w:type="dxa"/>
            <w:right w:w="108" w:type="dxa"/>
          </w:tblCellMar>
        </w:tblPrEx>
        <w:trPr>
          <w:trHeight w:val="499" w:hRule="exact"/>
        </w:trPr>
        <w:tc>
          <w:tcPr>
            <w:tcW w:w="100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仿宋" w:hAnsi="仿宋" w:cs="宋体"/>
                <w:color w:val="000000"/>
                <w:kern w:val="0"/>
                <w:sz w:val="18"/>
                <w:szCs w:val="18"/>
                <w:lang w:val="en-US" w:eastAsia="zh-CN"/>
              </w:rPr>
            </w:pPr>
            <w:r>
              <w:rPr>
                <w:rFonts w:hint="eastAsia" w:ascii="仿宋" w:hAnsi="仿宋" w:cs="宋体"/>
                <w:b/>
                <w:bCs/>
                <w:color w:val="000000"/>
                <w:kern w:val="0"/>
                <w:sz w:val="18"/>
                <w:szCs w:val="18"/>
                <w:lang w:val="en-US" w:eastAsia="zh-CN"/>
              </w:rPr>
              <w:t>合 计</w:t>
            </w:r>
          </w:p>
        </w:tc>
        <w:tc>
          <w:tcPr>
            <w:tcW w:w="55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hint="eastAsia" w:ascii="仿宋" w:hAnsi="仿宋" w:cs="宋体"/>
                <w:color w:val="000000"/>
                <w:kern w:val="0"/>
                <w:sz w:val="18"/>
                <w:szCs w:val="18"/>
                <w:lang w:val="en-US" w:eastAsia="zh-CN"/>
              </w:rPr>
            </w:pPr>
            <w:r>
              <w:rPr>
                <w:rFonts w:hint="eastAsia" w:ascii="仿宋" w:hAnsi="仿宋" w:cs="仿宋"/>
                <w:b/>
                <w:bCs/>
                <w:color w:val="000000"/>
                <w:kern w:val="0"/>
                <w:sz w:val="18"/>
                <w:szCs w:val="18"/>
                <w:lang w:val="en-US" w:eastAsia="zh-CN"/>
              </w:rPr>
              <w:t>138.42</w:t>
            </w:r>
          </w:p>
        </w:tc>
        <w:tc>
          <w:tcPr>
            <w:tcW w:w="29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 w:hAnsi="仿宋" w:cs="宋体"/>
                <w:color w:val="000000"/>
                <w:kern w:val="0"/>
                <w:sz w:val="18"/>
                <w:szCs w:val="18"/>
                <w:lang w:val="en-US" w:eastAsia="zh-CN"/>
              </w:rPr>
            </w:pPr>
          </w:p>
        </w:tc>
        <w:tc>
          <w:tcPr>
            <w:tcW w:w="49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000000"/>
                <w:kern w:val="0"/>
                <w:sz w:val="18"/>
                <w:szCs w:val="18"/>
              </w:rPr>
            </w:pPr>
          </w:p>
        </w:tc>
      </w:tr>
    </w:tbl>
    <w:p>
      <w:pPr>
        <w:spacing w:line="600" w:lineRule="exact"/>
        <w:ind w:firstLine="643" w:firstLineChars="200"/>
        <w:outlineLvl w:val="2"/>
        <w:rPr>
          <w:rFonts w:hint="default" w:ascii="楷体" w:hAnsi="楷体" w:eastAsia="楷体" w:cs="楷体"/>
          <w:b/>
          <w:bCs/>
          <w:szCs w:val="32"/>
          <w:lang w:val="en-US" w:eastAsia="zh-CN"/>
        </w:rPr>
      </w:pPr>
      <w:r>
        <w:rPr>
          <w:rFonts w:hint="eastAsia" w:ascii="楷体" w:hAnsi="楷体" w:eastAsia="楷体" w:cs="楷体"/>
          <w:b/>
          <w:bCs/>
          <w:szCs w:val="32"/>
          <w:lang w:val="en-US" w:eastAsia="zh-CN"/>
        </w:rPr>
        <w:t>2、项目资金使用及管理情况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szCs w:val="32"/>
          <w:highlight w:val="none"/>
          <w:lang w:val="en-US" w:eastAsia="zh-CN"/>
        </w:rPr>
      </w:pPr>
      <w:r>
        <w:rPr>
          <w:rFonts w:hint="eastAsia" w:ascii="Times New Roman" w:hAnsi="Times New Roman" w:eastAsia="楷体_GB2312" w:cs="楷体_GB2312"/>
          <w:b w:val="0"/>
          <w:bCs w:val="0"/>
          <w:szCs w:val="32"/>
          <w:lang w:eastAsia="zh-CN"/>
        </w:rPr>
        <w:t>（</w:t>
      </w:r>
      <w:r>
        <w:rPr>
          <w:rFonts w:hint="eastAsia" w:ascii="Times New Roman" w:hAnsi="Times New Roman" w:eastAsia="楷体_GB2312" w:cs="楷体_GB2312"/>
          <w:b w:val="0"/>
          <w:bCs w:val="0"/>
          <w:szCs w:val="32"/>
          <w:lang w:val="en-US" w:eastAsia="zh-CN"/>
        </w:rPr>
        <w:t>1</w:t>
      </w:r>
      <w:r>
        <w:rPr>
          <w:rFonts w:hint="eastAsia" w:ascii="Times New Roman" w:hAnsi="Times New Roman" w:eastAsia="楷体_GB2312" w:cs="楷体_GB2312"/>
          <w:b w:val="0"/>
          <w:bCs w:val="0"/>
          <w:szCs w:val="32"/>
          <w:lang w:eastAsia="zh-CN"/>
        </w:rPr>
        <w:t>）</w:t>
      </w:r>
      <w:r>
        <w:rPr>
          <w:rFonts w:hint="eastAsia" w:ascii="Times New Roman" w:hAnsi="Times New Roman" w:eastAsia="楷体_GB2312" w:cs="楷体_GB2312"/>
          <w:b w:val="0"/>
          <w:bCs w:val="0"/>
          <w:szCs w:val="32"/>
        </w:rPr>
        <w:t>项目资金使用情况。</w:t>
      </w:r>
      <w:r>
        <w:rPr>
          <w:rFonts w:hint="eastAsia" w:ascii="Times New Roman" w:hAnsi="Times New Roman" w:eastAsia="仿宋_GB2312" w:cs="仿宋_GB2312"/>
          <w:kern w:val="0"/>
          <w:szCs w:val="32"/>
          <w:shd w:val="clear" w:color="auto" w:fill="FFFFFF"/>
          <w:lang w:bidi="ar"/>
        </w:rPr>
        <w:t>项目资金来源为</w:t>
      </w:r>
      <w:r>
        <w:rPr>
          <w:rFonts w:hint="eastAsia" w:ascii="Times New Roman" w:hAnsi="Times New Roman" w:eastAsia="仿宋_GB2312" w:cs="仿宋_GB2312"/>
          <w:kern w:val="0"/>
          <w:szCs w:val="32"/>
          <w:shd w:val="clear" w:color="auto" w:fill="FFFFFF"/>
          <w:lang w:val="en-US" w:eastAsia="zh-CN" w:bidi="ar"/>
        </w:rPr>
        <w:t>财政拨款</w:t>
      </w:r>
      <w:r>
        <w:rPr>
          <w:rFonts w:hint="eastAsia" w:ascii="Times New Roman" w:hAnsi="Times New Roman" w:eastAsia="仿宋_GB2312" w:cs="仿宋_GB2312"/>
          <w:kern w:val="0"/>
          <w:szCs w:val="32"/>
          <w:shd w:val="clear" w:color="auto" w:fill="FFFFFF"/>
          <w:lang w:bidi="ar"/>
        </w:rPr>
        <w:t>。</w:t>
      </w:r>
      <w:r>
        <w:rPr>
          <w:rFonts w:hint="eastAsia" w:ascii="Times New Roman" w:hAnsi="Times New Roman" w:eastAsia="仿宋_GB2312" w:cs="仿宋_GB2312"/>
          <w:szCs w:val="32"/>
        </w:rPr>
        <w:t>项目资金使用有专门的制度</w:t>
      </w:r>
      <w:r>
        <w:rPr>
          <w:rFonts w:hint="eastAsia" w:ascii="Times New Roman" w:hAnsi="Times New Roman" w:eastAsia="仿宋_GB2312" w:cs="仿宋_GB2312"/>
          <w:kern w:val="0"/>
          <w:szCs w:val="32"/>
          <w:shd w:val="clear" w:color="auto" w:fill="FFFFFF"/>
          <w:lang w:bidi="ar"/>
        </w:rPr>
        <w:t>规范</w:t>
      </w:r>
      <w:r>
        <w:rPr>
          <w:rFonts w:hint="eastAsia" w:ascii="Times New Roman" w:hAnsi="Times New Roman" w:eastAsia="仿宋_GB2312" w:cs="仿宋_GB2312"/>
          <w:szCs w:val="32"/>
        </w:rPr>
        <w:t>，做到专款专用，资金使用合理。根据合同约定及考核结果，资金支付采取按季度进行结算，</w:t>
      </w:r>
      <w:r>
        <w:rPr>
          <w:rFonts w:hint="eastAsia" w:ascii="Times New Roman" w:hAnsi="Times New Roman" w:eastAsia="仿宋_GB2312" w:cs="仿宋_GB2312"/>
          <w:kern w:val="0"/>
          <w:szCs w:val="32"/>
          <w:shd w:val="clear" w:color="auto" w:fill="FFFFFF"/>
          <w:lang w:bidi="ar"/>
        </w:rPr>
        <w:t>项目资金预算及使用情况良好。</w:t>
      </w:r>
      <w:r>
        <w:rPr>
          <w:rFonts w:hint="eastAsia" w:ascii="Times New Roman" w:hAnsi="Times New Roman" w:eastAsia="仿宋_GB2312" w:cs="仿宋_GB2312"/>
          <w:szCs w:val="32"/>
        </w:rPr>
        <w:t>根据202</w:t>
      </w:r>
      <w:r>
        <w:rPr>
          <w:rFonts w:hint="eastAsia" w:ascii="Times New Roman" w:hAnsi="Times New Roman" w:eastAsia="仿宋_GB2312" w:cs="仿宋_GB2312"/>
          <w:szCs w:val="32"/>
          <w:lang w:val="en-US" w:eastAsia="zh-CN"/>
        </w:rPr>
        <w:t>2</w:t>
      </w:r>
      <w:r>
        <w:rPr>
          <w:rFonts w:hint="eastAsia" w:ascii="Times New Roman" w:hAnsi="Times New Roman" w:eastAsia="仿宋_GB2312" w:cs="仿宋_GB2312"/>
          <w:szCs w:val="32"/>
        </w:rPr>
        <w:t>年度的日常考评及资金支付情况，</w:t>
      </w:r>
      <w:r>
        <w:rPr>
          <w:rFonts w:hint="eastAsia" w:ascii="Times New Roman" w:hAnsi="Times New Roman" w:eastAsia="仿宋_GB2312" w:cs="仿宋_GB2312"/>
          <w:szCs w:val="32"/>
          <w:lang w:val="en-US" w:eastAsia="zh-CN"/>
        </w:rPr>
        <w:t>各</w:t>
      </w:r>
      <w:r>
        <w:rPr>
          <w:rFonts w:hint="eastAsia" w:ascii="Times New Roman" w:hAnsi="Times New Roman" w:eastAsia="仿宋_GB2312" w:cs="仿宋_GB2312"/>
          <w:szCs w:val="32"/>
        </w:rPr>
        <w:t>项目财政资金得到有效运用，资金支出活动符合规定的目标和要求</w:t>
      </w:r>
      <w:r>
        <w:rPr>
          <w:rFonts w:hint="eastAsia" w:ascii="Times New Roman" w:hAnsi="Times New Roman" w:eastAsia="仿宋_GB2312" w:cs="仿宋_GB2312"/>
          <w:szCs w:val="32"/>
          <w:lang w:eastAsia="zh-CN"/>
        </w:rPr>
        <w:t>。</w:t>
      </w:r>
      <w:r>
        <w:rPr>
          <w:rFonts w:hint="eastAsia" w:ascii="仿宋_GB2312" w:hAnsi="仿宋" w:eastAsia="仿宋_GB2312"/>
          <w:szCs w:val="32"/>
          <w:lang w:val="en-US" w:eastAsia="zh-CN"/>
        </w:rPr>
        <w:t>具体使用情况如下：</w:t>
      </w:r>
    </w:p>
    <w:p>
      <w:pPr>
        <w:spacing w:line="360" w:lineRule="exact"/>
        <w:jc w:val="right"/>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金额单位：万元</w:t>
      </w:r>
    </w:p>
    <w:tbl>
      <w:tblPr>
        <w:tblStyle w:val="14"/>
        <w:tblW w:w="4804" w:type="pct"/>
        <w:tblInd w:w="273" w:type="dxa"/>
        <w:tblLayout w:type="fixed"/>
        <w:tblCellMar>
          <w:top w:w="0" w:type="dxa"/>
          <w:left w:w="108" w:type="dxa"/>
          <w:bottom w:w="0" w:type="dxa"/>
          <w:right w:w="108" w:type="dxa"/>
        </w:tblCellMar>
      </w:tblPr>
      <w:tblGrid>
        <w:gridCol w:w="2238"/>
        <w:gridCol w:w="1225"/>
        <w:gridCol w:w="1312"/>
        <w:gridCol w:w="1200"/>
        <w:gridCol w:w="1250"/>
        <w:gridCol w:w="963"/>
      </w:tblGrid>
      <w:tr>
        <w:tblPrEx>
          <w:tblCellMar>
            <w:top w:w="0" w:type="dxa"/>
            <w:left w:w="108" w:type="dxa"/>
            <w:bottom w:w="0" w:type="dxa"/>
            <w:right w:w="108" w:type="dxa"/>
          </w:tblCellMar>
        </w:tblPrEx>
        <w:trPr>
          <w:trHeight w:val="454" w:hRule="exact"/>
          <w:tblHeader/>
        </w:trPr>
        <w:tc>
          <w:tcPr>
            <w:tcW w:w="13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 w:hAnsi="仿宋" w:cs="宋体"/>
                <w:b/>
                <w:bCs/>
                <w:color w:val="000000"/>
                <w:kern w:val="0"/>
                <w:sz w:val="18"/>
                <w:szCs w:val="18"/>
                <w:highlight w:val="none"/>
              </w:rPr>
            </w:pPr>
            <w:r>
              <w:rPr>
                <w:rFonts w:hint="eastAsia" w:ascii="仿宋" w:hAnsi="仿宋" w:cs="宋体"/>
                <w:b/>
                <w:bCs/>
                <w:color w:val="000000"/>
                <w:kern w:val="0"/>
                <w:sz w:val="18"/>
                <w:szCs w:val="18"/>
                <w:highlight w:val="none"/>
              </w:rPr>
              <w:t>项目名称</w:t>
            </w:r>
          </w:p>
        </w:tc>
        <w:tc>
          <w:tcPr>
            <w:tcW w:w="7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仿宋" w:hAnsi="仿宋" w:eastAsia="仿宋" w:cs="仿宋"/>
                <w:b/>
                <w:bCs/>
                <w:color w:val="000000"/>
                <w:kern w:val="0"/>
                <w:sz w:val="18"/>
                <w:szCs w:val="18"/>
                <w:highlight w:val="none"/>
                <w:lang w:val="en-US" w:eastAsia="zh-CN"/>
              </w:rPr>
            </w:pPr>
            <w:r>
              <w:rPr>
                <w:rFonts w:hint="eastAsia" w:ascii="仿宋" w:hAnsi="仿宋" w:cs="仿宋"/>
                <w:b/>
                <w:bCs/>
                <w:color w:val="000000"/>
                <w:kern w:val="0"/>
                <w:sz w:val="18"/>
                <w:szCs w:val="18"/>
                <w:highlight w:val="none"/>
                <w:lang w:val="en-US" w:eastAsia="zh-CN"/>
              </w:rPr>
              <w:t>年初预算</w:t>
            </w:r>
          </w:p>
        </w:tc>
        <w:tc>
          <w:tcPr>
            <w:tcW w:w="8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wordWrap/>
              <w:spacing w:line="240" w:lineRule="exact"/>
              <w:jc w:val="center"/>
              <w:rPr>
                <w:rFonts w:hint="default" w:ascii="仿宋" w:hAnsi="仿宋" w:eastAsia="仿宋" w:cs="仿宋"/>
                <w:b/>
                <w:bCs/>
                <w:color w:val="000000"/>
                <w:kern w:val="0"/>
                <w:sz w:val="18"/>
                <w:szCs w:val="18"/>
                <w:highlight w:val="none"/>
                <w:lang w:val="en-US" w:eastAsia="zh-CN" w:bidi="ar-SA"/>
              </w:rPr>
            </w:pPr>
            <w:r>
              <w:rPr>
                <w:rFonts w:hint="eastAsia" w:ascii="仿宋" w:hAnsi="仿宋" w:cs="仿宋"/>
                <w:b/>
                <w:bCs/>
                <w:color w:val="000000"/>
                <w:kern w:val="0"/>
                <w:sz w:val="18"/>
                <w:szCs w:val="18"/>
                <w:highlight w:val="none"/>
                <w:lang w:val="en-US" w:eastAsia="zh-CN" w:bidi="ar-SA"/>
              </w:rPr>
              <w:t>年终决算</w:t>
            </w:r>
          </w:p>
        </w:tc>
        <w:tc>
          <w:tcPr>
            <w:tcW w:w="73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wordWrap/>
              <w:spacing w:line="240" w:lineRule="exact"/>
              <w:jc w:val="center"/>
              <w:rPr>
                <w:rFonts w:hint="default" w:ascii="仿宋" w:hAnsi="仿宋" w:cs="仿宋"/>
                <w:b/>
                <w:bCs/>
                <w:color w:val="000000"/>
                <w:kern w:val="0"/>
                <w:sz w:val="18"/>
                <w:szCs w:val="18"/>
                <w:highlight w:val="none"/>
                <w:lang w:val="en-US" w:eastAsia="zh-CN"/>
              </w:rPr>
            </w:pPr>
            <w:r>
              <w:rPr>
                <w:rFonts w:hint="eastAsia" w:ascii="仿宋" w:hAnsi="仿宋" w:cs="仿宋"/>
                <w:b/>
                <w:bCs/>
                <w:color w:val="000000"/>
                <w:kern w:val="0"/>
                <w:sz w:val="18"/>
                <w:szCs w:val="18"/>
                <w:highlight w:val="none"/>
                <w:lang w:val="en-US" w:eastAsia="zh-CN"/>
              </w:rPr>
              <w:t>增加额</w:t>
            </w:r>
          </w:p>
        </w:tc>
        <w:tc>
          <w:tcPr>
            <w:tcW w:w="76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wordWrap/>
              <w:spacing w:line="240" w:lineRule="exact"/>
              <w:jc w:val="center"/>
              <w:rPr>
                <w:rFonts w:hint="default" w:ascii="仿宋" w:hAnsi="仿宋" w:cs="仿宋"/>
                <w:b/>
                <w:bCs/>
                <w:color w:val="000000"/>
                <w:kern w:val="0"/>
                <w:sz w:val="18"/>
                <w:szCs w:val="18"/>
                <w:highlight w:val="none"/>
                <w:lang w:val="en-US" w:eastAsia="zh-CN"/>
              </w:rPr>
            </w:pPr>
            <w:r>
              <w:rPr>
                <w:rFonts w:hint="eastAsia" w:ascii="仿宋" w:hAnsi="仿宋" w:cs="仿宋"/>
                <w:b/>
                <w:bCs/>
                <w:color w:val="000000"/>
                <w:kern w:val="0"/>
                <w:sz w:val="18"/>
                <w:szCs w:val="18"/>
                <w:highlight w:val="none"/>
                <w:lang w:val="en-US" w:eastAsia="zh-CN"/>
              </w:rPr>
              <w:t>增加比例</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仿宋" w:hAnsi="仿宋" w:eastAsia="仿宋" w:cs="仿宋"/>
                <w:b/>
                <w:bCs/>
                <w:color w:val="000000"/>
                <w:kern w:val="0"/>
                <w:sz w:val="18"/>
                <w:szCs w:val="18"/>
                <w:highlight w:val="none"/>
                <w:lang w:val="en-US" w:eastAsia="zh-CN" w:bidi="ar-SA"/>
              </w:rPr>
            </w:pPr>
            <w:r>
              <w:rPr>
                <w:rFonts w:hint="eastAsia" w:ascii="仿宋" w:hAnsi="仿宋" w:cs="仿宋"/>
                <w:b/>
                <w:bCs/>
                <w:color w:val="000000"/>
                <w:kern w:val="0"/>
                <w:sz w:val="18"/>
                <w:szCs w:val="18"/>
                <w:highlight w:val="none"/>
                <w:lang w:val="en-US" w:eastAsia="zh-CN"/>
              </w:rPr>
              <w:t>备注</w:t>
            </w:r>
          </w:p>
        </w:tc>
      </w:tr>
      <w:tr>
        <w:tblPrEx>
          <w:tblCellMar>
            <w:top w:w="0" w:type="dxa"/>
            <w:left w:w="108" w:type="dxa"/>
            <w:bottom w:w="0" w:type="dxa"/>
            <w:right w:w="108" w:type="dxa"/>
          </w:tblCellMar>
        </w:tblPrEx>
        <w:trPr>
          <w:trHeight w:val="499" w:hRule="exact"/>
        </w:trPr>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 w:hAnsi="仿宋" w:cs="宋体"/>
                <w:color w:val="000000"/>
                <w:kern w:val="0"/>
                <w:sz w:val="18"/>
                <w:szCs w:val="18"/>
                <w:highlight w:val="none"/>
              </w:rPr>
            </w:pPr>
            <w:r>
              <w:rPr>
                <w:rFonts w:hint="eastAsia" w:ascii="仿宋" w:hAnsi="仿宋" w:cs="宋体"/>
                <w:color w:val="000000"/>
                <w:kern w:val="0"/>
                <w:sz w:val="18"/>
                <w:szCs w:val="18"/>
                <w:highlight w:val="none"/>
                <w:lang w:val="en-US" w:eastAsia="zh-CN"/>
              </w:rPr>
              <w:t>民意调查中心工作经费</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hint="default" w:ascii="仿宋" w:hAnsi="仿宋" w:cs="宋体"/>
                <w:color w:val="000000"/>
                <w:kern w:val="0"/>
                <w:sz w:val="18"/>
                <w:szCs w:val="18"/>
                <w:highlight w:val="none"/>
                <w:lang w:val="en-US"/>
              </w:rPr>
            </w:pPr>
            <w:r>
              <w:rPr>
                <w:rFonts w:hint="eastAsia" w:ascii="仿宋" w:hAnsi="仿宋" w:cs="宋体"/>
                <w:color w:val="000000"/>
                <w:kern w:val="0"/>
                <w:sz w:val="18"/>
                <w:szCs w:val="18"/>
                <w:highlight w:val="none"/>
                <w:lang w:val="en-US" w:eastAsia="zh-CN"/>
              </w:rPr>
              <w:t>45.00</w:t>
            </w:r>
          </w:p>
        </w:tc>
        <w:tc>
          <w:tcPr>
            <w:tcW w:w="8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textAlignment w:val="auto"/>
              <w:rPr>
                <w:rFonts w:hint="default" w:ascii="仿宋" w:hAnsi="仿宋" w:cs="宋体"/>
                <w:color w:val="000000"/>
                <w:kern w:val="0"/>
                <w:sz w:val="18"/>
                <w:szCs w:val="18"/>
                <w:highlight w:val="none"/>
                <w:lang w:val="en-US" w:eastAsia="zh-CN"/>
              </w:rPr>
            </w:pPr>
            <w:r>
              <w:rPr>
                <w:rFonts w:hint="eastAsia" w:ascii="仿宋" w:hAnsi="仿宋" w:cs="宋体"/>
                <w:color w:val="000000"/>
                <w:kern w:val="0"/>
                <w:sz w:val="18"/>
                <w:szCs w:val="18"/>
                <w:highlight w:val="none"/>
                <w:lang w:val="en-US" w:eastAsia="zh-CN"/>
              </w:rPr>
              <w:t>47.28</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20" w:lineRule="exact"/>
              <w:jc w:val="right"/>
              <w:textAlignment w:val="auto"/>
              <w:rPr>
                <w:rFonts w:hint="eastAsia" w:ascii="仿宋" w:hAnsi="仿宋" w:cs="宋体"/>
                <w:color w:val="000000"/>
                <w:kern w:val="0"/>
                <w:sz w:val="18"/>
                <w:szCs w:val="18"/>
                <w:highlight w:val="none"/>
                <w:lang w:val="en-US" w:eastAsia="zh-CN"/>
              </w:rPr>
            </w:pPr>
            <w:r>
              <w:rPr>
                <w:rFonts w:hint="default" w:ascii="仿宋" w:hAnsi="仿宋" w:cs="宋体"/>
                <w:color w:val="000000"/>
                <w:kern w:val="0"/>
                <w:sz w:val="18"/>
                <w:szCs w:val="18"/>
                <w:highlight w:val="none"/>
                <w:lang w:val="en-US" w:eastAsia="zh-CN"/>
              </w:rPr>
              <w:t>-2.28</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20" w:lineRule="exact"/>
              <w:jc w:val="right"/>
              <w:textAlignment w:val="auto"/>
              <w:rPr>
                <w:rFonts w:hint="eastAsia" w:ascii="仿宋" w:hAnsi="仿宋" w:cs="宋体"/>
                <w:color w:val="000000"/>
                <w:kern w:val="0"/>
                <w:sz w:val="18"/>
                <w:szCs w:val="18"/>
                <w:highlight w:val="none"/>
                <w:lang w:val="en-US" w:eastAsia="zh-CN"/>
              </w:rPr>
            </w:pPr>
            <w:r>
              <w:rPr>
                <w:rFonts w:hint="default" w:ascii="仿宋" w:hAnsi="仿宋" w:cs="宋体"/>
                <w:color w:val="000000"/>
                <w:kern w:val="0"/>
                <w:sz w:val="18"/>
                <w:szCs w:val="18"/>
                <w:highlight w:val="none"/>
                <w:lang w:val="en-US" w:eastAsia="zh-CN"/>
              </w:rPr>
              <w:t>-5.07%</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000000"/>
                <w:kern w:val="0"/>
                <w:sz w:val="18"/>
                <w:szCs w:val="18"/>
                <w:highlight w:val="none"/>
              </w:rPr>
            </w:pPr>
          </w:p>
        </w:tc>
      </w:tr>
      <w:tr>
        <w:trPr>
          <w:trHeight w:val="499" w:hRule="exact"/>
        </w:trPr>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 w:hAnsi="仿宋" w:cs="宋体"/>
                <w:color w:val="000000"/>
                <w:kern w:val="0"/>
                <w:sz w:val="18"/>
                <w:szCs w:val="18"/>
                <w:highlight w:val="none"/>
              </w:rPr>
            </w:pPr>
            <w:r>
              <w:rPr>
                <w:rFonts w:hint="eastAsia" w:ascii="仿宋" w:hAnsi="仿宋" w:cs="宋体"/>
                <w:color w:val="000000"/>
                <w:kern w:val="0"/>
                <w:sz w:val="18"/>
                <w:szCs w:val="18"/>
                <w:highlight w:val="none"/>
                <w:lang w:val="en-US" w:eastAsia="zh-CN"/>
              </w:rPr>
              <w:t>统计抽样调查</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hint="eastAsia" w:ascii="仿宋" w:hAnsi="仿宋" w:cs="宋体"/>
                <w:color w:val="000000"/>
                <w:kern w:val="0"/>
                <w:sz w:val="18"/>
                <w:szCs w:val="18"/>
                <w:highlight w:val="none"/>
              </w:rPr>
            </w:pPr>
            <w:r>
              <w:rPr>
                <w:rFonts w:hint="eastAsia" w:ascii="仿宋" w:hAnsi="仿宋" w:cs="宋体"/>
                <w:color w:val="000000"/>
                <w:kern w:val="0"/>
                <w:sz w:val="18"/>
                <w:szCs w:val="18"/>
                <w:highlight w:val="none"/>
                <w:lang w:val="en-US" w:eastAsia="zh-CN"/>
              </w:rPr>
              <w:t>44.42</w:t>
            </w:r>
          </w:p>
        </w:tc>
        <w:tc>
          <w:tcPr>
            <w:tcW w:w="8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textAlignment w:val="auto"/>
              <w:rPr>
                <w:rFonts w:hint="default" w:ascii="仿宋" w:hAnsi="仿宋" w:cs="宋体"/>
                <w:color w:val="000000"/>
                <w:kern w:val="0"/>
                <w:sz w:val="18"/>
                <w:szCs w:val="18"/>
                <w:highlight w:val="none"/>
                <w:lang w:val="en-US" w:eastAsia="zh-CN"/>
              </w:rPr>
            </w:pPr>
            <w:r>
              <w:rPr>
                <w:rFonts w:hint="eastAsia" w:ascii="仿宋" w:hAnsi="仿宋" w:cs="宋体"/>
                <w:color w:val="000000"/>
                <w:kern w:val="0"/>
                <w:sz w:val="18"/>
                <w:szCs w:val="18"/>
                <w:highlight w:val="none"/>
                <w:lang w:val="en-US" w:eastAsia="zh-CN"/>
              </w:rPr>
              <w:t>31.55</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20" w:lineRule="exact"/>
              <w:jc w:val="right"/>
              <w:textAlignment w:val="auto"/>
              <w:rPr>
                <w:rFonts w:hint="eastAsia" w:ascii="仿宋" w:hAnsi="仿宋" w:cs="宋体"/>
                <w:color w:val="000000"/>
                <w:kern w:val="0"/>
                <w:sz w:val="18"/>
                <w:szCs w:val="18"/>
                <w:highlight w:val="none"/>
                <w:lang w:val="en-US" w:eastAsia="zh-CN"/>
              </w:rPr>
            </w:pPr>
            <w:r>
              <w:rPr>
                <w:rFonts w:hint="default" w:ascii="仿宋" w:hAnsi="仿宋" w:cs="宋体"/>
                <w:color w:val="000000"/>
                <w:kern w:val="0"/>
                <w:sz w:val="18"/>
                <w:szCs w:val="18"/>
                <w:highlight w:val="none"/>
                <w:lang w:val="en-US" w:eastAsia="zh-CN"/>
              </w:rPr>
              <w:t>12.87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20" w:lineRule="exact"/>
              <w:jc w:val="right"/>
              <w:textAlignment w:val="auto"/>
              <w:rPr>
                <w:rFonts w:hint="eastAsia" w:ascii="仿宋" w:hAnsi="仿宋" w:cs="宋体"/>
                <w:color w:val="000000"/>
                <w:kern w:val="0"/>
                <w:sz w:val="18"/>
                <w:szCs w:val="18"/>
                <w:highlight w:val="none"/>
                <w:lang w:val="en-US" w:eastAsia="zh-CN"/>
              </w:rPr>
            </w:pPr>
            <w:r>
              <w:rPr>
                <w:rFonts w:hint="default" w:ascii="仿宋" w:hAnsi="仿宋" w:cs="宋体"/>
                <w:color w:val="000000"/>
                <w:kern w:val="0"/>
                <w:sz w:val="18"/>
                <w:szCs w:val="18"/>
                <w:highlight w:val="none"/>
                <w:lang w:val="en-US" w:eastAsia="zh-CN"/>
              </w:rPr>
              <w:t>28.97%</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000000"/>
                <w:kern w:val="0"/>
                <w:sz w:val="18"/>
                <w:szCs w:val="18"/>
                <w:highlight w:val="none"/>
              </w:rPr>
            </w:pPr>
          </w:p>
        </w:tc>
      </w:tr>
      <w:tr>
        <w:trPr>
          <w:trHeight w:val="499" w:hRule="exact"/>
        </w:trPr>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 w:hAnsi="仿宋" w:cs="宋体"/>
                <w:color w:val="000000"/>
                <w:kern w:val="0"/>
                <w:sz w:val="18"/>
                <w:szCs w:val="18"/>
                <w:highlight w:val="none"/>
              </w:rPr>
            </w:pPr>
            <w:r>
              <w:rPr>
                <w:rFonts w:hint="eastAsia" w:ascii="仿宋" w:hAnsi="仿宋" w:cs="宋体"/>
                <w:color w:val="000000"/>
                <w:kern w:val="0"/>
                <w:sz w:val="18"/>
                <w:szCs w:val="18"/>
                <w:highlight w:val="none"/>
                <w:lang w:val="en-US" w:eastAsia="zh-CN"/>
              </w:rPr>
              <w:t>统计数据质量监管平台经费</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hint="default" w:ascii="仿宋" w:hAnsi="仿宋" w:cs="宋体"/>
                <w:color w:val="000000"/>
                <w:kern w:val="0"/>
                <w:sz w:val="18"/>
                <w:szCs w:val="18"/>
                <w:highlight w:val="none"/>
                <w:lang w:val="en-US"/>
              </w:rPr>
            </w:pPr>
            <w:r>
              <w:rPr>
                <w:rFonts w:hint="eastAsia" w:ascii="仿宋" w:hAnsi="仿宋" w:cs="宋体"/>
                <w:color w:val="000000"/>
                <w:kern w:val="0"/>
                <w:sz w:val="18"/>
                <w:szCs w:val="18"/>
                <w:highlight w:val="none"/>
                <w:lang w:val="en-US" w:eastAsia="zh-CN"/>
              </w:rPr>
              <w:t>30.00</w:t>
            </w:r>
          </w:p>
        </w:tc>
        <w:tc>
          <w:tcPr>
            <w:tcW w:w="8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textAlignment w:val="auto"/>
              <w:rPr>
                <w:rFonts w:hint="default" w:ascii="仿宋" w:hAnsi="仿宋" w:cs="宋体"/>
                <w:color w:val="000000"/>
                <w:kern w:val="0"/>
                <w:sz w:val="18"/>
                <w:szCs w:val="18"/>
                <w:highlight w:val="none"/>
                <w:lang w:val="en-US" w:eastAsia="zh-CN"/>
              </w:rPr>
            </w:pPr>
            <w:r>
              <w:rPr>
                <w:rFonts w:hint="eastAsia" w:ascii="仿宋" w:hAnsi="仿宋" w:cs="宋体"/>
                <w:color w:val="000000"/>
                <w:kern w:val="0"/>
                <w:sz w:val="18"/>
                <w:szCs w:val="18"/>
                <w:highlight w:val="none"/>
                <w:lang w:val="en-US" w:eastAsia="zh-CN"/>
              </w:rPr>
              <w:t>29.43</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20" w:lineRule="exact"/>
              <w:jc w:val="right"/>
              <w:textAlignment w:val="auto"/>
              <w:rPr>
                <w:rFonts w:hint="eastAsia" w:ascii="仿宋" w:hAnsi="仿宋" w:cs="宋体"/>
                <w:color w:val="000000"/>
                <w:kern w:val="0"/>
                <w:sz w:val="18"/>
                <w:szCs w:val="18"/>
                <w:highlight w:val="none"/>
                <w:lang w:val="en-US" w:eastAsia="zh-CN"/>
              </w:rPr>
            </w:pPr>
            <w:r>
              <w:rPr>
                <w:rFonts w:hint="default" w:ascii="仿宋" w:hAnsi="仿宋" w:cs="宋体"/>
                <w:color w:val="000000"/>
                <w:kern w:val="0"/>
                <w:sz w:val="18"/>
                <w:szCs w:val="18"/>
                <w:highlight w:val="none"/>
                <w:lang w:val="en-US" w:eastAsia="zh-CN"/>
              </w:rPr>
              <w:t>0.57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20" w:lineRule="exact"/>
              <w:jc w:val="right"/>
              <w:textAlignment w:val="auto"/>
              <w:rPr>
                <w:rFonts w:hint="eastAsia" w:ascii="仿宋" w:hAnsi="仿宋" w:cs="宋体"/>
                <w:color w:val="000000"/>
                <w:kern w:val="0"/>
                <w:sz w:val="18"/>
                <w:szCs w:val="18"/>
                <w:highlight w:val="none"/>
                <w:lang w:val="en-US" w:eastAsia="zh-CN"/>
              </w:rPr>
            </w:pPr>
            <w:r>
              <w:rPr>
                <w:rFonts w:hint="default" w:ascii="仿宋" w:hAnsi="仿宋" w:cs="宋体"/>
                <w:color w:val="000000"/>
                <w:kern w:val="0"/>
                <w:sz w:val="18"/>
                <w:szCs w:val="18"/>
                <w:highlight w:val="none"/>
                <w:lang w:val="en-US" w:eastAsia="zh-CN"/>
              </w:rPr>
              <w:t>1.90%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000000"/>
                <w:kern w:val="0"/>
                <w:sz w:val="18"/>
                <w:szCs w:val="18"/>
                <w:highlight w:val="none"/>
              </w:rPr>
            </w:pPr>
          </w:p>
        </w:tc>
      </w:tr>
      <w:tr>
        <w:trPr>
          <w:trHeight w:val="499" w:hRule="exact"/>
        </w:trPr>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 w:hAnsi="仿宋" w:cs="宋体"/>
                <w:color w:val="000000"/>
                <w:kern w:val="0"/>
                <w:sz w:val="18"/>
                <w:szCs w:val="18"/>
                <w:lang w:val="en-US" w:eastAsia="zh-CN"/>
              </w:rPr>
            </w:pPr>
            <w:r>
              <w:rPr>
                <w:rFonts w:hint="eastAsia" w:ascii="仿宋" w:hAnsi="仿宋" w:cs="宋体"/>
                <w:color w:val="000000"/>
                <w:kern w:val="0"/>
                <w:sz w:val="18"/>
                <w:szCs w:val="18"/>
                <w:lang w:val="en-US" w:eastAsia="zh-CN"/>
              </w:rPr>
              <w:t>百强调研经费</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hint="eastAsia" w:ascii="仿宋" w:hAnsi="仿宋" w:cs="宋体"/>
                <w:color w:val="000000"/>
                <w:kern w:val="0"/>
                <w:sz w:val="18"/>
                <w:szCs w:val="18"/>
                <w:lang w:val="en-US" w:eastAsia="zh-CN"/>
              </w:rPr>
            </w:pPr>
            <w:r>
              <w:rPr>
                <w:rFonts w:hint="eastAsia" w:ascii="仿宋" w:hAnsi="仿宋" w:cs="宋体"/>
                <w:color w:val="000000"/>
                <w:kern w:val="0"/>
                <w:sz w:val="18"/>
                <w:szCs w:val="18"/>
                <w:lang w:val="en-US" w:eastAsia="zh-CN"/>
              </w:rPr>
              <w:t>10.00</w:t>
            </w:r>
          </w:p>
        </w:tc>
        <w:tc>
          <w:tcPr>
            <w:tcW w:w="8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textAlignment w:val="auto"/>
              <w:rPr>
                <w:rFonts w:hint="default" w:ascii="仿宋" w:hAnsi="仿宋" w:cs="宋体"/>
                <w:color w:val="000000"/>
                <w:kern w:val="0"/>
                <w:sz w:val="18"/>
                <w:szCs w:val="18"/>
                <w:lang w:val="en-US" w:eastAsia="zh-CN"/>
              </w:rPr>
            </w:pPr>
            <w:r>
              <w:rPr>
                <w:rFonts w:hint="eastAsia" w:ascii="仿宋" w:hAnsi="仿宋" w:cs="宋体"/>
                <w:color w:val="000000"/>
                <w:kern w:val="0"/>
                <w:sz w:val="18"/>
                <w:szCs w:val="18"/>
                <w:lang w:val="en-US" w:eastAsia="zh-CN"/>
              </w:rPr>
              <w:t>69.10</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20" w:lineRule="exact"/>
              <w:jc w:val="right"/>
              <w:textAlignment w:val="auto"/>
              <w:rPr>
                <w:rFonts w:hint="eastAsia" w:ascii="仿宋" w:hAnsi="仿宋" w:cs="宋体"/>
                <w:color w:val="000000"/>
                <w:kern w:val="0"/>
                <w:sz w:val="18"/>
                <w:szCs w:val="18"/>
                <w:lang w:val="en-US" w:eastAsia="zh-CN"/>
              </w:rPr>
            </w:pPr>
            <w:r>
              <w:rPr>
                <w:rFonts w:hint="default" w:ascii="仿宋" w:hAnsi="仿宋" w:cs="宋体"/>
                <w:color w:val="000000"/>
                <w:kern w:val="0"/>
                <w:sz w:val="18"/>
                <w:szCs w:val="18"/>
                <w:lang w:val="en-US" w:eastAsia="zh-CN"/>
              </w:rPr>
              <w:t>-59.1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20" w:lineRule="exact"/>
              <w:jc w:val="right"/>
              <w:textAlignment w:val="auto"/>
              <w:rPr>
                <w:rFonts w:hint="eastAsia" w:ascii="仿宋" w:hAnsi="仿宋" w:cs="宋体"/>
                <w:color w:val="000000"/>
                <w:kern w:val="0"/>
                <w:sz w:val="18"/>
                <w:szCs w:val="18"/>
                <w:lang w:val="en-US" w:eastAsia="zh-CN"/>
              </w:rPr>
            </w:pPr>
            <w:r>
              <w:rPr>
                <w:rFonts w:hint="default" w:ascii="仿宋" w:hAnsi="仿宋" w:cs="宋体"/>
                <w:color w:val="000000"/>
                <w:kern w:val="0"/>
                <w:sz w:val="18"/>
                <w:szCs w:val="18"/>
                <w:lang w:val="en-US" w:eastAsia="zh-CN"/>
              </w:rPr>
              <w:t>-591.00%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000000"/>
                <w:kern w:val="0"/>
                <w:sz w:val="18"/>
                <w:szCs w:val="18"/>
              </w:rPr>
            </w:pPr>
          </w:p>
        </w:tc>
      </w:tr>
      <w:tr>
        <w:trPr>
          <w:trHeight w:val="499" w:hRule="exact"/>
        </w:trPr>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 w:hAnsi="仿宋" w:cs="宋体"/>
                <w:color w:val="000000"/>
                <w:kern w:val="0"/>
                <w:sz w:val="18"/>
                <w:szCs w:val="18"/>
                <w:lang w:val="en-US" w:eastAsia="zh-CN"/>
              </w:rPr>
            </w:pPr>
            <w:r>
              <w:rPr>
                <w:rFonts w:hint="eastAsia" w:ascii="仿宋" w:hAnsi="仿宋" w:cs="宋体"/>
                <w:color w:val="000000"/>
                <w:kern w:val="0"/>
                <w:sz w:val="18"/>
                <w:szCs w:val="18"/>
                <w:lang w:val="en-US" w:eastAsia="zh-CN"/>
              </w:rPr>
              <w:t>乡镇目标管理经费</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hint="eastAsia" w:ascii="仿宋" w:hAnsi="仿宋" w:cs="宋体"/>
                <w:color w:val="000000"/>
                <w:kern w:val="0"/>
                <w:sz w:val="18"/>
                <w:szCs w:val="18"/>
                <w:lang w:val="en-US" w:eastAsia="zh-CN"/>
              </w:rPr>
            </w:pPr>
            <w:r>
              <w:rPr>
                <w:rFonts w:hint="eastAsia" w:ascii="仿宋" w:hAnsi="仿宋" w:cs="宋体"/>
                <w:color w:val="000000"/>
                <w:kern w:val="0"/>
                <w:sz w:val="18"/>
                <w:szCs w:val="18"/>
                <w:lang w:val="en-US" w:eastAsia="zh-CN"/>
              </w:rPr>
              <w:t>5.00</w:t>
            </w:r>
          </w:p>
        </w:tc>
        <w:tc>
          <w:tcPr>
            <w:tcW w:w="8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textAlignment w:val="auto"/>
              <w:rPr>
                <w:rFonts w:hint="default" w:ascii="仿宋" w:hAnsi="仿宋" w:cs="宋体"/>
                <w:color w:val="000000"/>
                <w:kern w:val="0"/>
                <w:sz w:val="18"/>
                <w:szCs w:val="18"/>
                <w:lang w:val="en-US" w:eastAsia="zh-CN"/>
              </w:rPr>
            </w:pPr>
            <w:r>
              <w:rPr>
                <w:rFonts w:hint="eastAsia" w:ascii="仿宋" w:hAnsi="仿宋" w:cs="宋体"/>
                <w:color w:val="000000"/>
                <w:kern w:val="0"/>
                <w:sz w:val="18"/>
                <w:szCs w:val="18"/>
                <w:lang w:val="en-US" w:eastAsia="zh-CN"/>
              </w:rPr>
              <w:t>123.97</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20" w:lineRule="exact"/>
              <w:jc w:val="right"/>
              <w:textAlignment w:val="auto"/>
              <w:rPr>
                <w:rFonts w:hint="eastAsia" w:ascii="仿宋" w:hAnsi="仿宋" w:cs="宋体"/>
                <w:color w:val="000000"/>
                <w:kern w:val="0"/>
                <w:sz w:val="18"/>
                <w:szCs w:val="18"/>
                <w:lang w:val="en-US" w:eastAsia="zh-CN"/>
              </w:rPr>
            </w:pPr>
            <w:r>
              <w:rPr>
                <w:rFonts w:hint="default" w:ascii="仿宋" w:hAnsi="仿宋" w:cs="宋体"/>
                <w:color w:val="000000"/>
                <w:kern w:val="0"/>
                <w:sz w:val="18"/>
                <w:szCs w:val="18"/>
                <w:lang w:val="en-US" w:eastAsia="zh-CN"/>
              </w:rPr>
              <w:t>-118.97</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20" w:lineRule="exact"/>
              <w:jc w:val="right"/>
              <w:textAlignment w:val="auto"/>
              <w:rPr>
                <w:rFonts w:hint="eastAsia" w:ascii="仿宋" w:hAnsi="仿宋" w:cs="宋体"/>
                <w:color w:val="000000"/>
                <w:kern w:val="0"/>
                <w:sz w:val="18"/>
                <w:szCs w:val="18"/>
                <w:lang w:val="en-US" w:eastAsia="zh-CN"/>
              </w:rPr>
            </w:pPr>
            <w:r>
              <w:rPr>
                <w:rFonts w:hint="default" w:ascii="仿宋" w:hAnsi="仿宋" w:cs="宋体"/>
                <w:color w:val="000000"/>
                <w:kern w:val="0"/>
                <w:sz w:val="18"/>
                <w:szCs w:val="18"/>
                <w:lang w:val="en-US" w:eastAsia="zh-CN"/>
              </w:rPr>
              <w:t>-2379.40%</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000000"/>
                <w:kern w:val="0"/>
                <w:sz w:val="18"/>
                <w:szCs w:val="18"/>
              </w:rPr>
            </w:pPr>
          </w:p>
        </w:tc>
      </w:tr>
      <w:tr>
        <w:trPr>
          <w:trHeight w:val="499" w:hRule="exact"/>
        </w:trPr>
        <w:tc>
          <w:tcPr>
            <w:tcW w:w="22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 w:hAnsi="仿宋" w:cs="宋体"/>
                <w:color w:val="000000"/>
                <w:kern w:val="0"/>
                <w:sz w:val="18"/>
                <w:szCs w:val="18"/>
                <w:lang w:val="en-US" w:eastAsia="zh-CN"/>
              </w:rPr>
            </w:pPr>
            <w:r>
              <w:rPr>
                <w:rFonts w:hint="eastAsia" w:ascii="仿宋" w:hAnsi="仿宋" w:cs="宋体"/>
                <w:color w:val="000000"/>
                <w:kern w:val="0"/>
                <w:sz w:val="18"/>
                <w:szCs w:val="18"/>
                <w:lang w:val="en-US" w:eastAsia="zh-CN"/>
              </w:rPr>
              <w:t>专项普查经费</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right"/>
              <w:rPr>
                <w:rFonts w:hint="eastAsia" w:ascii="仿宋" w:hAnsi="仿宋" w:cs="宋体"/>
                <w:color w:val="000000"/>
                <w:kern w:val="0"/>
                <w:sz w:val="18"/>
                <w:szCs w:val="18"/>
                <w:lang w:val="en-US" w:eastAsia="zh-CN"/>
              </w:rPr>
            </w:pPr>
            <w:r>
              <w:rPr>
                <w:rFonts w:hint="eastAsia" w:ascii="仿宋" w:hAnsi="仿宋" w:cs="宋体"/>
                <w:color w:val="000000"/>
                <w:kern w:val="0"/>
                <w:sz w:val="18"/>
                <w:szCs w:val="18"/>
                <w:lang w:val="en-US" w:eastAsia="zh-CN"/>
              </w:rPr>
              <w:t>4.00</w:t>
            </w:r>
          </w:p>
        </w:tc>
        <w:tc>
          <w:tcPr>
            <w:tcW w:w="8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textAlignment w:val="auto"/>
              <w:rPr>
                <w:rFonts w:hint="default" w:ascii="仿宋" w:hAnsi="仿宋" w:cs="宋体"/>
                <w:color w:val="000000"/>
                <w:kern w:val="0"/>
                <w:sz w:val="18"/>
                <w:szCs w:val="18"/>
                <w:lang w:val="en-US" w:eastAsia="zh-CN"/>
              </w:rPr>
            </w:pPr>
            <w:r>
              <w:rPr>
                <w:rFonts w:hint="eastAsia" w:ascii="仿宋" w:hAnsi="仿宋" w:cs="宋体"/>
                <w:color w:val="000000"/>
                <w:kern w:val="0"/>
                <w:sz w:val="18"/>
                <w:szCs w:val="18"/>
                <w:lang w:val="en-US" w:eastAsia="zh-CN"/>
              </w:rPr>
              <w:t>112.11</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20" w:lineRule="exact"/>
              <w:jc w:val="right"/>
              <w:textAlignment w:val="auto"/>
              <w:rPr>
                <w:rFonts w:hint="eastAsia" w:ascii="仿宋" w:hAnsi="仿宋" w:cs="宋体"/>
                <w:color w:val="000000"/>
                <w:kern w:val="0"/>
                <w:sz w:val="18"/>
                <w:szCs w:val="18"/>
                <w:lang w:val="en-US" w:eastAsia="zh-CN"/>
              </w:rPr>
            </w:pPr>
            <w:r>
              <w:rPr>
                <w:rFonts w:hint="default" w:ascii="仿宋" w:hAnsi="仿宋" w:cs="宋体"/>
                <w:color w:val="000000"/>
                <w:kern w:val="0"/>
                <w:sz w:val="18"/>
                <w:szCs w:val="18"/>
                <w:lang w:val="en-US" w:eastAsia="zh-CN"/>
              </w:rPr>
              <w:t>-108.11</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20" w:lineRule="exact"/>
              <w:jc w:val="right"/>
              <w:textAlignment w:val="auto"/>
              <w:rPr>
                <w:rFonts w:hint="eastAsia" w:ascii="仿宋" w:hAnsi="仿宋" w:cs="宋体"/>
                <w:color w:val="000000"/>
                <w:kern w:val="0"/>
                <w:sz w:val="18"/>
                <w:szCs w:val="18"/>
                <w:lang w:val="en-US" w:eastAsia="zh-CN"/>
              </w:rPr>
            </w:pPr>
            <w:r>
              <w:rPr>
                <w:rFonts w:hint="default" w:ascii="仿宋" w:hAnsi="仿宋" w:cs="宋体"/>
                <w:color w:val="000000"/>
                <w:kern w:val="0"/>
                <w:sz w:val="18"/>
                <w:szCs w:val="18"/>
                <w:lang w:val="en-US" w:eastAsia="zh-CN"/>
              </w:rPr>
              <w:t>-2702.75%</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000000"/>
                <w:kern w:val="0"/>
                <w:sz w:val="18"/>
                <w:szCs w:val="18"/>
              </w:rPr>
            </w:pPr>
          </w:p>
        </w:tc>
      </w:tr>
      <w:tr>
        <w:trPr>
          <w:trHeight w:val="499" w:hRule="exact"/>
        </w:trPr>
        <w:tc>
          <w:tcPr>
            <w:tcW w:w="13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仿宋" w:hAnsi="仿宋" w:cs="宋体"/>
                <w:color w:val="000000"/>
                <w:kern w:val="0"/>
                <w:sz w:val="18"/>
                <w:szCs w:val="18"/>
                <w:lang w:val="en-US" w:eastAsia="zh-CN"/>
              </w:rPr>
            </w:pPr>
            <w:r>
              <w:rPr>
                <w:rFonts w:hint="eastAsia" w:ascii="仿宋" w:hAnsi="仿宋" w:cs="宋体"/>
                <w:b/>
                <w:bCs/>
                <w:color w:val="000000"/>
                <w:kern w:val="0"/>
                <w:sz w:val="18"/>
                <w:szCs w:val="18"/>
                <w:lang w:val="en-US" w:eastAsia="zh-CN"/>
              </w:rPr>
              <w:t>合 计</w:t>
            </w:r>
          </w:p>
        </w:tc>
        <w:tc>
          <w:tcPr>
            <w:tcW w:w="7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宋体"/>
                <w:b/>
                <w:bCs/>
                <w:color w:val="000000"/>
                <w:kern w:val="0"/>
                <w:sz w:val="18"/>
                <w:szCs w:val="18"/>
                <w:lang w:val="en-US" w:eastAsia="zh-CN"/>
              </w:rPr>
            </w:pPr>
            <w:r>
              <w:rPr>
                <w:rFonts w:hint="eastAsia" w:ascii="仿宋" w:hAnsi="仿宋" w:cs="仿宋"/>
                <w:b/>
                <w:bCs/>
                <w:i w:val="0"/>
                <w:iCs w:val="0"/>
                <w:color w:val="000000"/>
                <w:kern w:val="0"/>
                <w:sz w:val="18"/>
                <w:szCs w:val="18"/>
                <w:u w:val="none"/>
                <w:lang w:val="en-US" w:eastAsia="zh-CN" w:bidi="ar"/>
              </w:rPr>
              <w:t>138.42</w:t>
            </w:r>
          </w:p>
        </w:tc>
        <w:tc>
          <w:tcPr>
            <w:tcW w:w="80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 w:hAnsi="仿宋" w:cs="宋体"/>
                <w:b/>
                <w:bCs/>
                <w:color w:val="000000"/>
                <w:kern w:val="0"/>
                <w:sz w:val="18"/>
                <w:szCs w:val="18"/>
                <w:lang w:val="en-US" w:eastAsia="zh-CN"/>
              </w:rPr>
            </w:pPr>
            <w:r>
              <w:rPr>
                <w:rFonts w:hint="eastAsia" w:ascii="仿宋" w:hAnsi="仿宋" w:cs="宋体"/>
                <w:b/>
                <w:bCs/>
                <w:color w:val="000000"/>
                <w:kern w:val="0"/>
                <w:sz w:val="18"/>
                <w:szCs w:val="18"/>
                <w:lang w:val="en-US" w:eastAsia="zh-CN"/>
              </w:rPr>
              <w:t>413.44</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hint="eastAsia" w:ascii="仿宋" w:hAnsi="仿宋" w:cs="宋体"/>
                <w:b/>
                <w:bCs/>
                <w:color w:val="000000"/>
                <w:kern w:val="0"/>
                <w:sz w:val="18"/>
                <w:szCs w:val="18"/>
                <w:lang w:val="en-US" w:eastAsia="zh-CN"/>
              </w:rPr>
            </w:pPr>
            <w:r>
              <w:rPr>
                <w:rFonts w:hint="default" w:ascii="仿宋" w:hAnsi="仿宋" w:cs="宋体"/>
                <w:b/>
                <w:bCs/>
                <w:color w:val="000000"/>
                <w:kern w:val="0"/>
                <w:sz w:val="18"/>
                <w:szCs w:val="18"/>
                <w:lang w:val="en-US" w:eastAsia="zh-CN"/>
              </w:rPr>
              <w:t>-275.02</w:t>
            </w: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hint="eastAsia" w:ascii="仿宋" w:hAnsi="仿宋" w:cs="宋体"/>
                <w:b/>
                <w:bCs/>
                <w:color w:val="000000"/>
                <w:kern w:val="0"/>
                <w:sz w:val="18"/>
                <w:szCs w:val="18"/>
                <w:lang w:val="en-US" w:eastAsia="zh-CN"/>
              </w:rPr>
            </w:pPr>
            <w:r>
              <w:rPr>
                <w:rFonts w:hint="default" w:ascii="仿宋" w:hAnsi="仿宋" w:cs="宋体"/>
                <w:b/>
                <w:bCs/>
                <w:color w:val="000000"/>
                <w:kern w:val="0"/>
                <w:sz w:val="18"/>
                <w:szCs w:val="18"/>
                <w:lang w:val="en-US" w:eastAsia="zh-CN"/>
              </w:rPr>
              <w:t>-198.69%</w:t>
            </w:r>
          </w:p>
        </w:tc>
        <w:tc>
          <w:tcPr>
            <w:tcW w:w="5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000000"/>
                <w:kern w:val="0"/>
                <w:sz w:val="18"/>
                <w:szCs w:val="18"/>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Cs w:val="32"/>
        </w:rPr>
      </w:pPr>
      <w:r>
        <w:rPr>
          <w:rFonts w:hint="eastAsia" w:ascii="Times New Roman" w:hAnsi="Times New Roman" w:eastAsia="楷体_GB2312" w:cs="楷体_GB2312"/>
          <w:b w:val="0"/>
          <w:bCs w:val="0"/>
          <w:szCs w:val="32"/>
          <w:lang w:eastAsia="zh-CN"/>
        </w:rPr>
        <w:t>（</w:t>
      </w:r>
      <w:r>
        <w:rPr>
          <w:rFonts w:hint="eastAsia" w:ascii="Times New Roman" w:hAnsi="Times New Roman" w:eastAsia="楷体_GB2312" w:cs="楷体_GB2312"/>
          <w:b w:val="0"/>
          <w:bCs w:val="0"/>
          <w:szCs w:val="32"/>
          <w:lang w:val="en-US" w:eastAsia="zh-CN"/>
        </w:rPr>
        <w:t>2</w:t>
      </w:r>
      <w:r>
        <w:rPr>
          <w:rFonts w:hint="eastAsia" w:ascii="Times New Roman" w:hAnsi="Times New Roman" w:eastAsia="楷体_GB2312" w:cs="楷体_GB2312"/>
          <w:b w:val="0"/>
          <w:bCs w:val="0"/>
          <w:szCs w:val="32"/>
          <w:lang w:eastAsia="zh-CN"/>
        </w:rPr>
        <w:t>）</w:t>
      </w:r>
      <w:r>
        <w:rPr>
          <w:rFonts w:hint="eastAsia" w:ascii="Times New Roman" w:hAnsi="Times New Roman" w:eastAsia="楷体_GB2312" w:cs="楷体_GB2312"/>
          <w:b w:val="0"/>
          <w:bCs w:val="0"/>
          <w:szCs w:val="32"/>
        </w:rPr>
        <w:t>项目管理情况。</w:t>
      </w:r>
      <w:r>
        <w:rPr>
          <w:rFonts w:hint="eastAsia" w:ascii="Times New Roman" w:hAnsi="Times New Roman" w:eastAsia="仿宋_GB2312" w:cs="Times New Roman"/>
          <w:szCs w:val="32"/>
        </w:rPr>
        <w:t>为加强项目</w:t>
      </w:r>
      <w:r>
        <w:rPr>
          <w:rFonts w:hint="eastAsia" w:ascii="Times New Roman" w:hAnsi="Times New Roman" w:eastAsia="仿宋_GB2312" w:cs="Times New Roman"/>
          <w:szCs w:val="32"/>
          <w:lang w:val="en-US" w:eastAsia="zh-CN"/>
        </w:rPr>
        <w:t>资金使用</w:t>
      </w:r>
      <w:r>
        <w:rPr>
          <w:rFonts w:hint="eastAsia" w:ascii="Times New Roman" w:hAnsi="Times New Roman" w:eastAsia="仿宋_GB2312" w:cs="Times New Roman"/>
          <w:szCs w:val="32"/>
        </w:rPr>
        <w:t>管理，提高内部控制管理水平，</w:t>
      </w:r>
      <w:r>
        <w:rPr>
          <w:rFonts w:hint="eastAsia" w:ascii="Times New Roman" w:hAnsi="Times New Roman" w:eastAsia="仿宋_GB2312" w:cs="Times New Roman"/>
          <w:szCs w:val="32"/>
          <w:lang w:val="en-US" w:eastAsia="zh-CN"/>
        </w:rPr>
        <w:t>统计局</w:t>
      </w:r>
      <w:r>
        <w:rPr>
          <w:rFonts w:hint="eastAsia" w:ascii="Times New Roman" w:hAnsi="Times New Roman" w:eastAsia="仿宋_GB2312" w:cs="Times New Roman"/>
          <w:szCs w:val="32"/>
        </w:rPr>
        <w:t>制定了</w:t>
      </w:r>
      <w:r>
        <w:rPr>
          <w:rFonts w:hint="eastAsia" w:ascii="仿宋_GB2312" w:hAnsi="Times New Roman" w:eastAsia="仿宋_GB2312" w:cs="Times New Roman"/>
          <w:bCs/>
          <w:szCs w:val="32"/>
          <w:lang w:eastAsia="zh-CN"/>
        </w:rPr>
        <w:t>《统计局</w:t>
      </w:r>
      <w:r>
        <w:rPr>
          <w:rFonts w:hint="eastAsia" w:ascii="仿宋_GB2312" w:hAnsi="Times New Roman" w:eastAsia="仿宋_GB2312" w:cs="Times New Roman"/>
          <w:bCs/>
          <w:szCs w:val="32"/>
        </w:rPr>
        <w:t>财务管理制度</w:t>
      </w:r>
      <w:r>
        <w:rPr>
          <w:rFonts w:hint="eastAsia" w:ascii="仿宋_GB2312" w:hAnsi="Times New Roman" w:eastAsia="仿宋_GB2312" w:cs="Times New Roman"/>
          <w:bCs/>
          <w:szCs w:val="32"/>
          <w:lang w:eastAsia="zh-CN"/>
        </w:rPr>
        <w:t>》《统计局</w:t>
      </w:r>
      <w:r>
        <w:rPr>
          <w:rFonts w:hint="eastAsia" w:ascii="仿宋_GB2312" w:hAnsi="Times New Roman" w:eastAsia="仿宋_GB2312" w:cs="Times New Roman"/>
          <w:bCs/>
          <w:szCs w:val="32"/>
        </w:rPr>
        <w:t>财政资金监管制度</w:t>
      </w:r>
      <w:r>
        <w:rPr>
          <w:rFonts w:hint="eastAsia" w:ascii="仿宋_GB2312" w:hAnsi="Times New Roman" w:eastAsia="仿宋_GB2312" w:cs="Times New Roman"/>
          <w:bCs/>
          <w:szCs w:val="32"/>
          <w:lang w:eastAsia="zh-CN"/>
        </w:rPr>
        <w:t>》《统计局</w:t>
      </w:r>
      <w:r>
        <w:rPr>
          <w:rFonts w:hint="eastAsia" w:ascii="仿宋_GB2312" w:hAnsi="Times New Roman" w:eastAsia="仿宋_GB2312" w:cs="Times New Roman"/>
          <w:bCs/>
          <w:szCs w:val="32"/>
        </w:rPr>
        <w:t>专项资金管理制度</w:t>
      </w:r>
      <w:r>
        <w:rPr>
          <w:rFonts w:hint="eastAsia" w:ascii="仿宋_GB2312" w:hAnsi="Times New Roman" w:eastAsia="仿宋_GB2312" w:cs="Times New Roman"/>
          <w:bCs/>
          <w:szCs w:val="32"/>
          <w:u w:val="none"/>
          <w:lang w:eastAsia="zh-CN"/>
        </w:rPr>
        <w:t>》</w:t>
      </w:r>
      <w:r>
        <w:rPr>
          <w:rFonts w:hint="eastAsia" w:ascii="Times New Roman" w:hAnsi="Times New Roman" w:eastAsia="仿宋_GB2312" w:cs="Times New Roman"/>
          <w:szCs w:val="32"/>
        </w:rPr>
        <w:t>等相关制度，项目资金的支付符合国家财经法规和财务管理制度规定，项目资金拨付有完整的审批程序和手续，符合部门预算批复的用途并按规定内容予以公开。</w:t>
      </w:r>
    </w:p>
    <w:p>
      <w:pPr>
        <w:spacing w:line="600" w:lineRule="exact"/>
        <w:ind w:firstLine="643" w:firstLineChars="200"/>
        <w:outlineLvl w:val="2"/>
        <w:rPr>
          <w:rFonts w:hint="default" w:ascii="楷体" w:hAnsi="楷体" w:eastAsia="楷体" w:cs="楷体"/>
          <w:b/>
          <w:bCs/>
          <w:szCs w:val="32"/>
          <w:lang w:val="en-US" w:eastAsia="zh-CN"/>
        </w:rPr>
      </w:pPr>
      <w:r>
        <w:rPr>
          <w:rFonts w:hint="eastAsia" w:ascii="楷体" w:hAnsi="楷体" w:eastAsia="楷体" w:cs="楷体"/>
          <w:b/>
          <w:bCs/>
          <w:szCs w:val="32"/>
          <w:lang w:val="en-US" w:eastAsia="zh-CN"/>
        </w:rPr>
        <w:t>3、项目资金使用及管理情况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Cs w:val="32"/>
          <w:highlight w:val="yellow"/>
          <w:lang w:val="en-US" w:eastAsia="zh-CN"/>
        </w:rPr>
      </w:pPr>
      <w:r>
        <w:rPr>
          <w:rFonts w:hint="eastAsia" w:ascii="Times New Roman" w:hAnsi="Times New Roman" w:eastAsia="楷体_GB2312" w:cs="楷体_GB2312"/>
          <w:b w:val="0"/>
          <w:bCs w:val="0"/>
          <w:szCs w:val="32"/>
          <w:lang w:eastAsia="zh-CN"/>
        </w:rPr>
        <w:t>（</w:t>
      </w:r>
      <w:r>
        <w:rPr>
          <w:rFonts w:hint="eastAsia" w:ascii="Times New Roman" w:hAnsi="Times New Roman" w:eastAsia="楷体_GB2312" w:cs="楷体_GB2312"/>
          <w:b w:val="0"/>
          <w:bCs w:val="0"/>
          <w:szCs w:val="32"/>
          <w:lang w:val="en-US" w:eastAsia="zh-CN"/>
        </w:rPr>
        <w:t>1</w:t>
      </w:r>
      <w:r>
        <w:rPr>
          <w:rFonts w:hint="eastAsia" w:ascii="Times New Roman" w:hAnsi="Times New Roman" w:eastAsia="楷体_GB2312" w:cs="楷体_GB2312"/>
          <w:b w:val="0"/>
          <w:bCs w:val="0"/>
          <w:szCs w:val="32"/>
          <w:lang w:eastAsia="zh-CN"/>
        </w:rPr>
        <w:t>）</w:t>
      </w:r>
      <w:r>
        <w:rPr>
          <w:rFonts w:hint="eastAsia" w:ascii="Times New Roman" w:hAnsi="Times New Roman" w:eastAsia="楷体_GB2312" w:cs="楷体_GB2312"/>
          <w:b w:val="0"/>
          <w:bCs w:val="0"/>
          <w:szCs w:val="32"/>
        </w:rPr>
        <w:t>项目</w:t>
      </w:r>
      <w:r>
        <w:rPr>
          <w:rFonts w:hint="eastAsia" w:ascii="Times New Roman" w:hAnsi="Times New Roman" w:eastAsia="楷体_GB2312" w:cs="楷体_GB2312"/>
          <w:b w:val="0"/>
          <w:bCs w:val="0"/>
          <w:szCs w:val="32"/>
          <w:lang w:val="en-US" w:eastAsia="zh-CN"/>
        </w:rPr>
        <w:t>组织情况分析</w:t>
      </w:r>
      <w:r>
        <w:rPr>
          <w:rFonts w:hint="eastAsia" w:ascii="Times New Roman" w:hAnsi="Times New Roman" w:eastAsia="楷体_GB2312" w:cs="楷体_GB2312"/>
          <w:b w:val="0"/>
          <w:bCs w:val="0"/>
          <w:szCs w:val="32"/>
        </w:rPr>
        <w:t>。</w:t>
      </w:r>
      <w:r>
        <w:rPr>
          <w:rFonts w:hint="eastAsia" w:ascii="Times New Roman" w:hAnsi="Times New Roman" w:eastAsia="仿宋_GB2312" w:cs="Times New Roman"/>
          <w:szCs w:val="32"/>
        </w:rPr>
        <w:t>加强对项目资金管理使用的监督检查及自查自纠行动，有效杜绝挤占挪用项目资金的违法违纪行为。资金使用情况基本合规项目支出的具体内容对象、用途等事项明确、清晰，项目资金支出为项目支出</w:t>
      </w:r>
      <w:r>
        <w:rPr>
          <w:rFonts w:hint="eastAsia" w:ascii="Times New Roman" w:hAnsi="Times New Roman" w:eastAsia="仿宋_GB2312" w:cs="Times New Roman"/>
          <w:szCs w:val="32"/>
          <w:lang w:eastAsia="zh-CN"/>
        </w:rPr>
        <w:t>，</w:t>
      </w:r>
      <w:r>
        <w:rPr>
          <w:rFonts w:hint="eastAsia" w:ascii="Times New Roman" w:hAnsi="Times New Roman" w:eastAsia="仿宋_GB2312" w:cs="Times New Roman"/>
          <w:szCs w:val="32"/>
        </w:rPr>
        <w:t>未发现项目资金被挪作其他用途的情况。</w:t>
      </w:r>
    </w:p>
    <w:p>
      <w:pPr>
        <w:spacing w:line="600" w:lineRule="exact"/>
        <w:ind w:firstLine="640" w:firstLineChars="200"/>
        <w:rPr>
          <w:rFonts w:hint="eastAsia" w:ascii="Times New Roman" w:hAnsi="Times New Roman" w:eastAsia="仿宋_GB2312" w:cs="仿宋_GB2312"/>
          <w:szCs w:val="32"/>
        </w:rPr>
      </w:pPr>
      <w:r>
        <w:rPr>
          <w:rFonts w:hint="eastAsia" w:ascii="Times New Roman" w:hAnsi="Times New Roman" w:eastAsia="楷体_GB2312" w:cs="楷体_GB2312"/>
          <w:b w:val="0"/>
          <w:bCs w:val="0"/>
          <w:szCs w:val="32"/>
          <w:lang w:eastAsia="zh-CN"/>
        </w:rPr>
        <w:t>（</w:t>
      </w:r>
      <w:r>
        <w:rPr>
          <w:rFonts w:hint="eastAsia" w:ascii="Times New Roman" w:hAnsi="Times New Roman" w:eastAsia="楷体_GB2312" w:cs="楷体_GB2312"/>
          <w:b w:val="0"/>
          <w:bCs w:val="0"/>
          <w:szCs w:val="32"/>
          <w:lang w:val="en-US" w:eastAsia="zh-CN"/>
        </w:rPr>
        <w:t>2</w:t>
      </w:r>
      <w:r>
        <w:rPr>
          <w:rFonts w:hint="eastAsia" w:ascii="Times New Roman" w:hAnsi="Times New Roman" w:eastAsia="楷体_GB2312" w:cs="楷体_GB2312"/>
          <w:b w:val="0"/>
          <w:bCs w:val="0"/>
          <w:szCs w:val="32"/>
          <w:lang w:eastAsia="zh-CN"/>
        </w:rPr>
        <w:t>）</w:t>
      </w:r>
      <w:r>
        <w:rPr>
          <w:rFonts w:hint="eastAsia" w:ascii="Times New Roman" w:hAnsi="Times New Roman" w:eastAsia="楷体_GB2312" w:cs="楷体_GB2312"/>
          <w:b w:val="0"/>
          <w:bCs w:val="0"/>
          <w:szCs w:val="32"/>
        </w:rPr>
        <w:t>项目</w:t>
      </w:r>
      <w:r>
        <w:rPr>
          <w:rFonts w:hint="eastAsia" w:ascii="Times New Roman" w:hAnsi="Times New Roman" w:eastAsia="楷体_GB2312" w:cs="楷体_GB2312"/>
          <w:b w:val="0"/>
          <w:bCs w:val="0"/>
          <w:szCs w:val="32"/>
          <w:lang w:val="en-US" w:eastAsia="zh-CN"/>
        </w:rPr>
        <w:t>管理情况分析</w:t>
      </w:r>
      <w:r>
        <w:rPr>
          <w:rFonts w:hint="eastAsia" w:ascii="Times New Roman" w:hAnsi="Times New Roman" w:eastAsia="楷体_GB2312" w:cs="楷体_GB2312"/>
          <w:b w:val="0"/>
          <w:bCs w:val="0"/>
          <w:szCs w:val="32"/>
        </w:rPr>
        <w:t>。</w:t>
      </w:r>
      <w:r>
        <w:rPr>
          <w:rFonts w:hint="eastAsia" w:ascii="Times New Roman" w:hAnsi="Times New Roman" w:eastAsia="仿宋_GB2312" w:cs="仿宋_GB2312"/>
          <w:szCs w:val="32"/>
          <w:lang w:val="en-US" w:eastAsia="zh-CN"/>
        </w:rPr>
        <w:t>统计局</w:t>
      </w:r>
      <w:r>
        <w:rPr>
          <w:rFonts w:hint="eastAsia" w:ascii="Times New Roman" w:hAnsi="Times New Roman" w:eastAsia="仿宋_GB2312" w:cs="仿宋_GB2312"/>
          <w:szCs w:val="32"/>
        </w:rPr>
        <w:t>对</w:t>
      </w:r>
      <w:r>
        <w:rPr>
          <w:rFonts w:hint="eastAsia" w:ascii="Times New Roman" w:hAnsi="Times New Roman" w:eastAsia="仿宋_GB2312" w:cs="仿宋_GB2312"/>
          <w:szCs w:val="32"/>
          <w:lang w:val="en-US" w:eastAsia="zh-CN"/>
        </w:rPr>
        <w:t>各</w:t>
      </w:r>
      <w:r>
        <w:rPr>
          <w:rFonts w:hint="eastAsia" w:ascii="Times New Roman" w:hAnsi="Times New Roman" w:eastAsia="仿宋_GB2312" w:cs="仿宋_GB2312"/>
          <w:szCs w:val="32"/>
        </w:rPr>
        <w:t>项目实施严格管理，制定相应的管理制度和考评制度，通过定期或不定期组织检查，提高</w:t>
      </w:r>
      <w:r>
        <w:rPr>
          <w:rFonts w:hint="eastAsia" w:ascii="Times New Roman" w:hAnsi="Times New Roman" w:eastAsia="仿宋_GB2312" w:cs="仿宋_GB2312"/>
          <w:szCs w:val="32"/>
          <w:lang w:val="en-US" w:eastAsia="zh-CN"/>
        </w:rPr>
        <w:t>项目资金使用</w:t>
      </w:r>
      <w:r>
        <w:rPr>
          <w:rFonts w:hint="eastAsia" w:ascii="Times New Roman" w:hAnsi="Times New Roman" w:eastAsia="仿宋_GB2312" w:cs="仿宋_GB2312"/>
          <w:szCs w:val="32"/>
        </w:rPr>
        <w:t>效率和质量，逐渐形成以制度管人、管事。在日常管理中实行考核计分，采取日常检查计分和综合考评计分进行，其中日常检查设100分，实行倒扣分制；在重要迎检评比工作中表现突出的，可适当加分；年度综合考评根据日常计分和居民满意度测评得出结果。</w:t>
      </w:r>
    </w:p>
    <w:p>
      <w:pPr>
        <w:spacing w:line="600" w:lineRule="exact"/>
        <w:ind w:firstLine="643" w:firstLineChars="200"/>
        <w:rPr>
          <w:rFonts w:hint="eastAsia" w:ascii="楷体" w:hAnsi="楷体" w:eastAsia="楷体" w:cs="楷体"/>
          <w:b/>
          <w:bCs/>
          <w:szCs w:val="32"/>
          <w:lang w:val="en-US" w:eastAsia="zh-CN"/>
        </w:rPr>
      </w:pPr>
      <w:r>
        <w:rPr>
          <w:rFonts w:hint="eastAsia" w:ascii="楷体" w:hAnsi="楷体" w:eastAsia="楷体" w:cs="楷体"/>
          <w:b/>
          <w:bCs/>
          <w:szCs w:val="32"/>
          <w:lang w:val="en-US" w:eastAsia="zh-CN"/>
        </w:rPr>
        <w:t>4、项目绩效情况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楷体_GB2312" w:cs="楷体_GB2312"/>
          <w:b/>
          <w:bCs/>
          <w:szCs w:val="32"/>
        </w:rPr>
      </w:pPr>
      <w:r>
        <w:rPr>
          <w:rFonts w:hint="eastAsia" w:ascii="Times New Roman" w:hAnsi="Times New Roman" w:eastAsia="楷体_GB2312" w:cs="楷体_GB2312"/>
          <w:b/>
          <w:bCs/>
          <w:szCs w:val="32"/>
          <w:lang w:eastAsia="zh-CN"/>
        </w:rPr>
        <w:t>（</w:t>
      </w:r>
      <w:r>
        <w:rPr>
          <w:rFonts w:hint="eastAsia" w:ascii="Times New Roman" w:hAnsi="Times New Roman" w:eastAsia="楷体_GB2312" w:cs="楷体_GB2312"/>
          <w:b/>
          <w:bCs/>
          <w:szCs w:val="32"/>
          <w:lang w:val="en-US" w:eastAsia="zh-CN"/>
        </w:rPr>
        <w:t>1</w:t>
      </w:r>
      <w:r>
        <w:rPr>
          <w:rFonts w:hint="eastAsia" w:ascii="Times New Roman" w:hAnsi="Times New Roman" w:eastAsia="楷体_GB2312" w:cs="楷体_GB2312"/>
          <w:b/>
          <w:bCs/>
          <w:szCs w:val="32"/>
          <w:lang w:eastAsia="zh-CN"/>
        </w:rPr>
        <w:t>）</w:t>
      </w:r>
      <w:r>
        <w:rPr>
          <w:rFonts w:hint="eastAsia" w:ascii="Times New Roman" w:hAnsi="Times New Roman" w:eastAsia="楷体_GB2312" w:cs="楷体_GB2312"/>
          <w:b/>
          <w:bCs/>
          <w:szCs w:val="32"/>
        </w:rPr>
        <w:t>项目</w:t>
      </w:r>
      <w:r>
        <w:rPr>
          <w:rFonts w:hint="eastAsia" w:ascii="Times New Roman" w:hAnsi="Times New Roman" w:eastAsia="楷体_GB2312" w:cs="楷体_GB2312"/>
          <w:b/>
          <w:bCs/>
          <w:szCs w:val="32"/>
          <w:lang w:val="en-US" w:eastAsia="zh-CN"/>
        </w:rPr>
        <w:t>的经济性分析</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i w:val="0"/>
          <w:iCs w:val="0"/>
          <w:caps w:val="0"/>
          <w:color w:val="333333"/>
          <w:spacing w:val="0"/>
          <w:sz w:val="21"/>
          <w:szCs w:val="21"/>
        </w:rPr>
      </w:pPr>
      <w:r>
        <w:rPr>
          <w:rFonts w:hint="default" w:ascii="Calibri" w:hAnsi="Calibri" w:eastAsia="楷体" w:cs="Calibri"/>
          <w:i w:val="0"/>
          <w:iCs w:val="0"/>
          <w:caps w:val="0"/>
          <w:color w:val="000000"/>
          <w:spacing w:val="0"/>
          <w:sz w:val="32"/>
          <w:szCs w:val="32"/>
          <w:shd w:val="clear" w:fill="FFFFFF"/>
        </w:rPr>
        <w:t>①</w:t>
      </w:r>
      <w:r>
        <w:rPr>
          <w:rFonts w:hint="eastAsia" w:ascii="楷体" w:hAnsi="楷体" w:eastAsia="楷体" w:cs="楷体"/>
          <w:i w:val="0"/>
          <w:iCs w:val="0"/>
          <w:caps w:val="0"/>
          <w:color w:val="000000"/>
          <w:spacing w:val="0"/>
          <w:sz w:val="32"/>
          <w:szCs w:val="32"/>
          <w:shd w:val="clear" w:fill="FFFFFF"/>
        </w:rPr>
        <w:t>本年预算配置控制较好。</w:t>
      </w:r>
      <w:r>
        <w:rPr>
          <w:rFonts w:hint="eastAsia" w:ascii="仿宋" w:hAnsi="仿宋" w:eastAsia="仿宋" w:cs="仿宋"/>
          <w:i w:val="0"/>
          <w:iCs w:val="0"/>
          <w:caps w:val="0"/>
          <w:color w:val="000000"/>
          <w:spacing w:val="0"/>
          <w:sz w:val="32"/>
          <w:szCs w:val="32"/>
          <w:shd w:val="clear" w:fill="FFFFFF"/>
        </w:rPr>
        <w:t>财政供养人员控制在预算编制以内，编制内在职人员控制率为100%</w:t>
      </w:r>
      <w:r>
        <w:rPr>
          <w:rFonts w:hint="eastAsia" w:ascii="仿宋" w:hAnsi="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“三公”经费支出总额小，低于年初预算。</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i w:val="0"/>
          <w:iCs w:val="0"/>
          <w:caps w:val="0"/>
          <w:color w:val="333333"/>
          <w:spacing w:val="0"/>
          <w:sz w:val="21"/>
          <w:szCs w:val="21"/>
        </w:rPr>
      </w:pPr>
      <w:r>
        <w:rPr>
          <w:rFonts w:hint="default" w:ascii="Calibri" w:hAnsi="Calibri" w:eastAsia="楷体" w:cs="Calibri"/>
          <w:i w:val="0"/>
          <w:iCs w:val="0"/>
          <w:caps w:val="0"/>
          <w:color w:val="000000"/>
          <w:spacing w:val="0"/>
          <w:sz w:val="32"/>
          <w:szCs w:val="32"/>
          <w:shd w:val="clear" w:fill="FFFFFF"/>
        </w:rPr>
        <w:t>②</w:t>
      </w:r>
      <w:r>
        <w:rPr>
          <w:rFonts w:hint="eastAsia" w:ascii="楷体" w:hAnsi="楷体" w:eastAsia="楷体" w:cs="楷体"/>
          <w:i w:val="0"/>
          <w:iCs w:val="0"/>
          <w:caps w:val="0"/>
          <w:color w:val="000000"/>
          <w:spacing w:val="0"/>
          <w:sz w:val="32"/>
          <w:szCs w:val="32"/>
          <w:shd w:val="clear" w:fill="FFFFFF"/>
        </w:rPr>
        <w:t>预算执行方面。</w:t>
      </w:r>
      <w:r>
        <w:rPr>
          <w:rFonts w:hint="eastAsia" w:ascii="仿宋" w:hAnsi="仿宋" w:eastAsia="仿宋" w:cs="仿宋"/>
          <w:i w:val="0"/>
          <w:iCs w:val="0"/>
          <w:caps w:val="0"/>
          <w:color w:val="000000"/>
          <w:spacing w:val="0"/>
          <w:sz w:val="32"/>
          <w:szCs w:val="32"/>
          <w:shd w:val="clear" w:fill="FFFFFF"/>
        </w:rPr>
        <w:t>支出总额控制在</w:t>
      </w:r>
      <w:r>
        <w:rPr>
          <w:rFonts w:hint="eastAsia" w:ascii="仿宋" w:hAnsi="仿宋" w:cs="仿宋"/>
          <w:i w:val="0"/>
          <w:iCs w:val="0"/>
          <w:caps w:val="0"/>
          <w:color w:val="000000"/>
          <w:spacing w:val="0"/>
          <w:sz w:val="32"/>
          <w:szCs w:val="32"/>
          <w:shd w:val="clear" w:fill="FFFFFF"/>
          <w:lang w:val="en-US" w:eastAsia="zh-CN"/>
        </w:rPr>
        <w:t>收入</w:t>
      </w:r>
      <w:r>
        <w:rPr>
          <w:rFonts w:hint="eastAsia" w:ascii="仿宋" w:hAnsi="仿宋" w:eastAsia="仿宋" w:cs="仿宋"/>
          <w:i w:val="0"/>
          <w:iCs w:val="0"/>
          <w:caps w:val="0"/>
          <w:color w:val="000000"/>
          <w:spacing w:val="0"/>
          <w:sz w:val="32"/>
          <w:szCs w:val="32"/>
          <w:shd w:val="clear" w:fill="FFFFFF"/>
        </w:rPr>
        <w:t>总额以内，所有支出严格依照相关财务管理规定执行，特别重视量财办事、量力而行，严格控制标准、注重节约，少花钱办好事，各项支出都在合理范围内。</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i w:val="0"/>
          <w:iCs w:val="0"/>
          <w:caps w:val="0"/>
          <w:color w:val="333333"/>
          <w:spacing w:val="0"/>
          <w:sz w:val="21"/>
          <w:szCs w:val="21"/>
        </w:rPr>
      </w:pPr>
      <w:r>
        <w:rPr>
          <w:rFonts w:hint="default" w:ascii="Calibri" w:hAnsi="Calibri" w:eastAsia="楷体" w:cs="Calibri"/>
          <w:i w:val="0"/>
          <w:iCs w:val="0"/>
          <w:caps w:val="0"/>
          <w:color w:val="000000"/>
          <w:spacing w:val="0"/>
          <w:sz w:val="32"/>
          <w:szCs w:val="32"/>
          <w:shd w:val="clear" w:fill="FFFFFF"/>
        </w:rPr>
        <w:t>③</w:t>
      </w:r>
      <w:r>
        <w:rPr>
          <w:rFonts w:hint="eastAsia" w:ascii="楷体" w:hAnsi="楷体" w:eastAsia="楷体" w:cs="楷体"/>
          <w:i w:val="0"/>
          <w:iCs w:val="0"/>
          <w:caps w:val="0"/>
          <w:color w:val="000000"/>
          <w:spacing w:val="0"/>
          <w:sz w:val="32"/>
          <w:szCs w:val="32"/>
          <w:shd w:val="clear" w:fill="FFFFFF"/>
        </w:rPr>
        <w:t>预算管理方面。</w:t>
      </w:r>
      <w:r>
        <w:rPr>
          <w:rFonts w:hint="eastAsia" w:ascii="仿宋" w:hAnsi="仿宋" w:eastAsia="仿宋" w:cs="仿宋"/>
          <w:i w:val="0"/>
          <w:iCs w:val="0"/>
          <w:caps w:val="0"/>
          <w:color w:val="000000"/>
          <w:spacing w:val="0"/>
          <w:sz w:val="32"/>
          <w:szCs w:val="32"/>
          <w:shd w:val="clear" w:fill="FFFFFF"/>
        </w:rPr>
        <w:t>我</w:t>
      </w:r>
      <w:r>
        <w:rPr>
          <w:rFonts w:hint="eastAsia" w:ascii="仿宋" w:hAnsi="仿宋" w:cs="仿宋"/>
          <w:i w:val="0"/>
          <w:iCs w:val="0"/>
          <w:caps w:val="0"/>
          <w:color w:val="000000"/>
          <w:spacing w:val="0"/>
          <w:sz w:val="32"/>
          <w:szCs w:val="32"/>
          <w:shd w:val="clear" w:fill="FFFFFF"/>
          <w:lang w:val="en-US" w:eastAsia="zh-CN"/>
        </w:rPr>
        <w:t>单位</w:t>
      </w:r>
      <w:r>
        <w:rPr>
          <w:rFonts w:hint="eastAsia" w:ascii="仿宋" w:hAnsi="仿宋" w:eastAsia="仿宋" w:cs="仿宋"/>
          <w:i w:val="0"/>
          <w:iCs w:val="0"/>
          <w:caps w:val="0"/>
          <w:color w:val="000000"/>
          <w:spacing w:val="0"/>
          <w:sz w:val="32"/>
          <w:szCs w:val="32"/>
          <w:shd w:val="clear" w:fill="FFFFFF"/>
        </w:rPr>
        <w:t>制定了切实有效的内部管理制度和经费支出控制方案，有较强的内控风险管理意识、各项经费支出得到了有效控制。</w:t>
      </w:r>
    </w:p>
    <w:p>
      <w:pPr>
        <w:spacing w:line="600" w:lineRule="exact"/>
        <w:ind w:firstLine="643" w:firstLineChars="200"/>
        <w:rPr>
          <w:rFonts w:hint="eastAsia" w:ascii="Times New Roman" w:hAnsi="Times New Roman" w:eastAsia="楷体_GB2312" w:cs="楷体_GB2312"/>
          <w:b/>
          <w:bCs/>
          <w:szCs w:val="32"/>
        </w:rPr>
      </w:pPr>
      <w:r>
        <w:rPr>
          <w:rFonts w:hint="eastAsia" w:ascii="Times New Roman" w:hAnsi="Times New Roman" w:eastAsia="楷体_GB2312" w:cs="楷体_GB2312"/>
          <w:b/>
          <w:bCs/>
          <w:szCs w:val="32"/>
          <w:lang w:eastAsia="zh-CN"/>
        </w:rPr>
        <w:t>（</w:t>
      </w:r>
      <w:r>
        <w:rPr>
          <w:rFonts w:hint="eastAsia" w:ascii="Times New Roman" w:hAnsi="Times New Roman" w:eastAsia="楷体_GB2312" w:cs="楷体_GB2312"/>
          <w:b/>
          <w:bCs/>
          <w:szCs w:val="32"/>
          <w:lang w:val="en-US" w:eastAsia="zh-CN"/>
        </w:rPr>
        <w:t>2</w:t>
      </w:r>
      <w:r>
        <w:rPr>
          <w:rFonts w:hint="eastAsia" w:ascii="Times New Roman" w:hAnsi="Times New Roman" w:eastAsia="楷体_GB2312" w:cs="楷体_GB2312"/>
          <w:b/>
          <w:bCs/>
          <w:szCs w:val="32"/>
          <w:lang w:eastAsia="zh-CN"/>
        </w:rPr>
        <w:t>）</w:t>
      </w:r>
      <w:r>
        <w:rPr>
          <w:rFonts w:hint="eastAsia" w:ascii="Times New Roman" w:hAnsi="Times New Roman" w:eastAsia="楷体_GB2312" w:cs="楷体_GB2312"/>
          <w:b/>
          <w:bCs/>
          <w:szCs w:val="32"/>
        </w:rPr>
        <w:t>项目</w:t>
      </w:r>
      <w:r>
        <w:rPr>
          <w:rFonts w:hint="eastAsia" w:ascii="Times New Roman" w:hAnsi="Times New Roman" w:eastAsia="楷体_GB2312" w:cs="楷体_GB2312"/>
          <w:b/>
          <w:bCs/>
          <w:szCs w:val="32"/>
          <w:lang w:val="en-US" w:eastAsia="zh-CN"/>
        </w:rPr>
        <w:t>的效率性分析和有效性分析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spacing w:val="0"/>
          <w:kern w:val="0"/>
          <w:sz w:val="32"/>
          <w:szCs w:val="32"/>
          <w:highlight w:val="none"/>
          <w:shd w:val="clear" w:fill="FFFFFF"/>
          <w:lang w:val="en-US" w:eastAsia="zh-CN" w:bidi="ar-SA"/>
        </w:rPr>
      </w:pPr>
      <w:r>
        <w:rPr>
          <w:rFonts w:hint="eastAsia" w:ascii="仿宋" w:hAnsi="仿宋" w:eastAsia="仿宋" w:cs="仿宋"/>
          <w:i w:val="0"/>
          <w:iCs w:val="0"/>
          <w:caps w:val="0"/>
          <w:color w:val="000000"/>
          <w:spacing w:val="0"/>
          <w:kern w:val="0"/>
          <w:sz w:val="32"/>
          <w:szCs w:val="32"/>
          <w:highlight w:val="none"/>
          <w:shd w:val="clear" w:fill="FFFFFF"/>
          <w:lang w:val="en-US" w:eastAsia="zh-CN" w:bidi="ar-SA"/>
        </w:rPr>
        <w:t>2022年，在市委、市政府正确领导下，在省、长沙市统计局的指导下，浏阳市统计局以习近平新时代中国特色社会主义思想为指引，认真贯彻落实党的二十大精神，坚持依法统计、依法治统，聚力攻坚，强化担当，为浏阳市经济社会高质量发展贡献统计力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b w:val="0"/>
          <w:bCs w:val="0"/>
          <w:color w:val="auto"/>
          <w:kern w:val="0"/>
          <w:sz w:val="32"/>
          <w:szCs w:val="32"/>
          <w:highlight w:val="none"/>
          <w:lang w:val="en-US" w:eastAsia="zh-CN"/>
        </w:rPr>
      </w:pPr>
      <w:r>
        <w:rPr>
          <w:rFonts w:hint="default" w:ascii="Calibri" w:hAnsi="Calibri" w:eastAsia="楷体_GB2312" w:cs="Calibri"/>
          <w:b w:val="0"/>
          <w:bCs w:val="0"/>
          <w:color w:val="auto"/>
          <w:sz w:val="32"/>
          <w:szCs w:val="32"/>
          <w:highlight w:val="none"/>
          <w:lang w:val="en-US" w:eastAsia="zh-CN"/>
        </w:rPr>
        <w:t>①</w:t>
      </w:r>
      <w:r>
        <w:rPr>
          <w:rFonts w:hint="eastAsia" w:ascii="楷体_GB2312" w:hAnsi="楷体_GB2312" w:eastAsia="楷体_GB2312" w:cs="楷体_GB2312"/>
          <w:b w:val="0"/>
          <w:bCs w:val="0"/>
          <w:color w:val="auto"/>
          <w:sz w:val="32"/>
          <w:szCs w:val="32"/>
          <w:highlight w:val="none"/>
          <w:lang w:val="en-US" w:eastAsia="zh-CN"/>
        </w:rPr>
        <w:t>坚持党建引领，深入学习宣传贯彻党的二十大精神，始终与伟大的党同心同德。</w:t>
      </w:r>
      <w:r>
        <w:rPr>
          <w:rFonts w:hint="default" w:ascii="Times New Roman" w:hAnsi="Times New Roman" w:cs="Times New Roman"/>
          <w:highlight w:val="none"/>
        </w:rPr>
        <w:t>提高站位强认识</w:t>
      </w:r>
      <w:r>
        <w:rPr>
          <w:rFonts w:hint="eastAsia" w:ascii="Times New Roman" w:hAnsi="Times New Roman" w:cs="Times New Roman"/>
          <w:highlight w:val="none"/>
          <w:lang w:eastAsia="zh-CN"/>
        </w:rPr>
        <w:t>，</w:t>
      </w:r>
      <w:r>
        <w:rPr>
          <w:rFonts w:hint="default" w:ascii="Times New Roman" w:hAnsi="Times New Roman" w:cs="Times New Roman"/>
          <w:highlight w:val="none"/>
        </w:rPr>
        <w:t>形式多样掀热潮</w:t>
      </w:r>
      <w:r>
        <w:rPr>
          <w:rFonts w:hint="eastAsia" w:ascii="Times New Roman" w:hAnsi="Times New Roman" w:cs="Times New Roman"/>
          <w:highlight w:val="none"/>
          <w:lang w:eastAsia="zh-CN"/>
        </w:rPr>
        <w:t>，</w:t>
      </w:r>
      <w:r>
        <w:rPr>
          <w:rFonts w:hint="default" w:ascii="Times New Roman" w:hAnsi="Times New Roman" w:cs="Times New Roman"/>
          <w:highlight w:val="none"/>
        </w:rPr>
        <w:t>结合实际求实效</w:t>
      </w:r>
      <w:r>
        <w:rPr>
          <w:rFonts w:hint="eastAsia" w:ascii="Times New Roman" w:hAnsi="Times New Roman" w:cs="Times New Roman"/>
          <w:highlight w:val="none"/>
          <w:lang w:eastAsia="zh-CN"/>
        </w:rPr>
        <w:t>。</w:t>
      </w:r>
      <w:r>
        <w:rPr>
          <w:rFonts w:hint="default" w:ascii="Times New Roman" w:hAnsi="Times New Roman" w:cs="Times New Roman"/>
          <w:highlight w:val="none"/>
        </w:rPr>
        <w:t>通过领导干部宣讲、青年干部分享、集中学习研讨、知识竞赛比拼等多种形式，对党的二十大报告、党章、党史进行了深入系统的学习，推动了党的二十大精神入脑入心。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rPr>
          <w:rFonts w:hint="eastAsia" w:ascii="Times New Roman" w:hAnsi="Times New Roman" w:cs="Times New Roman"/>
          <w:highlight w:val="none"/>
          <w:lang w:eastAsia="zh-CN"/>
        </w:rPr>
      </w:pPr>
      <w:r>
        <w:rPr>
          <w:rFonts w:hint="default" w:ascii="Calibri" w:hAnsi="Calibri" w:eastAsia="楷体_GB2312" w:cs="Calibri"/>
          <w:b w:val="0"/>
          <w:bCs w:val="0"/>
          <w:color w:val="auto"/>
          <w:sz w:val="32"/>
          <w:szCs w:val="32"/>
          <w:highlight w:val="none"/>
          <w:lang w:val="en-US" w:eastAsia="zh-CN"/>
        </w:rPr>
        <w:t>②</w:t>
      </w:r>
      <w:r>
        <w:rPr>
          <w:rFonts w:hint="eastAsia" w:ascii="楷体_GB2312" w:hAnsi="楷体_GB2312" w:eastAsia="楷体_GB2312" w:cs="楷体_GB2312"/>
          <w:b w:val="0"/>
          <w:bCs w:val="0"/>
          <w:color w:val="auto"/>
          <w:sz w:val="32"/>
          <w:szCs w:val="32"/>
          <w:highlight w:val="none"/>
          <w:lang w:val="en-US" w:eastAsia="zh-CN"/>
        </w:rPr>
        <w:t>严格依法治统，落实专项纠治行动要求，始终与中央决策同向同行。</w:t>
      </w:r>
      <w:r>
        <w:rPr>
          <w:rFonts w:hint="default" w:ascii="Times New Roman" w:hAnsi="Times New Roman" w:cs="Times New Roman"/>
          <w:highlight w:val="none"/>
        </w:rPr>
        <w:t>抓好统计督察整改</w:t>
      </w:r>
      <w:r>
        <w:rPr>
          <w:rFonts w:hint="eastAsia" w:ascii="Times New Roman" w:hAnsi="Times New Roman" w:cs="Times New Roman"/>
          <w:highlight w:val="none"/>
          <w:lang w:eastAsia="zh-CN"/>
        </w:rPr>
        <w:t>，</w:t>
      </w:r>
      <w:r>
        <w:rPr>
          <w:rFonts w:hint="default" w:ascii="Times New Roman" w:hAnsi="Times New Roman" w:cs="Times New Roman"/>
          <w:highlight w:val="none"/>
        </w:rPr>
        <w:t>抓好专项纠治行动</w:t>
      </w:r>
      <w:r>
        <w:rPr>
          <w:rFonts w:hint="eastAsia" w:ascii="Times New Roman" w:hAnsi="Times New Roman" w:cs="Times New Roman"/>
          <w:highlight w:val="none"/>
          <w:lang w:eastAsia="zh-CN"/>
        </w:rPr>
        <w:t>，</w:t>
      </w:r>
      <w:r>
        <w:rPr>
          <w:rFonts w:hint="default" w:ascii="Times New Roman" w:hAnsi="Times New Roman" w:cs="Times New Roman"/>
          <w:highlight w:val="none"/>
        </w:rPr>
        <w:t>抓好统计法治建设</w:t>
      </w:r>
      <w:r>
        <w:rPr>
          <w:rFonts w:hint="eastAsia" w:ascii="Times New Roman" w:hAnsi="Times New Roman" w:cs="Times New Roman"/>
          <w:highlight w:val="none"/>
          <w:lang w:val="en-US" w:eastAsia="zh-CN"/>
        </w:rPr>
        <w:t>。</w:t>
      </w:r>
      <w:r>
        <w:rPr>
          <w:rFonts w:hint="default" w:ascii="Times New Roman" w:hAnsi="Times New Roman" w:cs="Times New Roman"/>
          <w:highlight w:val="none"/>
        </w:rPr>
        <w:t>一是严格统计执法</w:t>
      </w:r>
      <w:r>
        <w:rPr>
          <w:rFonts w:hint="eastAsia" w:ascii="Times New Roman" w:hAnsi="Times New Roman" w:cs="Times New Roman"/>
          <w:highlight w:val="none"/>
          <w:lang w:eastAsia="zh-CN"/>
        </w:rPr>
        <w:t>，</w:t>
      </w:r>
      <w:r>
        <w:rPr>
          <w:rFonts w:hint="default" w:ascii="Times New Roman" w:hAnsi="Times New Roman" w:cs="Times New Roman"/>
          <w:highlight w:val="none"/>
          <w:lang w:val="zh-TW"/>
        </w:rPr>
        <w:t>二是配强监督队伍</w:t>
      </w:r>
      <w:r>
        <w:rPr>
          <w:rFonts w:hint="eastAsia" w:ascii="Times New Roman" w:hAnsi="Times New Roman" w:cs="Times New Roman"/>
          <w:highlight w:val="none"/>
          <w:lang w:val="zh-TW" w:eastAsia="zh-CN"/>
        </w:rPr>
        <w:t>，</w:t>
      </w:r>
      <w:r>
        <w:rPr>
          <w:rFonts w:hint="default" w:ascii="Times New Roman" w:hAnsi="Times New Roman" w:cs="Times New Roman"/>
          <w:highlight w:val="none"/>
          <w:lang w:val="zh-TW"/>
        </w:rPr>
        <w:t>三是深化法治宣传</w:t>
      </w:r>
      <w:r>
        <w:rPr>
          <w:rFonts w:hint="eastAsia" w:ascii="Times New Roman" w:hAnsi="Times New Roman" w:cs="Times New Roman"/>
          <w:highlight w:val="none"/>
          <w:lang w:val="zh-TW" w:eastAsia="zh-CN"/>
        </w:rPr>
        <w:t>，</w:t>
      </w:r>
      <w:r>
        <w:rPr>
          <w:rFonts w:hint="default" w:ascii="Times New Roman" w:hAnsi="Times New Roman" w:cs="Times New Roman"/>
          <w:highlight w:val="none"/>
          <w:lang w:val="zh-TW"/>
        </w:rPr>
        <w:t>四是开展</w:t>
      </w:r>
      <w:r>
        <w:rPr>
          <w:rFonts w:hint="default" w:ascii="Times New Roman" w:hAnsi="Times New Roman" w:cs="Times New Roman"/>
          <w:highlight w:val="none"/>
        </w:rPr>
        <w:t>专题调研</w:t>
      </w:r>
      <w:r>
        <w:rPr>
          <w:rFonts w:hint="eastAsia" w:ascii="Times New Roman" w:hAnsi="Times New Roman" w:cs="Times New Roman"/>
          <w:highlight w:val="none"/>
          <w:lang w:eastAsia="zh-CN"/>
        </w:rPr>
        <w:t>。</w:t>
      </w:r>
    </w:p>
    <w:p>
      <w:pPr>
        <w:overflowPunct w:val="0"/>
        <w:spacing w:line="600" w:lineRule="exact"/>
        <w:ind w:firstLine="645"/>
        <w:rPr>
          <w:rFonts w:hint="eastAsia" w:ascii="Times New Roman" w:hAnsi="Times New Roman" w:cs="Times New Roman"/>
          <w:highlight w:val="none"/>
          <w:lang w:val="en-US" w:eastAsia="zh-CN"/>
        </w:rPr>
      </w:pPr>
      <w:r>
        <w:rPr>
          <w:rFonts w:hint="default" w:ascii="Calibri" w:hAnsi="Calibri" w:eastAsia="楷体_GB2312" w:cs="Calibri"/>
          <w:b w:val="0"/>
          <w:bCs w:val="0"/>
          <w:color w:val="auto"/>
          <w:sz w:val="32"/>
          <w:szCs w:val="32"/>
          <w:highlight w:val="none"/>
          <w:lang w:val="en-US" w:eastAsia="zh-CN"/>
        </w:rPr>
        <w:t>③</w:t>
      </w:r>
      <w:r>
        <w:rPr>
          <w:rFonts w:hint="default" w:ascii="楷体_GB2312" w:hAnsi="楷体_GB2312" w:eastAsia="楷体_GB2312" w:cs="楷体_GB2312"/>
          <w:b w:val="0"/>
          <w:bCs w:val="0"/>
          <w:color w:val="auto"/>
          <w:sz w:val="32"/>
          <w:szCs w:val="32"/>
          <w:highlight w:val="none"/>
          <w:lang w:val="en-US" w:eastAsia="zh-CN"/>
        </w:rPr>
        <w:t>加强监测预警，全面提升统计服务水平，始终与发展主题同频共振</w:t>
      </w:r>
      <w:r>
        <w:rPr>
          <w:rFonts w:hint="eastAsia" w:ascii="楷体_GB2312" w:hAnsi="楷体_GB2312" w:eastAsia="楷体_GB2312" w:cs="楷体_GB2312"/>
          <w:b w:val="0"/>
          <w:bCs w:val="0"/>
          <w:color w:val="auto"/>
          <w:sz w:val="32"/>
          <w:szCs w:val="32"/>
          <w:highlight w:val="none"/>
          <w:lang w:val="en-US" w:eastAsia="zh-CN"/>
        </w:rPr>
        <w:t>。</w:t>
      </w:r>
      <w:r>
        <w:rPr>
          <w:rFonts w:hint="default" w:ascii="Times New Roman" w:hAnsi="Times New Roman" w:cs="Times New Roman"/>
          <w:highlight w:val="none"/>
        </w:rPr>
        <w:t>统计监测全面规范统计监测全面规范</w:t>
      </w:r>
      <w:r>
        <w:rPr>
          <w:rFonts w:hint="eastAsia" w:ascii="Times New Roman" w:hAnsi="Times New Roman" w:cs="Times New Roman"/>
          <w:highlight w:val="none"/>
          <w:lang w:eastAsia="zh-CN"/>
        </w:rPr>
        <w:t>，</w:t>
      </w:r>
      <w:r>
        <w:rPr>
          <w:rFonts w:hint="default" w:ascii="Times New Roman" w:hAnsi="Times New Roman" w:cs="Times New Roman"/>
          <w:highlight w:val="none"/>
        </w:rPr>
        <w:t>决策参考精准及时</w:t>
      </w:r>
      <w:r>
        <w:rPr>
          <w:rFonts w:hint="eastAsia" w:ascii="Times New Roman" w:hAnsi="Times New Roman" w:cs="Times New Roman"/>
          <w:highlight w:val="none"/>
          <w:lang w:eastAsia="zh-CN"/>
        </w:rPr>
        <w:t>，</w:t>
      </w:r>
      <w:r>
        <w:rPr>
          <w:rFonts w:hint="default" w:ascii="Times New Roman" w:hAnsi="Times New Roman" w:cs="Times New Roman"/>
          <w:highlight w:val="none"/>
        </w:rPr>
        <w:t>县域经济再创新高</w:t>
      </w:r>
      <w:r>
        <w:rPr>
          <w:rFonts w:hint="eastAsia" w:ascii="Times New Roman" w:hAnsi="Times New Roman" w:cs="Times New Roman"/>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ascii="楷体_GB2312" w:hAnsi="楷体_GB2312" w:eastAsia="楷体_GB2312" w:cs="楷体_GB2312"/>
          <w:b w:val="0"/>
          <w:bCs w:val="0"/>
          <w:color w:val="auto"/>
          <w:sz w:val="32"/>
          <w:szCs w:val="32"/>
          <w:highlight w:val="none"/>
          <w:lang w:val="en-US" w:eastAsia="zh-CN"/>
        </w:rPr>
      </w:pPr>
      <w:r>
        <w:rPr>
          <w:rFonts w:hint="default" w:eastAsia="楷体_GB2312" w:cs="Calibri" w:asciiTheme="minorAscii" w:hAnsiTheme="minorAscii"/>
          <w:b w:val="0"/>
          <w:bCs w:val="0"/>
          <w:color w:val="auto"/>
          <w:sz w:val="32"/>
          <w:szCs w:val="32"/>
          <w:highlight w:val="none"/>
          <w:lang w:val="en-US" w:eastAsia="zh-CN"/>
        </w:rPr>
        <w:t>④</w:t>
      </w:r>
      <w:r>
        <w:rPr>
          <w:rFonts w:hint="default" w:ascii="楷体_GB2312" w:hAnsi="楷体_GB2312" w:eastAsia="楷体_GB2312" w:cs="楷体_GB2312"/>
          <w:b w:val="0"/>
          <w:bCs w:val="0"/>
          <w:color w:val="auto"/>
          <w:sz w:val="32"/>
          <w:szCs w:val="32"/>
          <w:highlight w:val="none"/>
          <w:lang w:val="en-US" w:eastAsia="zh-CN"/>
        </w:rPr>
        <w:t>夯实基层基础，扎实推进统计规范化建设，始终与数据质量同向发力</w:t>
      </w:r>
      <w:r>
        <w:rPr>
          <w:rFonts w:hint="eastAsia" w:ascii="楷体_GB2312" w:hAnsi="楷体_GB2312" w:eastAsia="楷体_GB2312" w:cs="楷体_GB2312"/>
          <w:b w:val="0"/>
          <w:bCs w:val="0"/>
          <w:color w:val="auto"/>
          <w:sz w:val="32"/>
          <w:szCs w:val="32"/>
          <w:highlight w:val="none"/>
          <w:lang w:val="en-US" w:eastAsia="zh-CN"/>
        </w:rPr>
        <w:t>。</w:t>
      </w:r>
      <w:r>
        <w:rPr>
          <w:rFonts w:hint="default" w:ascii="Times New Roman" w:hAnsi="Times New Roman" w:cs="Times New Roman"/>
          <w:highlight w:val="none"/>
        </w:rPr>
        <w:t>全力推进省级规范化建设</w:t>
      </w:r>
      <w:r>
        <w:rPr>
          <w:rFonts w:hint="eastAsia" w:ascii="Times New Roman" w:hAnsi="Times New Roman" w:cs="Times New Roman"/>
          <w:highlight w:val="none"/>
          <w:lang w:eastAsia="zh-CN"/>
        </w:rPr>
        <w:t>，</w:t>
      </w:r>
      <w:r>
        <w:rPr>
          <w:rFonts w:hint="default" w:ascii="Times New Roman" w:hAnsi="Times New Roman" w:cs="Times New Roman"/>
          <w:highlight w:val="none"/>
        </w:rPr>
        <w:t>着力推进星级统计站点创建</w:t>
      </w:r>
      <w:r>
        <w:rPr>
          <w:rFonts w:hint="eastAsia" w:ascii="Times New Roman" w:hAnsi="Times New Roman" w:cs="Times New Roman"/>
          <w:highlight w:val="none"/>
          <w:lang w:eastAsia="zh-CN"/>
        </w:rPr>
        <w:t>，</w:t>
      </w:r>
      <w:r>
        <w:rPr>
          <w:rFonts w:hint="default" w:ascii="Times New Roman" w:hAnsi="Times New Roman" w:cs="Times New Roman"/>
          <w:highlight w:val="none"/>
        </w:rPr>
        <w:t>高质完成民意调查中心整体搬迁</w:t>
      </w:r>
      <w:r>
        <w:rPr>
          <w:rFonts w:hint="eastAsia" w:ascii="Times New Roman" w:hAnsi="Times New Roman" w:cs="Times New Roman"/>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rPr>
          <w:rFonts w:hint="eastAsia" w:ascii="Times New Roman" w:hAnsi="Times New Roman" w:cs="Times New Roman"/>
          <w:highlight w:val="none"/>
          <w:lang w:eastAsia="zh-CN"/>
        </w:rPr>
      </w:pPr>
      <w:r>
        <w:rPr>
          <w:rFonts w:hint="default" w:eastAsia="楷体_GB2312" w:cs="Calibri" w:asciiTheme="minorAscii" w:hAnsiTheme="minorAscii"/>
          <w:b w:val="0"/>
          <w:bCs w:val="0"/>
          <w:color w:val="auto"/>
          <w:sz w:val="32"/>
          <w:szCs w:val="32"/>
          <w:highlight w:val="none"/>
          <w:lang w:val="en-US" w:eastAsia="zh-CN"/>
        </w:rPr>
        <w:t>⑤</w:t>
      </w:r>
      <w:r>
        <w:rPr>
          <w:rFonts w:hint="default" w:ascii="楷体_GB2312" w:hAnsi="楷体_GB2312" w:eastAsia="楷体_GB2312" w:cs="楷体_GB2312"/>
          <w:b w:val="0"/>
          <w:bCs w:val="0"/>
          <w:color w:val="auto"/>
          <w:sz w:val="32"/>
          <w:szCs w:val="32"/>
          <w:highlight w:val="none"/>
          <w:lang w:val="en-US" w:eastAsia="zh-CN"/>
        </w:rPr>
        <w:t>强化队伍建设，树牢正确价值追求，始终与廉洁奉公同伴共随</w:t>
      </w:r>
      <w:r>
        <w:rPr>
          <w:rFonts w:hint="eastAsia" w:ascii="Times New Roman" w:hAnsi="Times New Roman" w:eastAsia="黑体" w:cs="Times New Roman"/>
          <w:szCs w:val="32"/>
          <w:lang w:eastAsia="zh-CN"/>
        </w:rPr>
        <w:t>。</w:t>
      </w:r>
      <w:r>
        <w:rPr>
          <w:rFonts w:hint="default" w:ascii="Times New Roman" w:hAnsi="Times New Roman" w:cs="Times New Roman"/>
          <w:highlight w:val="none"/>
        </w:rPr>
        <w:t>在干部监督管理上迈出新步伐</w:t>
      </w:r>
      <w:r>
        <w:rPr>
          <w:rFonts w:hint="eastAsia" w:ascii="Times New Roman" w:hAnsi="Times New Roman" w:cs="Times New Roman"/>
          <w:highlight w:val="none"/>
          <w:lang w:eastAsia="zh-CN"/>
        </w:rPr>
        <w:t>，</w:t>
      </w:r>
      <w:r>
        <w:rPr>
          <w:rFonts w:hint="default" w:ascii="Times New Roman" w:hAnsi="Times New Roman" w:cs="Times New Roman"/>
          <w:highlight w:val="none"/>
        </w:rPr>
        <w:t>在干部素质提升上取得新成效</w:t>
      </w:r>
      <w:r>
        <w:rPr>
          <w:rFonts w:hint="eastAsia" w:ascii="Times New Roman" w:hAnsi="Times New Roman" w:cs="Times New Roman"/>
          <w:highlight w:val="none"/>
          <w:lang w:eastAsia="zh-CN"/>
        </w:rPr>
        <w:t>，</w:t>
      </w:r>
      <w:r>
        <w:rPr>
          <w:rFonts w:hint="default" w:ascii="Times New Roman" w:hAnsi="Times New Roman" w:cs="Times New Roman"/>
          <w:highlight w:val="none"/>
        </w:rPr>
        <w:t>在干部担当尽责上展现新气象</w:t>
      </w:r>
      <w:r>
        <w:rPr>
          <w:rFonts w:hint="eastAsia" w:ascii="Times New Roman" w:hAnsi="Times New Roman" w:cs="Times New Roman"/>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szCs w:val="32"/>
          <w:lang w:val="en-US" w:eastAsia="zh-CN"/>
        </w:rPr>
      </w:pPr>
      <w:r>
        <w:rPr>
          <w:rFonts w:hint="eastAsia" w:ascii="Times New Roman" w:hAnsi="Times New Roman" w:eastAsia="楷体_GB2312" w:cs="楷体_GB2312"/>
          <w:b/>
          <w:bCs/>
          <w:szCs w:val="32"/>
          <w:lang w:eastAsia="zh-CN"/>
        </w:rPr>
        <w:t>（</w:t>
      </w:r>
      <w:r>
        <w:rPr>
          <w:rFonts w:hint="eastAsia" w:ascii="Times New Roman" w:hAnsi="Times New Roman" w:eastAsia="楷体_GB2312" w:cs="楷体_GB2312"/>
          <w:b/>
          <w:bCs/>
          <w:szCs w:val="32"/>
          <w:lang w:val="en-US" w:eastAsia="zh-CN"/>
        </w:rPr>
        <w:t>3</w:t>
      </w:r>
      <w:r>
        <w:rPr>
          <w:rFonts w:hint="eastAsia" w:ascii="Times New Roman" w:hAnsi="Times New Roman" w:eastAsia="楷体_GB2312" w:cs="楷体_GB2312"/>
          <w:b/>
          <w:bCs/>
          <w:szCs w:val="32"/>
          <w:lang w:eastAsia="zh-CN"/>
        </w:rPr>
        <w:t>）</w:t>
      </w:r>
      <w:r>
        <w:rPr>
          <w:rFonts w:hint="eastAsia" w:ascii="Times New Roman" w:hAnsi="Times New Roman" w:eastAsia="楷体_GB2312" w:cs="楷体_GB2312"/>
          <w:b/>
          <w:bCs/>
          <w:szCs w:val="32"/>
        </w:rPr>
        <w:t>项目</w:t>
      </w:r>
      <w:r>
        <w:rPr>
          <w:rFonts w:hint="eastAsia" w:ascii="Times New Roman" w:hAnsi="Times New Roman" w:eastAsia="楷体_GB2312" w:cs="楷体_GB2312"/>
          <w:b/>
          <w:bCs/>
          <w:szCs w:val="32"/>
          <w:lang w:val="en-US" w:eastAsia="zh-CN"/>
        </w:rPr>
        <w:t>的可持续性分析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Cs w:val="32"/>
          <w:lang w:val="en-US" w:eastAsia="zh-CN"/>
        </w:rPr>
      </w:pPr>
      <w:r>
        <w:rPr>
          <w:rFonts w:hint="default" w:ascii="Calibri" w:hAnsi="Calibri" w:eastAsia="楷体" w:cs="Calibri"/>
          <w:szCs w:val="32"/>
          <w:lang w:val="en-US" w:eastAsia="zh-CN"/>
        </w:rPr>
        <w:t>①</w:t>
      </w:r>
      <w:r>
        <w:rPr>
          <w:rFonts w:hint="eastAsia" w:ascii="楷体" w:hAnsi="楷体" w:eastAsia="楷体" w:cs="楷体"/>
          <w:szCs w:val="32"/>
          <w:lang w:val="en-US" w:eastAsia="zh-CN"/>
        </w:rPr>
        <w:t>政策、资金安排方面。</w:t>
      </w:r>
      <w:r>
        <w:rPr>
          <w:rFonts w:hint="eastAsia" w:ascii="Times New Roman" w:hAnsi="Times New Roman" w:eastAsia="仿宋_GB2312" w:cs="仿宋_GB2312"/>
          <w:szCs w:val="32"/>
          <w:lang w:val="en-US" w:eastAsia="zh-CN"/>
        </w:rPr>
        <w:t>统计局各项目资金围绕特定行政工作任务或事业发展目标而发生，所有政策及资金安排</w:t>
      </w:r>
      <w:r>
        <w:rPr>
          <w:rFonts w:ascii="仿宋_GB2312" w:hAnsi="宋体" w:eastAsia="仿宋_GB2312" w:cs="仿宋_GB2312"/>
          <w:i w:val="0"/>
          <w:iCs w:val="0"/>
          <w:caps w:val="0"/>
          <w:color w:val="000000"/>
          <w:spacing w:val="0"/>
          <w:sz w:val="32"/>
          <w:szCs w:val="32"/>
          <w:shd w:val="clear" w:fill="FFFFFF"/>
        </w:rPr>
        <w:t>经市政府批准，由市财政</w:t>
      </w:r>
      <w:r>
        <w:rPr>
          <w:rFonts w:hint="eastAsia" w:ascii="仿宋_GB2312" w:hAnsi="宋体" w:eastAsia="仿宋_GB2312" w:cs="仿宋_GB2312"/>
          <w:i w:val="0"/>
          <w:iCs w:val="0"/>
          <w:caps w:val="0"/>
          <w:color w:val="000000"/>
          <w:spacing w:val="0"/>
          <w:sz w:val="32"/>
          <w:szCs w:val="32"/>
          <w:shd w:val="clear" w:fill="FFFFFF"/>
          <w:lang w:val="en-US" w:eastAsia="zh-CN"/>
        </w:rPr>
        <w:t>统筹或配套</w:t>
      </w:r>
      <w:r>
        <w:rPr>
          <w:rFonts w:ascii="仿宋_GB2312" w:hAnsi="宋体" w:eastAsia="仿宋_GB2312" w:cs="仿宋_GB2312"/>
          <w:i w:val="0"/>
          <w:iCs w:val="0"/>
          <w:caps w:val="0"/>
          <w:color w:val="000000"/>
          <w:spacing w:val="0"/>
          <w:sz w:val="32"/>
          <w:szCs w:val="32"/>
          <w:shd w:val="clear" w:fill="FFFFFF"/>
        </w:rPr>
        <w:t>安排</w:t>
      </w:r>
      <w:r>
        <w:rPr>
          <w:rFonts w:hint="eastAsia" w:ascii="Times New Roman" w:hAnsi="Times New Roman" w:eastAsia="仿宋_GB2312" w:cs="仿宋_GB2312"/>
          <w:szCs w:val="32"/>
          <w:lang w:val="en-US" w:eastAsia="zh-CN"/>
        </w:rPr>
        <w:t>。</w:t>
      </w:r>
    </w:p>
    <w:p>
      <w:pPr>
        <w:spacing w:line="600" w:lineRule="exact"/>
        <w:ind w:firstLine="640" w:firstLineChars="200"/>
        <w:rPr>
          <w:rFonts w:hint="eastAsia" w:ascii="Times New Roman" w:hAnsi="Times New Roman" w:eastAsia="仿宋_GB2312" w:cs="仿宋_GB2312"/>
          <w:szCs w:val="32"/>
          <w:highlight w:val="yellow"/>
          <w:lang w:val="en-US" w:eastAsia="zh-CN"/>
        </w:rPr>
      </w:pPr>
      <w:r>
        <w:rPr>
          <w:rFonts w:hint="default" w:ascii="Calibri" w:hAnsi="Calibri" w:eastAsia="楷体" w:cs="Calibri"/>
          <w:szCs w:val="32"/>
          <w:lang w:val="en-US" w:eastAsia="zh-CN"/>
        </w:rPr>
        <w:t>②</w:t>
      </w:r>
      <w:r>
        <w:rPr>
          <w:rFonts w:hint="eastAsia" w:ascii="楷体" w:hAnsi="楷体" w:eastAsia="楷体" w:cs="楷体"/>
          <w:szCs w:val="32"/>
          <w:lang w:val="en-US" w:eastAsia="zh-CN"/>
        </w:rPr>
        <w:t>人员、机构安排方面。</w:t>
      </w:r>
      <w:r>
        <w:rPr>
          <w:rFonts w:hint="eastAsia" w:ascii="Times New Roman" w:hAnsi="Times New Roman" w:eastAsia="仿宋_GB2312" w:cs="仿宋_GB2312"/>
          <w:szCs w:val="32"/>
          <w:lang w:val="en-US" w:eastAsia="zh-CN"/>
        </w:rPr>
        <w:t>根据《中共浏阳市委、浏阳市人民政府关于印发&lt;浏阳市人民政府机构改革方案实施意见&gt;的通知》（浏发〔2011〕1号）和《中共浏阳市委、浏阳市人民政关于 &lt;浏阳市人民政府机构设置的通知府机构设置的通知&gt;》（浏发组〔2011〕2号）等相关文件精神，统计局人员及内设机构安排有效保障各项事业的可持续性。</w:t>
      </w:r>
    </w:p>
    <w:p>
      <w:pPr>
        <w:spacing w:line="600" w:lineRule="exact"/>
        <w:ind w:firstLine="643" w:firstLineChars="200"/>
        <w:rPr>
          <w:rFonts w:hint="eastAsia" w:ascii="楷体" w:hAnsi="楷体" w:eastAsia="楷体" w:cs="楷体"/>
          <w:b/>
          <w:bCs/>
          <w:szCs w:val="32"/>
          <w:lang w:val="en-US" w:eastAsia="zh-CN"/>
        </w:rPr>
      </w:pPr>
      <w:r>
        <w:rPr>
          <w:rFonts w:hint="eastAsia" w:ascii="楷体" w:hAnsi="楷体" w:eastAsia="楷体" w:cs="楷体"/>
          <w:b/>
          <w:bCs/>
          <w:szCs w:val="32"/>
          <w:lang w:val="en-US" w:eastAsia="zh-CN"/>
        </w:rPr>
        <w:t>5、综合评价情况及评价结论（附相关评分表）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楷体" w:hAnsi="楷体" w:eastAsia="楷体" w:cs="楷体"/>
          <w:sz w:val="32"/>
          <w:szCs w:val="32"/>
          <w:highlight w:val="none"/>
          <w:lang w:val="en-US" w:eastAsia="zh-CN"/>
        </w:rPr>
        <w:t>（1）民意调查中心工作经费。</w:t>
      </w:r>
      <w:r>
        <w:rPr>
          <w:rFonts w:hint="eastAsia" w:ascii="Times New Roman" w:hAnsi="Times New Roman" w:eastAsia="仿宋_GB2312" w:cs="Times New Roman"/>
          <w:color w:val="auto"/>
          <w:sz w:val="32"/>
          <w:szCs w:val="32"/>
          <w:highlight w:val="none"/>
          <w:lang w:val="en-US" w:eastAsia="zh-CN"/>
        </w:rPr>
        <w:t>搞好第七次人口普查、民意调查和统计报表报送全面加强基层基础建设，切实提高统计服务水平，着力强化部门统计工作及人民群众财产安全等相关工</w:t>
      </w:r>
      <w:r>
        <w:rPr>
          <w:rFonts w:hint="eastAsia" w:ascii="Times New Roman" w:hAnsi="Times New Roman" w:eastAsia="仿宋_GB2312" w:cs="Times New Roman"/>
          <w:sz w:val="32"/>
          <w:szCs w:val="32"/>
          <w:highlight w:val="none"/>
          <w:lang w:val="en-US" w:eastAsia="zh-CN"/>
        </w:rPr>
        <w:t>98.70分。</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楷体" w:hAnsi="楷体" w:eastAsia="楷体" w:cs="楷体"/>
          <w:sz w:val="32"/>
          <w:szCs w:val="32"/>
          <w:highlight w:val="none"/>
          <w:lang w:val="en-US" w:eastAsia="zh-CN"/>
        </w:rPr>
        <w:t>（2）统计抽样调查。</w:t>
      </w:r>
      <w:r>
        <w:rPr>
          <w:rFonts w:hint="eastAsia" w:ascii="Times New Roman" w:hAnsi="Times New Roman" w:eastAsia="仿宋_GB2312" w:cs="Times New Roman"/>
          <w:sz w:val="32"/>
          <w:szCs w:val="32"/>
          <w:highlight w:val="none"/>
          <w:lang w:val="en-US" w:eastAsia="zh-CN"/>
        </w:rPr>
        <w:t>完善金融速裁庭模式，健全不良贷款清欠工作长效机制，有效维护金融机构债券等相关工作较好的完成年初绩效目标，2022年绩效自评综合得分为98.70分。</w:t>
      </w:r>
    </w:p>
    <w:p>
      <w:pPr>
        <w:pStyle w:val="2"/>
        <w:ind w:firstLine="640" w:firstLineChars="200"/>
        <w:rPr>
          <w:rFonts w:hint="eastAsia" w:ascii="Times New Roman" w:hAnsi="Times New Roman" w:eastAsia="仿宋_GB2312" w:cs="Times New Roman"/>
          <w:sz w:val="32"/>
          <w:szCs w:val="32"/>
          <w:highlight w:val="none"/>
          <w:lang w:val="en-US" w:eastAsia="zh-CN"/>
        </w:rPr>
      </w:pPr>
      <w:r>
        <w:rPr>
          <w:rFonts w:hint="eastAsia" w:ascii="楷体" w:hAnsi="楷体" w:eastAsia="楷体" w:cs="楷体"/>
          <w:kern w:val="2"/>
          <w:sz w:val="32"/>
          <w:szCs w:val="32"/>
          <w:highlight w:val="none"/>
          <w:lang w:val="en-US" w:eastAsia="zh-CN" w:bidi="ar-SA"/>
        </w:rPr>
        <w:t>（3）统计数据质量监管平台经费。</w:t>
      </w:r>
      <w:r>
        <w:rPr>
          <w:rFonts w:hint="eastAsia" w:ascii="Times New Roman" w:hAnsi="Times New Roman" w:eastAsia="仿宋_GB2312" w:cs="Times New Roman"/>
          <w:sz w:val="32"/>
          <w:szCs w:val="32"/>
          <w:highlight w:val="none"/>
          <w:lang w:val="en-US" w:eastAsia="zh-CN"/>
        </w:rPr>
        <w:t>金融专项工作、湘赣边区域金融协作、信用体系建设、资本市场建设等单位相关工作方面较好地完成年初绩效目标，2022年绩效自评综合得分为98.70分。</w:t>
      </w:r>
    </w:p>
    <w:p>
      <w:pPr>
        <w:spacing w:line="600" w:lineRule="exact"/>
        <w:ind w:firstLine="643" w:firstLineChars="200"/>
        <w:rPr>
          <w:rFonts w:ascii="楷体" w:hAnsi="楷体" w:eastAsia="楷体" w:cs="楷体"/>
        </w:rPr>
      </w:pPr>
      <w:r>
        <w:rPr>
          <w:rFonts w:hint="eastAsia" w:ascii="楷体" w:hAnsi="楷体" w:eastAsia="楷体" w:cs="楷体"/>
          <w:b/>
          <w:bCs/>
          <w:szCs w:val="32"/>
          <w:lang w:val="en-US" w:eastAsia="zh-CN"/>
        </w:rPr>
        <w:t>6</w:t>
      </w:r>
      <w:r>
        <w:rPr>
          <w:rFonts w:hint="eastAsia" w:ascii="楷体" w:hAnsi="楷体" w:eastAsia="楷体" w:cs="楷体"/>
          <w:b/>
          <w:bCs/>
          <w:szCs w:val="32"/>
        </w:rPr>
        <w:t>、项目绩效评价结果应用建议</w:t>
      </w:r>
    </w:p>
    <w:p>
      <w:pPr>
        <w:spacing w:line="560" w:lineRule="exact"/>
        <w:ind w:firstLine="640" w:firstLineChars="200"/>
        <w:contextualSpacing/>
        <w:outlineLvl w:val="1"/>
        <w:rPr>
          <w:rFonts w:ascii="仿宋_GB2312" w:hAnsi="Times New Roman" w:eastAsia="仿宋_GB2312" w:cs="Times New Roman"/>
          <w:bCs/>
          <w:szCs w:val="32"/>
        </w:rPr>
      </w:pPr>
      <w:r>
        <w:rPr>
          <w:rFonts w:hint="eastAsia" w:ascii="仿宋_GB2312" w:hAnsi="Times New Roman" w:eastAsia="仿宋_GB2312" w:cs="Times New Roman"/>
          <w:bCs/>
          <w:szCs w:val="32"/>
        </w:rPr>
        <w:t>通过对各项目资金的调查和评价，掌握各项目资金的拨付、管理和使用情况，了解项目执行情况、实施情况、项目管理体系建设及相关制度建立执行情况。根据项目的完成情况，运用科学、规范的绩效评价方法，客观反映其社会效益、可持续影响和服务对象满意度。进一步规范项目运作管理机制，强化监督机制，落实措施，保障各项目</w:t>
      </w:r>
      <w:r>
        <w:rPr>
          <w:rFonts w:hint="eastAsia" w:ascii="仿宋_GB2312" w:hAnsi="Times New Roman" w:eastAsia="仿宋_GB2312" w:cs="Times New Roman"/>
          <w:bCs/>
          <w:szCs w:val="32"/>
          <w:lang w:eastAsia="zh-CN"/>
        </w:rPr>
        <w:t>标</w:t>
      </w:r>
      <w:r>
        <w:rPr>
          <w:rFonts w:hint="eastAsia" w:ascii="仿宋_GB2312" w:hAnsi="Times New Roman" w:eastAsia="仿宋_GB2312" w:cs="Times New Roman"/>
          <w:bCs/>
          <w:szCs w:val="32"/>
        </w:rPr>
        <w:t>的有效贯彻落实。</w:t>
      </w:r>
    </w:p>
    <w:p>
      <w:pPr>
        <w:spacing w:line="560" w:lineRule="exact"/>
        <w:ind w:firstLine="640" w:firstLineChars="200"/>
        <w:contextualSpacing/>
        <w:outlineLvl w:val="1"/>
        <w:rPr>
          <w:rFonts w:ascii="仿宋_GB2312" w:hAnsi="Times New Roman" w:eastAsia="仿宋_GB2312" w:cs="Times New Roman"/>
          <w:bCs/>
          <w:szCs w:val="32"/>
        </w:rPr>
      </w:pPr>
      <w:r>
        <w:rPr>
          <w:rFonts w:hint="eastAsia" w:ascii="仿宋_GB2312" w:hAnsi="Times New Roman" w:eastAsia="仿宋_GB2312" w:cs="Times New Roman"/>
          <w:bCs/>
          <w:szCs w:val="32"/>
        </w:rPr>
        <w:t>其次，通过绩效评价发现项目实施过程中存在的问题，总结项目实施过程中的经验，提出有针对性地改进意见和建议，进一步强化部门责任意识和绩效观念，规范项目资金管理制度，完善项目管理机制，提高财政资金使用效益和管理水平，为进一步调整和优化公共财政支出结构和财政资源配置决策提供科学依据；总结预算管理经验，查找资金使用和管理中的薄弱环节，为进一步完善财政政策、改进预算管理、提高预算资金绩效提供依据，为后续项目预算资金安排提供重要参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Cs w:val="32"/>
        </w:rPr>
      </w:pPr>
      <w:r>
        <w:rPr>
          <w:rFonts w:hint="eastAsia" w:ascii="楷体" w:hAnsi="楷体" w:eastAsia="楷体" w:cs="楷体"/>
          <w:b/>
          <w:bCs/>
          <w:szCs w:val="32"/>
          <w:lang w:val="en-US" w:eastAsia="zh-CN"/>
        </w:rPr>
        <w:t>7</w:t>
      </w:r>
      <w:r>
        <w:rPr>
          <w:rFonts w:hint="eastAsia" w:ascii="楷体" w:hAnsi="楷体" w:eastAsia="楷体" w:cs="楷体"/>
          <w:b/>
          <w:bCs/>
          <w:szCs w:val="32"/>
        </w:rPr>
        <w:t>、主要经验及做法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1"/>
        <w:rPr>
          <w:rFonts w:ascii="楷体" w:hAnsi="楷体" w:eastAsia="楷体" w:cs="楷体"/>
          <w:b/>
          <w:bCs/>
          <w:szCs w:val="32"/>
        </w:rPr>
      </w:pPr>
      <w:r>
        <w:rPr>
          <w:rFonts w:hint="eastAsia" w:ascii="仿宋_GB2312" w:hAnsi="Times New Roman" w:eastAsia="仿宋_GB2312" w:cs="Times New Roman"/>
          <w:bCs/>
          <w:szCs w:val="32"/>
          <w:lang w:val="en-US" w:eastAsia="zh-CN"/>
        </w:rPr>
        <w:t>单位内部控制制度健全，财务人员配备齐全，强化支出预算管理，加强费用支出管理，强化公务出差、会议、培训、公务接待、公务租车经费审批管理，严格实行政府采购服务管理，坚持厉行节约，严格资金使用和项目组织管理，保障机关正常运转和各项专项工作有序开展，确保项目资金的产出成果及产出效益。</w:t>
      </w:r>
    </w:p>
    <w:p>
      <w:pPr>
        <w:numPr>
          <w:ilvl w:val="255"/>
          <w:numId w:val="0"/>
        </w:numPr>
        <w:spacing w:before="144" w:beforeLines="25" w:line="560" w:lineRule="exact"/>
        <w:ind w:firstLine="643" w:firstLineChars="200"/>
        <w:outlineLvl w:val="0"/>
        <w:rPr>
          <w:rFonts w:ascii="楷体" w:hAnsi="楷体" w:eastAsia="楷体" w:cs="楷体"/>
          <w:b/>
          <w:bCs/>
          <w:szCs w:val="32"/>
        </w:rPr>
      </w:pPr>
      <w:r>
        <w:rPr>
          <w:rFonts w:hint="eastAsia" w:ascii="楷体" w:hAnsi="楷体" w:eastAsia="楷体" w:cs="楷体"/>
          <w:b/>
          <w:bCs/>
          <w:szCs w:val="32"/>
          <w:lang w:val="en-US" w:eastAsia="zh-CN"/>
        </w:rPr>
        <w:t>六</w:t>
      </w:r>
      <w:r>
        <w:rPr>
          <w:rFonts w:hint="eastAsia" w:ascii="楷体" w:hAnsi="楷体" w:eastAsia="楷体" w:cs="楷体"/>
          <w:b/>
          <w:bCs/>
          <w:szCs w:val="32"/>
        </w:rPr>
        <w:t>、存在的</w:t>
      </w:r>
      <w:r>
        <w:rPr>
          <w:rFonts w:hint="eastAsia" w:ascii="楷体" w:hAnsi="楷体" w:eastAsia="楷体" w:cs="楷体"/>
          <w:b/>
          <w:bCs/>
          <w:szCs w:val="32"/>
          <w:lang w:val="en-US" w:eastAsia="zh-CN"/>
        </w:rPr>
        <w:t>主要</w:t>
      </w:r>
      <w:r>
        <w:rPr>
          <w:rFonts w:hint="eastAsia" w:ascii="楷体" w:hAnsi="楷体" w:eastAsia="楷体" w:cs="楷体"/>
          <w:b/>
          <w:bCs/>
          <w:szCs w:val="32"/>
        </w:rPr>
        <w:t>问题</w:t>
      </w:r>
    </w:p>
    <w:p>
      <w:pPr>
        <w:spacing w:line="560" w:lineRule="exact"/>
        <w:ind w:firstLine="640" w:firstLineChars="200"/>
        <w:outlineLvl w:val="1"/>
        <w:rPr>
          <w:rFonts w:hint="eastAsia" w:ascii="楷体_GB2312" w:hAnsi="Times New Roman" w:eastAsia="楷体_GB2312" w:cs="仿宋_GB2312"/>
          <w:bCs/>
          <w:szCs w:val="32"/>
        </w:rPr>
      </w:pPr>
      <w:r>
        <w:rPr>
          <w:rFonts w:hint="eastAsia" w:ascii="楷体_GB2312" w:hAnsi="Times New Roman" w:eastAsia="楷体_GB2312" w:cs="仿宋_GB2312"/>
          <w:bCs/>
          <w:szCs w:val="32"/>
        </w:rPr>
        <w:t>（一）年初预算编制欠严谨，不够科学，年中预算调整较大。</w:t>
      </w:r>
    </w:p>
    <w:p>
      <w:pPr>
        <w:spacing w:line="560" w:lineRule="exact"/>
        <w:ind w:firstLine="640" w:firstLineChars="200"/>
        <w:contextualSpacing/>
        <w:rPr>
          <w:rFonts w:hint="eastAsia" w:ascii="Times New Roman" w:hAnsi="Times New Roman" w:eastAsia="仿宋_GB2312" w:cs="Times New Roman"/>
          <w:szCs w:val="32"/>
          <w:lang w:val="en-US" w:eastAsia="zh-CN"/>
        </w:rPr>
      </w:pPr>
      <w:r>
        <w:rPr>
          <w:rFonts w:hint="eastAsia" w:ascii="Times New Roman" w:hAnsi="Times New Roman" w:eastAsia="仿宋_GB2312" w:cs="Times New Roman"/>
          <w:szCs w:val="32"/>
          <w:lang w:eastAsia="zh-CN"/>
        </w:rPr>
        <w:t>统计局</w:t>
      </w:r>
      <w:r>
        <w:rPr>
          <w:rFonts w:hint="eastAsia" w:ascii="Times New Roman" w:hAnsi="Times New Roman" w:eastAsia="仿宋_GB2312" w:cs="Times New Roman"/>
          <w:szCs w:val="32"/>
        </w:rPr>
        <w:t>2022年初预算金额</w:t>
      </w:r>
      <w:r>
        <w:rPr>
          <w:rFonts w:hint="eastAsia" w:ascii="Times New Roman" w:hAnsi="Times New Roman" w:eastAsia="仿宋_GB2312" w:cs="Times New Roman"/>
          <w:szCs w:val="32"/>
          <w:lang w:eastAsia="zh-CN"/>
        </w:rPr>
        <w:t>715.75</w:t>
      </w:r>
      <w:r>
        <w:rPr>
          <w:rFonts w:ascii="Times New Roman" w:hAnsi="Times New Roman" w:eastAsia="仿宋_GB2312" w:cs="Times New Roman"/>
          <w:szCs w:val="32"/>
        </w:rPr>
        <w:t>万元，</w:t>
      </w:r>
      <w:r>
        <w:rPr>
          <w:rFonts w:hint="eastAsia" w:ascii="Times New Roman" w:hAnsi="Times New Roman" w:eastAsia="仿宋_GB2312" w:cs="Times New Roman"/>
          <w:szCs w:val="32"/>
        </w:rPr>
        <w:t>年终决算</w:t>
      </w:r>
      <w:r>
        <w:rPr>
          <w:rFonts w:hint="eastAsia" w:ascii="Times New Roman" w:hAnsi="Times New Roman" w:eastAsia="仿宋_GB2312" w:cs="Times New Roman"/>
          <w:szCs w:val="32"/>
          <w:lang w:val="en-US" w:eastAsia="zh-CN"/>
        </w:rPr>
        <w:t>支出</w:t>
      </w:r>
      <w:r>
        <w:rPr>
          <w:rFonts w:hint="eastAsia" w:ascii="Times New Roman" w:hAnsi="Times New Roman" w:eastAsia="仿宋_GB2312" w:cs="Times New Roman"/>
          <w:szCs w:val="32"/>
          <w:lang w:eastAsia="zh-CN"/>
        </w:rPr>
        <w:t>1,171.50</w:t>
      </w:r>
      <w:r>
        <w:rPr>
          <w:rFonts w:ascii="Times New Roman" w:hAnsi="Times New Roman" w:eastAsia="仿宋_GB2312" w:cs="Times New Roman"/>
          <w:szCs w:val="32"/>
        </w:rPr>
        <w:t>万元</w:t>
      </w:r>
      <w:r>
        <w:rPr>
          <w:rFonts w:hint="eastAsia" w:ascii="Times New Roman" w:hAnsi="Times New Roman" w:eastAsia="仿宋_GB2312" w:cs="Times New Roman"/>
          <w:szCs w:val="32"/>
        </w:rPr>
        <w:t>，预算执行偏差率为</w:t>
      </w:r>
      <w:r>
        <w:rPr>
          <w:rFonts w:hint="eastAsia" w:ascii="Times New Roman" w:hAnsi="Times New Roman" w:eastAsia="仿宋_GB2312" w:cs="Times New Roman"/>
          <w:szCs w:val="32"/>
          <w:lang w:val="en-US" w:eastAsia="zh-CN"/>
        </w:rPr>
        <w:t>63.67</w:t>
      </w:r>
      <w:r>
        <w:rPr>
          <w:rFonts w:hint="eastAsia" w:ascii="Times New Roman" w:hAnsi="Times New Roman" w:eastAsia="仿宋_GB2312" w:cs="Times New Roman"/>
          <w:szCs w:val="32"/>
        </w:rPr>
        <w:t>%</w:t>
      </w:r>
      <w:r>
        <w:rPr>
          <w:rFonts w:hint="eastAsia" w:ascii="Times New Roman" w:hAnsi="Times New Roman" w:eastAsia="仿宋_GB2312" w:cs="Times New Roman"/>
          <w:szCs w:val="32"/>
          <w:lang w:eastAsia="zh-CN"/>
        </w:rPr>
        <w:t>。</w:t>
      </w:r>
    </w:p>
    <w:p>
      <w:pPr>
        <w:spacing w:line="560" w:lineRule="exact"/>
        <w:ind w:firstLine="640" w:firstLineChars="200"/>
        <w:contextualSpacing/>
        <w:rPr>
          <w:rFonts w:ascii="Times New Roman" w:hAnsi="Times New Roman" w:eastAsia="仿宋_GB2312" w:cs="Times New Roman"/>
          <w:szCs w:val="32"/>
        </w:rPr>
      </w:pPr>
      <w:r>
        <w:rPr>
          <w:rFonts w:hint="eastAsia" w:ascii="Times New Roman" w:hAnsi="Times New Roman" w:eastAsia="仿宋_GB2312" w:cs="Times New Roman"/>
          <w:szCs w:val="32"/>
        </w:rPr>
        <w:t>以上不符合《中华人民共和国预算法》第六十九条“在预算执行中，各级政府对于必须进行的预算调整，应当编制预算调整方案。预算调整方案应当说明预算调整的理由、项目和数额。”</w:t>
      </w:r>
    </w:p>
    <w:p>
      <w:pPr>
        <w:spacing w:line="560" w:lineRule="exact"/>
        <w:ind w:firstLine="640" w:firstLineChars="200"/>
        <w:outlineLvl w:val="1"/>
        <w:rPr>
          <w:rFonts w:ascii="楷体_GB2312" w:hAnsi="Times New Roman" w:eastAsia="楷体_GB2312" w:cs="仿宋_GB2312"/>
          <w:bCs/>
          <w:szCs w:val="32"/>
          <w:highlight w:val="none"/>
        </w:rPr>
      </w:pPr>
      <w:r>
        <w:rPr>
          <w:rFonts w:hint="eastAsia" w:ascii="楷体_GB2312" w:hAnsi="Times New Roman" w:eastAsia="楷体_GB2312" w:cs="仿宋_GB2312"/>
          <w:bCs/>
          <w:szCs w:val="32"/>
          <w:highlight w:val="none"/>
        </w:rPr>
        <w:t>（二）项目资金预算绩效目标设定不够明确、不够细化。</w:t>
      </w:r>
    </w:p>
    <w:p>
      <w:pPr>
        <w:spacing w:line="560" w:lineRule="exact"/>
        <w:ind w:firstLine="640" w:firstLineChars="200"/>
        <w:contextualSpacing/>
        <w:rPr>
          <w:rFonts w:ascii="Times New Roman" w:hAnsi="Times New Roman" w:eastAsia="仿宋_GB2312" w:cs="Times New Roman"/>
          <w:szCs w:val="32"/>
          <w:highlight w:val="none"/>
        </w:rPr>
      </w:pPr>
      <w:r>
        <w:rPr>
          <w:rFonts w:hint="eastAsia" w:ascii="Times New Roman" w:hAnsi="Times New Roman" w:eastAsia="仿宋_GB2312" w:cs="Times New Roman"/>
          <w:szCs w:val="32"/>
          <w:highlight w:val="none"/>
          <w:lang w:eastAsia="zh-CN"/>
        </w:rPr>
        <w:t>统计局</w:t>
      </w:r>
      <w:r>
        <w:rPr>
          <w:rFonts w:hint="eastAsia" w:ascii="Times New Roman" w:hAnsi="Times New Roman" w:eastAsia="仿宋_GB2312" w:cs="Times New Roman"/>
          <w:szCs w:val="32"/>
          <w:highlight w:val="none"/>
        </w:rPr>
        <w:t>全年执行中的专项资金项目有</w:t>
      </w:r>
      <w:r>
        <w:rPr>
          <w:rFonts w:hint="eastAsia" w:ascii="Times New Roman" w:hAnsi="Times New Roman" w:eastAsia="仿宋_GB2312" w:cs="Times New Roman"/>
          <w:szCs w:val="32"/>
          <w:highlight w:val="none"/>
          <w:lang w:val="en-US" w:eastAsia="zh-CN"/>
        </w:rPr>
        <w:t>6</w:t>
      </w:r>
      <w:r>
        <w:rPr>
          <w:rFonts w:hint="eastAsia" w:ascii="Times New Roman" w:hAnsi="Times New Roman" w:eastAsia="仿宋_GB2312" w:cs="Times New Roman"/>
          <w:szCs w:val="32"/>
          <w:highlight w:val="none"/>
        </w:rPr>
        <w:t>个，其申报的绩效目标申报表中的绩效目标表述较为含糊，项目绩效目标都没有设立定量指标。其指标的设定过于笼统，未进行细化，难以进行量化考核，回避了提供公共产品和服务的数量，弱化了绩效目标的导向作用。</w:t>
      </w:r>
    </w:p>
    <w:p>
      <w:pPr>
        <w:spacing w:line="560" w:lineRule="exact"/>
        <w:ind w:firstLine="640" w:firstLineChars="200"/>
        <w:contextualSpacing/>
        <w:rPr>
          <w:rFonts w:ascii="Times New Roman" w:hAnsi="Times New Roman" w:eastAsia="仿宋_GB2312" w:cs="Times New Roman"/>
          <w:szCs w:val="32"/>
          <w:highlight w:val="none"/>
        </w:rPr>
      </w:pPr>
      <w:r>
        <w:rPr>
          <w:rFonts w:hint="eastAsia" w:ascii="Times New Roman" w:hAnsi="Times New Roman" w:eastAsia="仿宋_GB2312" w:cs="Times New Roman"/>
          <w:szCs w:val="32"/>
          <w:highlight w:val="none"/>
        </w:rPr>
        <w:t>以上不符合湖南省财政厅关于印发《湖南省预算绩效目标管理办法》的通知（湘财绩〔2013〕29号），第三章第十六条“绩效目标应当符合以下要求：指向明确……细化量化……合理可行……相应匹配……绩效指标应与绩效目标密切相关，突出重点，系统全面，便于考核。”</w:t>
      </w:r>
    </w:p>
    <w:p>
      <w:pPr>
        <w:spacing w:line="560" w:lineRule="exact"/>
        <w:ind w:firstLine="640" w:firstLineChars="200"/>
        <w:contextualSpacing/>
        <w:outlineLvl w:val="0"/>
        <w:rPr>
          <w:rFonts w:hint="default" w:ascii="楷体" w:hAnsi="楷体" w:eastAsia="楷体" w:cs="楷体"/>
          <w:b/>
          <w:bCs/>
          <w:szCs w:val="32"/>
          <w:lang w:val="en-US" w:eastAsia="zh-CN"/>
        </w:rPr>
      </w:pPr>
      <w:r>
        <w:rPr>
          <w:rFonts w:hint="eastAsia" w:ascii="楷体_GB2312" w:hAnsi="Times New Roman" w:eastAsia="楷体_GB2312" w:cs="仿宋_GB2312"/>
          <w:bCs/>
          <w:szCs w:val="32"/>
        </w:rPr>
        <w:t xml:space="preserve"> </w:t>
      </w:r>
      <w:r>
        <w:rPr>
          <w:rFonts w:hint="eastAsia" w:ascii="仿宋_GB2312" w:hAnsi="Times New Roman" w:eastAsia="仿宋_GB2312"/>
          <w:b/>
          <w:szCs w:val="32"/>
        </w:rPr>
        <w:t xml:space="preserve"> </w:t>
      </w:r>
      <w:r>
        <w:rPr>
          <w:rFonts w:hint="eastAsia" w:ascii="仿宋_GB2312" w:hAnsi="Times New Roman" w:eastAsia="仿宋_GB2312"/>
          <w:b/>
          <w:szCs w:val="32"/>
          <w:lang w:val="en-US" w:eastAsia="zh-CN"/>
        </w:rPr>
        <w:t>七</w:t>
      </w:r>
      <w:r>
        <w:rPr>
          <w:rFonts w:hint="eastAsia" w:ascii="楷体" w:hAnsi="楷体" w:eastAsia="楷体" w:cs="楷体"/>
          <w:b/>
          <w:bCs/>
          <w:szCs w:val="32"/>
        </w:rPr>
        <w:t>、改进措施</w:t>
      </w:r>
      <w:r>
        <w:rPr>
          <w:rFonts w:hint="eastAsia" w:ascii="楷体" w:hAnsi="楷体" w:eastAsia="楷体" w:cs="楷体"/>
          <w:b/>
          <w:bCs/>
          <w:szCs w:val="32"/>
          <w:lang w:val="en-US" w:eastAsia="zh-CN"/>
        </w:rPr>
        <w:t>和有关建议</w:t>
      </w:r>
    </w:p>
    <w:p>
      <w:pPr>
        <w:spacing w:line="560" w:lineRule="exact"/>
        <w:ind w:firstLine="640" w:firstLineChars="200"/>
        <w:outlineLvl w:val="1"/>
        <w:rPr>
          <w:rFonts w:ascii="楷体_GB2312" w:hAnsi="Times New Roman" w:eastAsia="楷体_GB2312" w:cs="仿宋_GB2312"/>
          <w:bCs/>
          <w:szCs w:val="32"/>
        </w:rPr>
      </w:pPr>
      <w:r>
        <w:rPr>
          <w:rFonts w:hint="eastAsia" w:ascii="楷体_GB2312" w:hAnsi="Times New Roman" w:eastAsia="楷体_GB2312" w:cs="仿宋_GB2312"/>
          <w:bCs/>
          <w:szCs w:val="32"/>
        </w:rPr>
        <w:t>（一）建议完善预算编制流程，科学合理编制年初预算。</w:t>
      </w:r>
    </w:p>
    <w:p>
      <w:pPr>
        <w:spacing w:line="560" w:lineRule="exact"/>
        <w:ind w:firstLine="640" w:firstLineChars="200"/>
        <w:contextualSpacing/>
        <w:rPr>
          <w:rFonts w:ascii="Times New Roman" w:hAnsi="Times New Roman" w:eastAsia="仿宋_GB2312" w:cs="Times New Roman"/>
          <w:szCs w:val="32"/>
        </w:rPr>
      </w:pPr>
      <w:r>
        <w:rPr>
          <w:rFonts w:hint="eastAsia" w:ascii="Times New Roman" w:hAnsi="Times New Roman" w:eastAsia="仿宋_GB2312" w:cs="Times New Roman"/>
          <w:szCs w:val="32"/>
        </w:rPr>
        <w:t>建议在编制项目预算时，严格按照《预算法》及其实施条例的相关规定，参考上一年的预算执行情况、年初资金结余情况和年度中的项目支出预测情况，科学合理编制预算，尽量将综合项目预算进行细分到具体项目，并注明分配依据及预计付款时段，使编制的预算更加细化精确，便于操作，与部门实际情况相接近。财政部门据此对年初及年中预算金额及指标下达时间进行整体统筹，以避免临时性调整预算过大。</w:t>
      </w:r>
    </w:p>
    <w:p>
      <w:pPr>
        <w:spacing w:line="560" w:lineRule="exact"/>
        <w:ind w:firstLine="640" w:firstLineChars="200"/>
        <w:outlineLvl w:val="0"/>
        <w:rPr>
          <w:rFonts w:ascii="楷体_GB2312" w:hAnsi="Times New Roman" w:eastAsia="楷体_GB2312" w:cs="仿宋_GB2312"/>
          <w:bCs/>
          <w:szCs w:val="32"/>
          <w:highlight w:val="none"/>
        </w:rPr>
      </w:pPr>
      <w:r>
        <w:rPr>
          <w:rFonts w:hint="eastAsia" w:ascii="楷体_GB2312" w:hAnsi="Times New Roman" w:eastAsia="楷体_GB2312" w:cs="仿宋_GB2312"/>
          <w:bCs/>
          <w:szCs w:val="32"/>
          <w:highlight w:val="none"/>
        </w:rPr>
        <w:t>（二）建议强化项目绩效目标管理，规范项目绩效目标编制，及时设定健全、细化、合理及便于量化考核的绩效目标。</w:t>
      </w:r>
    </w:p>
    <w:p>
      <w:pPr>
        <w:spacing w:line="560" w:lineRule="exact"/>
        <w:ind w:firstLine="640" w:firstLineChars="200"/>
        <w:contextualSpacing/>
        <w:rPr>
          <w:rFonts w:ascii="Times New Roman" w:hAnsi="Times New Roman" w:eastAsia="仿宋_GB2312" w:cs="Times New Roman"/>
          <w:szCs w:val="32"/>
          <w:highlight w:val="none"/>
        </w:rPr>
      </w:pPr>
      <w:r>
        <w:rPr>
          <w:rFonts w:hint="eastAsia" w:ascii="Times New Roman" w:hAnsi="Times New Roman" w:eastAsia="仿宋_GB2312" w:cs="Times New Roman"/>
          <w:szCs w:val="32"/>
          <w:highlight w:val="none"/>
        </w:rPr>
        <w:t>建议对所有列入预算的财政资金项目进行分类梳理，每个类别项目均应填报项目支出预算绩效目标申报表，根据项目内容，科学合理制定项目绩效目标，其绩效目标不能过于笼统，应做到细化、量化、可执行、可考核。如因项目情况特殊，绩效目标不能量化的，可采用少量定性表述，但需具有可衡量的考核标准。</w:t>
      </w:r>
    </w:p>
    <w:p>
      <w:pPr>
        <w:numPr>
          <w:ilvl w:val="255"/>
          <w:numId w:val="0"/>
        </w:numPr>
        <w:spacing w:before="144" w:beforeLines="25" w:line="560" w:lineRule="exact"/>
        <w:ind w:firstLine="643" w:firstLineChars="200"/>
        <w:outlineLvl w:val="0"/>
        <w:rPr>
          <w:rFonts w:hint="default" w:ascii="楷体" w:hAnsi="楷体" w:eastAsia="楷体" w:cs="楷体"/>
          <w:b/>
          <w:bCs/>
          <w:szCs w:val="32"/>
          <w:lang w:val="en-US" w:eastAsia="zh-CN"/>
        </w:rPr>
      </w:pPr>
      <w:r>
        <w:rPr>
          <w:rFonts w:hint="eastAsia" w:ascii="楷体" w:hAnsi="楷体" w:eastAsia="楷体" w:cs="楷体"/>
          <w:b/>
          <w:bCs/>
          <w:szCs w:val="32"/>
          <w:lang w:val="en-US" w:eastAsia="zh-CN"/>
        </w:rPr>
        <w:t>八</w:t>
      </w:r>
      <w:r>
        <w:rPr>
          <w:rFonts w:hint="eastAsia" w:ascii="楷体" w:hAnsi="楷体" w:eastAsia="楷体" w:cs="楷体"/>
          <w:b/>
          <w:bCs/>
          <w:szCs w:val="32"/>
        </w:rPr>
        <w:t>、</w:t>
      </w:r>
      <w:r>
        <w:rPr>
          <w:rFonts w:hint="eastAsia" w:ascii="楷体" w:hAnsi="楷体" w:eastAsia="楷体" w:cs="楷体"/>
          <w:b/>
          <w:bCs/>
          <w:szCs w:val="32"/>
          <w:lang w:val="en-US" w:eastAsia="zh-CN"/>
        </w:rPr>
        <w:t>单位在资金管理、项目管理等方面的先进经验及做法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楷体" w:hAnsi="楷体" w:eastAsia="楷体" w:cs="楷体"/>
          <w:sz w:val="32"/>
          <w:szCs w:val="32"/>
          <w:highlight w:val="none"/>
          <w:lang w:val="en-US" w:eastAsia="zh-CN"/>
        </w:rPr>
        <w:t>1、健全财务管理制度，规范资金使用。</w:t>
      </w:r>
      <w:r>
        <w:rPr>
          <w:rFonts w:hint="eastAsia" w:ascii="Times New Roman" w:hAnsi="Times New Roman" w:eastAsia="仿宋_GB2312" w:cs="Times New Roman"/>
          <w:sz w:val="32"/>
          <w:szCs w:val="32"/>
          <w:highlight w:val="none"/>
          <w:lang w:val="en-US" w:eastAsia="zh-CN"/>
        </w:rPr>
        <w:t>市委编办根据专项资金性质和管理要求完善资金管理办法及相关制度，对专项资金进行了专项核算，确保资金收支情况清晰明了。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楷体" w:hAnsi="楷体" w:eastAsia="楷体" w:cs="楷体"/>
          <w:sz w:val="32"/>
          <w:szCs w:val="32"/>
          <w:highlight w:val="none"/>
          <w:lang w:val="en-US" w:eastAsia="zh-CN"/>
        </w:rPr>
        <w:t>2、严格项目监督、加强资金监管。</w:t>
      </w:r>
      <w:r>
        <w:rPr>
          <w:rFonts w:hint="default" w:ascii="Times New Roman" w:hAnsi="Times New Roman" w:eastAsia="仿宋_GB2312" w:cs="Times New Roman"/>
          <w:sz w:val="32"/>
          <w:szCs w:val="32"/>
          <w:highlight w:val="none"/>
          <w:lang w:val="en-US" w:eastAsia="zh-CN"/>
        </w:rPr>
        <w:t>严格按照《</w:t>
      </w:r>
      <w:r>
        <w:rPr>
          <w:rFonts w:hint="eastAsia" w:ascii="Times New Roman" w:hAnsi="Times New Roman" w:eastAsia="仿宋_GB2312" w:cs="Times New Roman"/>
          <w:sz w:val="32"/>
          <w:szCs w:val="32"/>
          <w:highlight w:val="none"/>
          <w:lang w:val="en-US" w:eastAsia="zh-CN"/>
        </w:rPr>
        <w:t>政府会计制度</w:t>
      </w:r>
      <w:r>
        <w:rPr>
          <w:rFonts w:hint="default" w:ascii="Times New Roman" w:hAnsi="Times New Roman" w:eastAsia="仿宋_GB2312" w:cs="Times New Roman"/>
          <w:sz w:val="32"/>
          <w:szCs w:val="32"/>
          <w:highlight w:val="none"/>
          <w:lang w:val="en-US" w:eastAsia="zh-CN"/>
        </w:rPr>
        <w:t>》</w:t>
      </w:r>
      <w:bookmarkStart w:id="4" w:name="_GoBack"/>
      <w:bookmarkEnd w:id="4"/>
      <w:r>
        <w:rPr>
          <w:rFonts w:hint="eastAsia" w:ascii="Times New Roman" w:hAnsi="Times New Roman" w:eastAsia="仿宋_GB2312" w:cs="Times New Roman"/>
          <w:sz w:val="32"/>
          <w:szCs w:val="32"/>
          <w:highlight w:val="none"/>
          <w:lang w:val="en-US" w:eastAsia="zh-CN"/>
        </w:rPr>
        <w:t>《浏阳市机构编制委员会办公室专项资金管理办法（试行）》</w:t>
      </w:r>
      <w:r>
        <w:rPr>
          <w:rFonts w:hint="default" w:ascii="Times New Roman" w:hAnsi="Times New Roman" w:eastAsia="仿宋_GB2312" w:cs="Times New Roman"/>
          <w:sz w:val="32"/>
          <w:szCs w:val="32"/>
          <w:highlight w:val="none"/>
          <w:lang w:val="en-US" w:eastAsia="zh-CN"/>
        </w:rPr>
        <w:t>有关条款执行，实行专款专用、专项核算、公开公示、定期跟踪。</w:t>
      </w:r>
    </w:p>
    <w:p>
      <w:pPr>
        <w:numPr>
          <w:ilvl w:val="255"/>
          <w:numId w:val="0"/>
        </w:numPr>
        <w:spacing w:before="144" w:beforeLines="25" w:line="560" w:lineRule="exact"/>
        <w:ind w:firstLine="643" w:firstLineChars="200"/>
        <w:outlineLvl w:val="0"/>
        <w:rPr>
          <w:rFonts w:hint="default" w:ascii="楷体" w:hAnsi="楷体" w:eastAsia="楷体" w:cs="楷体"/>
          <w:b/>
          <w:bCs/>
          <w:szCs w:val="32"/>
          <w:lang w:val="en-US" w:eastAsia="zh-CN"/>
        </w:rPr>
      </w:pPr>
      <w:r>
        <w:rPr>
          <w:rFonts w:hint="eastAsia" w:ascii="楷体" w:hAnsi="楷体" w:eastAsia="楷体" w:cs="楷体"/>
          <w:b/>
          <w:bCs/>
          <w:szCs w:val="32"/>
          <w:lang w:val="en-US" w:eastAsia="zh-CN"/>
        </w:rPr>
        <w:t>九</w:t>
      </w:r>
      <w:r>
        <w:rPr>
          <w:rFonts w:hint="eastAsia" w:ascii="楷体" w:hAnsi="楷体" w:eastAsia="楷体" w:cs="楷体"/>
          <w:b/>
          <w:bCs/>
          <w:szCs w:val="32"/>
        </w:rPr>
        <w:t>、</w:t>
      </w:r>
      <w:r>
        <w:rPr>
          <w:rFonts w:hint="eastAsia" w:ascii="楷体" w:hAnsi="楷体" w:eastAsia="楷体" w:cs="楷体"/>
          <w:b/>
          <w:bCs/>
          <w:szCs w:val="32"/>
          <w:lang w:val="en-US" w:eastAsia="zh-CN"/>
        </w:rPr>
        <w:t>部门整体支出绩效评价等级</w:t>
      </w:r>
    </w:p>
    <w:p>
      <w:pPr>
        <w:spacing w:line="560" w:lineRule="exact"/>
        <w:ind w:firstLine="640" w:firstLineChars="200"/>
        <w:contextualSpacing/>
        <w:rPr>
          <w:rFonts w:ascii="Times New Roman" w:hAnsi="Times New Roman" w:eastAsia="仿宋_GB2312" w:cs="Times New Roman"/>
          <w:szCs w:val="32"/>
        </w:rPr>
      </w:pPr>
      <w:r>
        <w:rPr>
          <w:rFonts w:ascii="Times New Roman" w:hAnsi="Times New Roman" w:eastAsia="仿宋_GB2312" w:cs="Times New Roman"/>
          <w:szCs w:val="32"/>
        </w:rPr>
        <w:t>经综合评价，</w:t>
      </w:r>
      <w:r>
        <w:rPr>
          <w:rFonts w:hint="eastAsia" w:ascii="Times New Roman" w:hAnsi="Times New Roman" w:eastAsia="仿宋_GB2312" w:cs="Times New Roman"/>
          <w:szCs w:val="32"/>
        </w:rPr>
        <w:t>我单位2022年</w:t>
      </w:r>
      <w:r>
        <w:rPr>
          <w:rFonts w:ascii="Times New Roman" w:hAnsi="Times New Roman" w:eastAsia="仿宋_GB2312" w:cs="Times New Roman"/>
          <w:szCs w:val="32"/>
        </w:rPr>
        <w:t>部门整体支出绩效评价得分</w:t>
      </w:r>
      <w:r>
        <w:rPr>
          <w:rFonts w:hint="eastAsia" w:ascii="Times New Roman" w:hAnsi="Times New Roman" w:eastAsia="仿宋_GB2312" w:cs="Times New Roman"/>
          <w:color w:val="000000" w:themeColor="text1"/>
          <w:szCs w:val="32"/>
          <w:highlight w:val="none"/>
          <w:lang w:val="en-US" w:eastAsia="zh-CN"/>
        </w:rPr>
        <w:t>98.71</w:t>
      </w:r>
      <w:r>
        <w:rPr>
          <w:rFonts w:ascii="Times New Roman" w:hAnsi="Times New Roman" w:eastAsia="仿宋_GB2312" w:cs="Times New Roman"/>
          <w:color w:val="000000" w:themeColor="text1"/>
          <w:szCs w:val="32"/>
          <w:highlight w:val="none"/>
        </w:rPr>
        <w:t>分</w:t>
      </w:r>
      <w:r>
        <w:rPr>
          <w:rFonts w:ascii="Times New Roman" w:hAnsi="Times New Roman" w:eastAsia="仿宋_GB2312" w:cs="Times New Roman"/>
          <w:color w:val="000000" w:themeColor="text1"/>
          <w:szCs w:val="32"/>
        </w:rPr>
        <w:t>，</w:t>
      </w:r>
      <w:r>
        <w:rPr>
          <w:rFonts w:ascii="Times New Roman" w:hAnsi="Times New Roman" w:eastAsia="仿宋_GB2312" w:cs="Times New Roman"/>
          <w:szCs w:val="32"/>
        </w:rPr>
        <w:t>评价结果为“</w:t>
      </w:r>
      <w:r>
        <w:rPr>
          <w:rFonts w:hint="eastAsia" w:ascii="Times New Roman" w:hAnsi="Times New Roman" w:eastAsia="仿宋_GB2312" w:cs="Times New Roman"/>
          <w:szCs w:val="32"/>
        </w:rPr>
        <w:t>优</w:t>
      </w:r>
      <w:r>
        <w:rPr>
          <w:rFonts w:ascii="Times New Roman" w:hAnsi="Times New Roman" w:eastAsia="仿宋_GB2312" w:cs="Times New Roman"/>
          <w:szCs w:val="32"/>
        </w:rPr>
        <w:t>”。得分明细如下：</w:t>
      </w:r>
    </w:p>
    <w:p>
      <w:pPr>
        <w:numPr>
          <w:ilvl w:val="255"/>
          <w:numId w:val="0"/>
        </w:numPr>
        <w:spacing w:line="560" w:lineRule="exact"/>
        <w:ind w:firstLine="643" w:firstLineChars="200"/>
        <w:outlineLvl w:val="1"/>
        <w:rPr>
          <w:rFonts w:hint="eastAsia" w:ascii="楷体" w:hAnsi="楷体" w:eastAsia="楷体" w:cs="楷体"/>
          <w:b/>
          <w:bCs/>
          <w:szCs w:val="32"/>
          <w:lang w:val="en-US" w:eastAsia="zh-CN"/>
        </w:rPr>
      </w:pPr>
      <w:r>
        <w:rPr>
          <w:rFonts w:hint="eastAsia" w:ascii="楷体" w:hAnsi="楷体" w:eastAsia="楷体" w:cs="楷体"/>
          <w:b/>
          <w:bCs/>
          <w:szCs w:val="32"/>
        </w:rPr>
        <w:t>（一）</w:t>
      </w:r>
      <w:r>
        <w:rPr>
          <w:rFonts w:hint="eastAsia" w:ascii="楷体" w:hAnsi="楷体" w:eastAsia="楷体" w:cs="楷体"/>
          <w:b/>
          <w:bCs/>
          <w:szCs w:val="32"/>
          <w:lang w:val="en-US" w:eastAsia="zh-CN"/>
        </w:rPr>
        <w:t>投入管理</w:t>
      </w:r>
    </w:p>
    <w:p>
      <w:pPr>
        <w:spacing w:line="560" w:lineRule="exact"/>
        <w:ind w:firstLine="640" w:firstLineChars="200"/>
        <w:contextualSpacing/>
        <w:rPr>
          <w:rFonts w:ascii="Times New Roman" w:hAnsi="Times New Roman" w:eastAsia="仿宋_GB2312" w:cs="Times New Roman"/>
          <w:szCs w:val="32"/>
        </w:rPr>
      </w:pPr>
      <w:r>
        <w:rPr>
          <w:rFonts w:ascii="Times New Roman" w:hAnsi="Times New Roman" w:eastAsia="仿宋_GB2312" w:cs="Times New Roman"/>
          <w:szCs w:val="32"/>
        </w:rPr>
        <w:t>根据评价原则，决策分值</w:t>
      </w:r>
      <w:r>
        <w:rPr>
          <w:rFonts w:hint="eastAsia" w:ascii="Times New Roman" w:hAnsi="Times New Roman" w:eastAsia="仿宋_GB2312" w:cs="Times New Roman"/>
          <w:szCs w:val="32"/>
          <w:lang w:val="en-US" w:eastAsia="zh-CN"/>
        </w:rPr>
        <w:t>3</w:t>
      </w:r>
      <w:r>
        <w:rPr>
          <w:rFonts w:hint="eastAsia" w:ascii="Times New Roman" w:hAnsi="Times New Roman" w:eastAsia="仿宋_GB2312" w:cs="Times New Roman"/>
          <w:szCs w:val="32"/>
        </w:rPr>
        <w:t>0</w:t>
      </w:r>
      <w:r>
        <w:rPr>
          <w:rFonts w:ascii="Times New Roman" w:hAnsi="Times New Roman" w:eastAsia="仿宋_GB2312" w:cs="Times New Roman"/>
          <w:szCs w:val="32"/>
        </w:rPr>
        <w:t>分，评价得分</w:t>
      </w:r>
      <w:r>
        <w:rPr>
          <w:rFonts w:hint="eastAsia" w:ascii="Times New Roman" w:hAnsi="Times New Roman" w:eastAsia="仿宋_GB2312" w:cs="Times New Roman"/>
          <w:color w:val="000000" w:themeColor="text1"/>
          <w:szCs w:val="32"/>
          <w:lang w:val="en-US" w:eastAsia="zh-CN"/>
        </w:rPr>
        <w:t>30</w:t>
      </w:r>
      <w:r>
        <w:rPr>
          <w:rFonts w:ascii="Times New Roman" w:hAnsi="Times New Roman" w:eastAsia="仿宋_GB2312" w:cs="Times New Roman"/>
          <w:color w:val="000000" w:themeColor="text1"/>
          <w:szCs w:val="32"/>
        </w:rPr>
        <w:t>分，得分率</w:t>
      </w:r>
      <w:r>
        <w:rPr>
          <w:rFonts w:hint="eastAsia" w:ascii="Times New Roman" w:hAnsi="Times New Roman" w:eastAsia="仿宋_GB2312" w:cs="Times New Roman"/>
          <w:color w:val="000000" w:themeColor="text1"/>
          <w:szCs w:val="32"/>
          <w:lang w:val="en-US" w:eastAsia="zh-CN"/>
        </w:rPr>
        <w:t>100</w:t>
      </w:r>
      <w:r>
        <w:rPr>
          <w:rFonts w:ascii="Times New Roman" w:hAnsi="Times New Roman" w:eastAsia="仿宋_GB2312" w:cs="Times New Roman"/>
          <w:color w:val="000000" w:themeColor="text1"/>
          <w:szCs w:val="32"/>
        </w:rPr>
        <w:t>%。</w:t>
      </w:r>
    </w:p>
    <w:p>
      <w:pPr>
        <w:spacing w:line="560" w:lineRule="exact"/>
        <w:ind w:firstLine="640" w:firstLineChars="200"/>
        <w:contextualSpacing/>
        <w:rPr>
          <w:rFonts w:ascii="Times New Roman" w:hAnsi="Times New Roman" w:eastAsia="仿宋_GB2312" w:cs="Times New Roman"/>
          <w:szCs w:val="32"/>
        </w:rPr>
      </w:pPr>
      <w:r>
        <w:rPr>
          <w:rFonts w:ascii="Times New Roman" w:hAnsi="Times New Roman" w:eastAsia="仿宋_GB2312" w:cs="Times New Roman"/>
          <w:szCs w:val="32"/>
        </w:rPr>
        <w:t>该指标主要</w:t>
      </w:r>
      <w:r>
        <w:rPr>
          <w:rFonts w:hint="eastAsia" w:ascii="Times New Roman" w:hAnsi="Times New Roman" w:eastAsia="仿宋_GB2312" w:cs="Times New Roman"/>
          <w:szCs w:val="32"/>
        </w:rPr>
        <w:t>根据财政管理工作绩效考核相关办法规定填报</w:t>
      </w:r>
      <w:r>
        <w:rPr>
          <w:rFonts w:hint="eastAsia" w:ascii="Times New Roman" w:hAnsi="Times New Roman" w:eastAsia="仿宋_GB2312" w:cs="Times New Roman"/>
          <w:szCs w:val="32"/>
          <w:lang w:eastAsia="zh-CN"/>
        </w:rPr>
        <w:t>，</w:t>
      </w:r>
      <w:r>
        <w:rPr>
          <w:rFonts w:hint="eastAsia" w:ascii="Times New Roman" w:hAnsi="Times New Roman" w:eastAsia="仿宋_GB2312" w:cs="Times New Roman"/>
          <w:szCs w:val="32"/>
          <w:lang w:val="en-US" w:eastAsia="zh-CN"/>
        </w:rPr>
        <w:t>涉及预算编审管理、预算执行管理及部门结转结余资金管理等八项指标，统计局</w:t>
      </w:r>
      <w:r>
        <w:rPr>
          <w:rFonts w:hint="eastAsia" w:ascii="Times New Roman" w:hAnsi="Times New Roman" w:eastAsia="仿宋_GB2312" w:cs="Times New Roman"/>
          <w:szCs w:val="32"/>
        </w:rPr>
        <w:t>2022年各项</w:t>
      </w:r>
      <w:r>
        <w:rPr>
          <w:rFonts w:hint="eastAsia" w:ascii="Times New Roman" w:hAnsi="Times New Roman" w:eastAsia="仿宋_GB2312" w:cs="Times New Roman"/>
          <w:szCs w:val="32"/>
          <w:lang w:val="en-US" w:eastAsia="zh-CN"/>
        </w:rPr>
        <w:t>指标</w:t>
      </w:r>
      <w:r>
        <w:rPr>
          <w:rFonts w:hint="eastAsia" w:ascii="Times New Roman" w:hAnsi="Times New Roman" w:eastAsia="仿宋_GB2312" w:cs="Times New Roman"/>
          <w:szCs w:val="32"/>
        </w:rPr>
        <w:t>完成情况较好，</w:t>
      </w:r>
      <w:r>
        <w:rPr>
          <w:rFonts w:hint="eastAsia" w:ascii="Times New Roman" w:hAnsi="Times New Roman" w:eastAsia="仿宋_GB2312" w:cs="Times New Roman"/>
          <w:szCs w:val="32"/>
          <w:lang w:val="en-US" w:eastAsia="zh-CN"/>
        </w:rPr>
        <w:t>各项工作均按照</w:t>
      </w:r>
      <w:r>
        <w:rPr>
          <w:rFonts w:hint="eastAsia" w:ascii="Times New Roman" w:hAnsi="Times New Roman" w:eastAsia="仿宋_GB2312" w:cs="Times New Roman"/>
          <w:szCs w:val="32"/>
        </w:rPr>
        <w:t>绩效考核相关规定</w:t>
      </w:r>
      <w:r>
        <w:rPr>
          <w:rFonts w:hint="eastAsia" w:ascii="Times New Roman" w:hAnsi="Times New Roman" w:eastAsia="仿宋_GB2312" w:cs="Times New Roman"/>
          <w:szCs w:val="32"/>
          <w:lang w:val="en-US" w:eastAsia="zh-CN"/>
        </w:rPr>
        <w:t>执行</w:t>
      </w:r>
      <w:r>
        <w:rPr>
          <w:rFonts w:ascii="Times New Roman" w:hAnsi="Times New Roman" w:eastAsia="仿宋_GB2312" w:cs="Times New Roman"/>
          <w:szCs w:val="32"/>
        </w:rPr>
        <w:t>。</w:t>
      </w:r>
    </w:p>
    <w:p>
      <w:pPr>
        <w:numPr>
          <w:ilvl w:val="255"/>
          <w:numId w:val="0"/>
        </w:numPr>
        <w:spacing w:line="560" w:lineRule="exact"/>
        <w:ind w:firstLine="643" w:firstLineChars="200"/>
        <w:outlineLvl w:val="1"/>
        <w:rPr>
          <w:rFonts w:ascii="楷体" w:hAnsi="楷体" w:eastAsia="楷体" w:cs="楷体"/>
          <w:b/>
          <w:bCs/>
          <w:szCs w:val="32"/>
        </w:rPr>
      </w:pPr>
      <w:r>
        <w:rPr>
          <w:rFonts w:hint="eastAsia" w:ascii="楷体" w:hAnsi="楷体" w:eastAsia="楷体" w:cs="楷体"/>
          <w:b/>
          <w:bCs/>
          <w:szCs w:val="32"/>
        </w:rPr>
        <w:t>（二）产出情况</w:t>
      </w:r>
    </w:p>
    <w:p>
      <w:pPr>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根据评价原则，过程分值</w:t>
      </w:r>
      <w:r>
        <w:rPr>
          <w:rFonts w:hint="eastAsia" w:ascii="Times New Roman" w:hAnsi="Times New Roman" w:eastAsia="仿宋_GB2312" w:cs="Times New Roman"/>
          <w:szCs w:val="32"/>
          <w:lang w:val="en-US" w:eastAsia="zh-CN"/>
        </w:rPr>
        <w:t>25</w:t>
      </w:r>
      <w:r>
        <w:rPr>
          <w:rFonts w:ascii="Times New Roman" w:hAnsi="Times New Roman" w:eastAsia="仿宋_GB2312" w:cs="Times New Roman"/>
          <w:szCs w:val="32"/>
        </w:rPr>
        <w:t>分，评价得分</w:t>
      </w:r>
      <w:r>
        <w:rPr>
          <w:rFonts w:hint="eastAsia" w:ascii="Times New Roman" w:hAnsi="Times New Roman" w:eastAsia="仿宋_GB2312" w:cs="Times New Roman"/>
          <w:szCs w:val="32"/>
          <w:lang w:val="en-US" w:eastAsia="zh-CN"/>
        </w:rPr>
        <w:t>24.11</w:t>
      </w:r>
      <w:r>
        <w:rPr>
          <w:rFonts w:ascii="Times New Roman" w:hAnsi="Times New Roman" w:eastAsia="仿宋_GB2312" w:cs="Times New Roman"/>
          <w:szCs w:val="32"/>
        </w:rPr>
        <w:t>分，得分率</w:t>
      </w:r>
      <w:r>
        <w:rPr>
          <w:rFonts w:hint="eastAsia" w:ascii="Times New Roman" w:hAnsi="Times New Roman" w:eastAsia="仿宋_GB2312" w:cs="Times New Roman"/>
          <w:szCs w:val="32"/>
          <w:lang w:val="en-US" w:eastAsia="zh-CN"/>
        </w:rPr>
        <w:t>96.44</w:t>
      </w:r>
      <w:r>
        <w:rPr>
          <w:rFonts w:ascii="Times New Roman" w:hAnsi="Times New Roman" w:eastAsia="仿宋_GB2312" w:cs="Times New Roman"/>
          <w:szCs w:val="32"/>
        </w:rPr>
        <w:t>%。</w:t>
      </w:r>
    </w:p>
    <w:p>
      <w:pPr>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该指标主要从</w:t>
      </w:r>
      <w:r>
        <w:rPr>
          <w:rFonts w:hint="eastAsia" w:ascii="Times New Roman" w:hAnsi="Times New Roman" w:eastAsia="仿宋_GB2312" w:cs="Times New Roman"/>
          <w:szCs w:val="32"/>
        </w:rPr>
        <w:t>数量指标、质量指标、时效指标及成本指标4</w:t>
      </w:r>
      <w:r>
        <w:rPr>
          <w:rFonts w:ascii="Times New Roman" w:hAnsi="Times New Roman" w:eastAsia="仿宋_GB2312" w:cs="Times New Roman"/>
          <w:szCs w:val="32"/>
        </w:rPr>
        <w:t>个方面</w:t>
      </w:r>
      <w:r>
        <w:rPr>
          <w:rFonts w:hint="eastAsia" w:ascii="Times New Roman" w:hAnsi="Times New Roman" w:eastAsia="仿宋_GB2312" w:cs="Times New Roman"/>
          <w:szCs w:val="32"/>
        </w:rPr>
        <w:t>进行</w:t>
      </w:r>
      <w:r>
        <w:rPr>
          <w:rFonts w:ascii="Times New Roman" w:hAnsi="Times New Roman" w:eastAsia="仿宋_GB2312" w:cs="Times New Roman"/>
          <w:szCs w:val="32"/>
        </w:rPr>
        <w:t>评价，</w:t>
      </w:r>
      <w:r>
        <w:rPr>
          <w:rFonts w:hint="eastAsia" w:ascii="Times New Roman" w:hAnsi="Times New Roman" w:eastAsia="仿宋_GB2312" w:cs="Times New Roman"/>
          <w:szCs w:val="32"/>
        </w:rPr>
        <w:t>评价小组从</w:t>
      </w:r>
      <w:r>
        <w:rPr>
          <w:rFonts w:hint="eastAsia" w:ascii="Times New Roman" w:hAnsi="Times New Roman" w:eastAsia="仿宋_GB2312" w:cs="Times New Roman"/>
          <w:szCs w:val="32"/>
          <w:lang w:val="en-US" w:eastAsia="zh-CN"/>
        </w:rPr>
        <w:t>人员经费等支出控制情况</w:t>
      </w:r>
      <w:r>
        <w:rPr>
          <w:rFonts w:hint="eastAsia" w:ascii="Times New Roman" w:hAnsi="Times New Roman" w:eastAsia="仿宋_GB2312" w:cs="Times New Roman"/>
          <w:szCs w:val="32"/>
        </w:rPr>
        <w:t>、人大代表、政协委员提议回复及时率</w:t>
      </w:r>
      <w:r>
        <w:rPr>
          <w:rFonts w:hint="eastAsia" w:ascii="Times New Roman" w:hAnsi="Times New Roman" w:eastAsia="仿宋_GB2312" w:cs="Times New Roman"/>
          <w:szCs w:val="32"/>
          <w:lang w:eastAsia="zh-CN"/>
        </w:rPr>
        <w:t>、为民服务中心窗口接件办结率</w:t>
      </w:r>
      <w:r>
        <w:rPr>
          <w:rFonts w:hint="eastAsia" w:ascii="Times New Roman" w:hAnsi="Times New Roman" w:eastAsia="仿宋_GB2312" w:cs="Times New Roman"/>
          <w:szCs w:val="32"/>
          <w:lang w:val="en-US" w:eastAsia="zh-CN"/>
        </w:rPr>
        <w:t>以及政府采购执行率</w:t>
      </w:r>
      <w:r>
        <w:rPr>
          <w:rFonts w:hint="eastAsia" w:ascii="Times New Roman" w:hAnsi="Times New Roman" w:eastAsia="仿宋_GB2312" w:cs="Times New Roman"/>
          <w:szCs w:val="32"/>
        </w:rPr>
        <w:t>等各产出情况进行评价，</w:t>
      </w:r>
      <w:r>
        <w:rPr>
          <w:rFonts w:hint="eastAsia" w:ascii="Times New Roman" w:hAnsi="Times New Roman" w:eastAsia="仿宋_GB2312" w:cs="Times New Roman"/>
          <w:szCs w:val="32"/>
          <w:lang w:val="en-US" w:eastAsia="zh-CN"/>
        </w:rPr>
        <w:t>统计局</w:t>
      </w:r>
      <w:r>
        <w:rPr>
          <w:rFonts w:hint="eastAsia" w:ascii="Times New Roman" w:hAnsi="Times New Roman" w:eastAsia="仿宋_GB2312" w:cs="Times New Roman"/>
          <w:szCs w:val="32"/>
        </w:rPr>
        <w:t>2022年各项目完成情况较好，项目产出指标均完成了年初绩效目标</w:t>
      </w:r>
      <w:r>
        <w:rPr>
          <w:rFonts w:ascii="Times New Roman" w:hAnsi="Times New Roman" w:eastAsia="仿宋_GB2312" w:cs="Times New Roman"/>
          <w:szCs w:val="32"/>
        </w:rPr>
        <w:t>。</w:t>
      </w:r>
    </w:p>
    <w:p>
      <w:pPr>
        <w:numPr>
          <w:ilvl w:val="255"/>
          <w:numId w:val="0"/>
        </w:numPr>
        <w:spacing w:line="560" w:lineRule="exact"/>
        <w:ind w:firstLine="643" w:firstLineChars="200"/>
        <w:outlineLvl w:val="1"/>
        <w:rPr>
          <w:rFonts w:ascii="楷体" w:hAnsi="楷体" w:eastAsia="楷体" w:cs="楷体"/>
          <w:b/>
          <w:bCs/>
          <w:szCs w:val="32"/>
        </w:rPr>
      </w:pPr>
      <w:r>
        <w:rPr>
          <w:rFonts w:hint="eastAsia" w:ascii="楷体" w:hAnsi="楷体" w:eastAsia="楷体" w:cs="楷体"/>
          <w:b/>
          <w:bCs/>
          <w:szCs w:val="32"/>
        </w:rPr>
        <w:t>（三）效益情况</w:t>
      </w:r>
    </w:p>
    <w:p>
      <w:pPr>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根据评价原则，产出分值</w:t>
      </w:r>
      <w:r>
        <w:rPr>
          <w:rFonts w:hint="eastAsia" w:ascii="Times New Roman" w:hAnsi="Times New Roman" w:eastAsia="仿宋_GB2312" w:cs="Times New Roman"/>
          <w:szCs w:val="32"/>
          <w:lang w:val="en-US" w:eastAsia="zh-CN"/>
        </w:rPr>
        <w:t>45</w:t>
      </w:r>
      <w:r>
        <w:rPr>
          <w:rFonts w:ascii="Times New Roman" w:hAnsi="Times New Roman" w:eastAsia="仿宋_GB2312" w:cs="Times New Roman"/>
          <w:szCs w:val="32"/>
        </w:rPr>
        <w:t>分，评价得分</w:t>
      </w:r>
      <w:r>
        <w:rPr>
          <w:rFonts w:hint="eastAsia" w:ascii="Times New Roman" w:hAnsi="Times New Roman" w:eastAsia="仿宋_GB2312" w:cs="Times New Roman"/>
          <w:szCs w:val="32"/>
          <w:lang w:val="en-US" w:eastAsia="zh-CN"/>
        </w:rPr>
        <w:t>44.60</w:t>
      </w:r>
      <w:r>
        <w:rPr>
          <w:rFonts w:ascii="Times New Roman" w:hAnsi="Times New Roman" w:eastAsia="仿宋_GB2312" w:cs="Times New Roman"/>
          <w:szCs w:val="32"/>
        </w:rPr>
        <w:t>分，得分率</w:t>
      </w:r>
      <w:r>
        <w:rPr>
          <w:rFonts w:hint="eastAsia" w:ascii="Times New Roman" w:hAnsi="Times New Roman" w:eastAsia="仿宋_GB2312" w:cs="Times New Roman"/>
          <w:szCs w:val="32"/>
          <w:lang w:val="en-US" w:eastAsia="zh-CN"/>
        </w:rPr>
        <w:t>99.11</w:t>
      </w:r>
      <w:r>
        <w:rPr>
          <w:rFonts w:ascii="Times New Roman" w:hAnsi="Times New Roman" w:eastAsia="仿宋_GB2312" w:cs="Times New Roman"/>
          <w:szCs w:val="32"/>
        </w:rPr>
        <w:t>%。</w:t>
      </w:r>
    </w:p>
    <w:p>
      <w:pPr>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该指标主要从</w:t>
      </w:r>
      <w:r>
        <w:rPr>
          <w:rFonts w:hint="eastAsia" w:ascii="Times New Roman" w:hAnsi="Times New Roman" w:eastAsia="仿宋_GB2312" w:cs="Times New Roman"/>
          <w:szCs w:val="32"/>
        </w:rPr>
        <w:t>经济效益、社会效益、生态效益</w:t>
      </w:r>
      <w:r>
        <w:rPr>
          <w:rFonts w:hint="eastAsia" w:ascii="Times New Roman" w:hAnsi="Times New Roman" w:eastAsia="仿宋_GB2312" w:cs="Times New Roman"/>
          <w:szCs w:val="32"/>
          <w:lang w:eastAsia="zh-CN"/>
        </w:rPr>
        <w:t>、</w:t>
      </w:r>
      <w:r>
        <w:rPr>
          <w:rFonts w:hint="eastAsia" w:ascii="Times New Roman" w:hAnsi="Times New Roman" w:eastAsia="仿宋_GB2312" w:cs="Times New Roman"/>
          <w:szCs w:val="32"/>
        </w:rPr>
        <w:t>可持续效益</w:t>
      </w:r>
      <w:r>
        <w:rPr>
          <w:rFonts w:hint="eastAsia" w:ascii="Times New Roman" w:hAnsi="Times New Roman" w:eastAsia="仿宋_GB2312" w:cs="Times New Roman"/>
          <w:szCs w:val="32"/>
          <w:lang w:val="en-US" w:eastAsia="zh-CN"/>
        </w:rPr>
        <w:t>及</w:t>
      </w:r>
      <w:r>
        <w:rPr>
          <w:rFonts w:hint="eastAsia" w:ascii="Times New Roman" w:hAnsi="Times New Roman" w:eastAsia="仿宋_GB2312" w:cs="Times New Roman"/>
          <w:szCs w:val="32"/>
        </w:rPr>
        <w:t>社会公众或服务对象</w:t>
      </w:r>
      <w:r>
        <w:rPr>
          <w:rFonts w:hint="eastAsia" w:ascii="Times New Roman" w:hAnsi="Times New Roman" w:eastAsia="仿宋_GB2312" w:cs="Times New Roman"/>
          <w:szCs w:val="32"/>
          <w:lang w:val="en-US" w:eastAsia="zh-CN"/>
        </w:rPr>
        <w:t>5</w:t>
      </w:r>
      <w:r>
        <w:rPr>
          <w:rFonts w:ascii="Times New Roman" w:hAnsi="Times New Roman" w:eastAsia="仿宋_GB2312" w:cs="Times New Roman"/>
          <w:szCs w:val="32"/>
        </w:rPr>
        <w:t>个</w:t>
      </w:r>
      <w:r>
        <w:rPr>
          <w:rFonts w:hint="eastAsia" w:ascii="Times New Roman" w:hAnsi="Times New Roman" w:eastAsia="仿宋_GB2312" w:cs="Times New Roman"/>
          <w:szCs w:val="32"/>
        </w:rPr>
        <w:t>方面进行</w:t>
      </w:r>
      <w:r>
        <w:rPr>
          <w:rFonts w:ascii="Times New Roman" w:hAnsi="Times New Roman" w:eastAsia="仿宋_GB2312" w:cs="Times New Roman"/>
          <w:szCs w:val="32"/>
        </w:rPr>
        <w:t>具体评价，</w:t>
      </w:r>
      <w:r>
        <w:rPr>
          <w:rFonts w:hint="eastAsia" w:ascii="Times New Roman" w:hAnsi="Times New Roman" w:eastAsia="仿宋_GB2312" w:cs="Times New Roman"/>
          <w:szCs w:val="32"/>
        </w:rPr>
        <w:t>评价小组从</w:t>
      </w:r>
      <w:r>
        <w:rPr>
          <w:rFonts w:hint="eastAsia" w:ascii="Times New Roman" w:hAnsi="Times New Roman" w:eastAsia="仿宋_GB2312" w:cs="Times New Roman"/>
          <w:szCs w:val="32"/>
          <w:lang w:val="en-US" w:eastAsia="zh-CN"/>
        </w:rPr>
        <w:t>环境整治、空气质量优良</w:t>
      </w:r>
      <w:r>
        <w:rPr>
          <w:rFonts w:hint="eastAsia" w:ascii="Times New Roman" w:hAnsi="Times New Roman" w:eastAsia="仿宋_GB2312" w:cs="Times New Roman"/>
          <w:szCs w:val="32"/>
        </w:rPr>
        <w:t>、人居环境及清理垃圾整治情况</w:t>
      </w:r>
      <w:r>
        <w:rPr>
          <w:rFonts w:hint="eastAsia" w:ascii="Times New Roman" w:hAnsi="Times New Roman" w:eastAsia="仿宋_GB2312" w:cs="Times New Roman"/>
          <w:szCs w:val="32"/>
          <w:lang w:eastAsia="zh-CN"/>
        </w:rPr>
        <w:t>、</w:t>
      </w:r>
      <w:r>
        <w:rPr>
          <w:rFonts w:hint="eastAsia" w:ascii="Times New Roman" w:hAnsi="Times New Roman" w:eastAsia="仿宋_GB2312" w:cs="Times New Roman"/>
          <w:szCs w:val="32"/>
        </w:rPr>
        <w:t>带动就业情况</w:t>
      </w:r>
      <w:r>
        <w:rPr>
          <w:rFonts w:hint="eastAsia" w:ascii="Times New Roman" w:hAnsi="Times New Roman" w:eastAsia="仿宋_GB2312" w:cs="Times New Roman"/>
          <w:szCs w:val="32"/>
          <w:lang w:val="en-US" w:eastAsia="zh-CN"/>
        </w:rPr>
        <w:t>以及财政收入完成情况</w:t>
      </w:r>
      <w:r>
        <w:rPr>
          <w:rFonts w:hint="eastAsia" w:ascii="Times New Roman" w:hAnsi="Times New Roman" w:eastAsia="仿宋_GB2312" w:cs="Times New Roman"/>
          <w:szCs w:val="32"/>
        </w:rPr>
        <w:t>等效益方面进行评价，</w:t>
      </w:r>
      <w:r>
        <w:rPr>
          <w:rFonts w:hint="eastAsia" w:ascii="Times New Roman" w:hAnsi="Times New Roman" w:eastAsia="仿宋_GB2312" w:cs="Times New Roman"/>
          <w:szCs w:val="32"/>
          <w:lang w:eastAsia="zh-CN"/>
        </w:rPr>
        <w:t>统计局</w:t>
      </w:r>
      <w:r>
        <w:rPr>
          <w:rFonts w:hint="eastAsia" w:ascii="Times New Roman" w:hAnsi="Times New Roman" w:eastAsia="仿宋_GB2312" w:cs="Times New Roman"/>
          <w:szCs w:val="32"/>
        </w:rPr>
        <w:t>2022年较好的完成了年初绩效目标</w:t>
      </w:r>
      <w:r>
        <w:rPr>
          <w:rFonts w:ascii="Times New Roman" w:hAnsi="Times New Roman" w:eastAsia="仿宋_GB2312" w:cs="Times New Roman"/>
          <w:szCs w:val="32"/>
        </w:rPr>
        <w:t>。在评价过程中，</w:t>
      </w:r>
      <w:r>
        <w:rPr>
          <w:rFonts w:hint="eastAsia" w:ascii="Times New Roman" w:hAnsi="Times New Roman" w:eastAsia="仿宋_GB2312" w:cs="Times New Roman"/>
          <w:szCs w:val="32"/>
        </w:rPr>
        <w:t>评价小组</w:t>
      </w:r>
      <w:r>
        <w:rPr>
          <w:rFonts w:ascii="Times New Roman" w:hAnsi="Times New Roman" w:eastAsia="仿宋_GB2312" w:cs="Times New Roman"/>
          <w:szCs w:val="32"/>
        </w:rPr>
        <w:t>通过随机向</w:t>
      </w:r>
      <w:r>
        <w:rPr>
          <w:rFonts w:hint="eastAsia" w:ascii="Times New Roman" w:hAnsi="Times New Roman" w:eastAsia="仿宋_GB2312" w:cs="Times New Roman"/>
          <w:szCs w:val="32"/>
        </w:rPr>
        <w:t>服务企业</w:t>
      </w:r>
      <w:r>
        <w:rPr>
          <w:rFonts w:ascii="Times New Roman" w:hAnsi="Times New Roman" w:eastAsia="仿宋_GB2312" w:cs="Times New Roman"/>
          <w:szCs w:val="32"/>
        </w:rPr>
        <w:t>进行询问调查，满意度达到</w:t>
      </w:r>
      <w:r>
        <w:rPr>
          <w:rFonts w:hint="eastAsia" w:ascii="Times New Roman" w:hAnsi="Times New Roman" w:eastAsia="仿宋_GB2312" w:cs="Times New Roman"/>
          <w:szCs w:val="32"/>
        </w:rPr>
        <w:t>100</w:t>
      </w:r>
      <w:r>
        <w:rPr>
          <w:rFonts w:ascii="Times New Roman" w:hAnsi="Times New Roman" w:eastAsia="仿宋_GB2312" w:cs="Times New Roman"/>
          <w:szCs w:val="32"/>
        </w:rPr>
        <w:t>%。</w:t>
      </w:r>
    </w:p>
    <w:p>
      <w:pPr>
        <w:spacing w:line="560" w:lineRule="exact"/>
        <w:ind w:left="1283" w:leftChars="200" w:hanging="643" w:hangingChars="200"/>
        <w:rPr>
          <w:rFonts w:hint="eastAsia" w:ascii="Times New Roman" w:hAnsi="Times New Roman" w:eastAsia="黑体" w:cs="Times New Roman"/>
          <w:b/>
          <w:bCs/>
          <w:szCs w:val="32"/>
          <w:lang w:eastAsia="zh-CN"/>
        </w:rPr>
      </w:pPr>
    </w:p>
    <w:p>
      <w:pPr>
        <w:spacing w:line="560" w:lineRule="exact"/>
        <w:ind w:left="2240" w:leftChars="200" w:hanging="1600" w:hangingChars="500"/>
        <w:rPr>
          <w:rFonts w:ascii="Times New Roman" w:hAnsi="Times New Roman" w:eastAsia="仿宋_GB2312" w:cs="Times New Roman"/>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Cs w:val="32"/>
        </w:rPr>
      </w:pPr>
      <w:r>
        <w:rPr>
          <w:rFonts w:ascii="Times New Roman" w:hAnsi="Times New Roman" w:eastAsia="仿宋_GB2312" w:cs="Times New Roman"/>
          <w:szCs w:val="32"/>
        </w:rPr>
        <w:t>附</w:t>
      </w:r>
      <w:r>
        <w:rPr>
          <w:rFonts w:hint="eastAsia" w:ascii="Times New Roman" w:hAnsi="Times New Roman" w:eastAsia="仿宋_GB2312" w:cs="Times New Roman"/>
          <w:szCs w:val="32"/>
          <w:lang w:val="en-US" w:eastAsia="zh-CN"/>
        </w:rPr>
        <w:t>件1-1</w:t>
      </w:r>
      <w:r>
        <w:rPr>
          <w:rFonts w:hint="eastAsia" w:ascii="Times New Roman" w:hAnsi="Times New Roman" w:eastAsia="仿宋_GB2312" w:cs="Times New Roman"/>
          <w:szCs w:val="32"/>
        </w:rPr>
        <w:t>：</w:t>
      </w:r>
      <w:r>
        <w:rPr>
          <w:rFonts w:hint="eastAsia" w:ascii="Times New Roman" w:hAnsi="Times New Roman" w:eastAsia="仿宋_GB2312" w:cs="Times New Roman"/>
          <w:szCs w:val="32"/>
          <w:lang w:eastAsia="zh-CN"/>
        </w:rPr>
        <w:t>浏阳市统计局</w:t>
      </w:r>
      <w:r>
        <w:rPr>
          <w:rFonts w:hint="eastAsia" w:ascii="Times New Roman" w:hAnsi="Times New Roman" w:eastAsia="仿宋_GB2312" w:cs="Times New Roman"/>
          <w:szCs w:val="32"/>
        </w:rPr>
        <w:t>2022年</w:t>
      </w:r>
      <w:r>
        <w:rPr>
          <w:rFonts w:hint="eastAsia" w:ascii="Times New Roman" w:hAnsi="Times New Roman" w:eastAsia="仿宋_GB2312" w:cs="Times New Roman"/>
          <w:szCs w:val="32"/>
          <w:lang w:val="en-US" w:eastAsia="zh-CN"/>
        </w:rPr>
        <w:t>度</w:t>
      </w:r>
      <w:r>
        <w:rPr>
          <w:rFonts w:hint="eastAsia" w:ascii="Times New Roman" w:hAnsi="Times New Roman" w:eastAsia="仿宋_GB2312" w:cs="Times New Roman"/>
          <w:szCs w:val="32"/>
        </w:rPr>
        <w:t>部门</w:t>
      </w:r>
      <w:r>
        <w:rPr>
          <w:rFonts w:ascii="Times New Roman" w:hAnsi="Times New Roman" w:eastAsia="仿宋_GB2312" w:cs="Times New Roman"/>
          <w:szCs w:val="32"/>
        </w:rPr>
        <w:t>整体支出绩</w:t>
      </w:r>
      <w:r>
        <w:rPr>
          <w:rFonts w:hint="eastAsia" w:ascii="Times New Roman" w:hAnsi="Times New Roman" w:eastAsia="仿宋_GB2312" w:cs="Times New Roman"/>
          <w:szCs w:val="32"/>
        </w:rPr>
        <w:t>效自评表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Cs w:val="32"/>
        </w:rPr>
      </w:pPr>
      <w:r>
        <w:rPr>
          <w:rFonts w:ascii="Times New Roman" w:hAnsi="Times New Roman" w:eastAsia="仿宋_GB2312" w:cs="Times New Roman"/>
          <w:szCs w:val="32"/>
        </w:rPr>
        <w:t>附</w:t>
      </w:r>
      <w:r>
        <w:rPr>
          <w:rFonts w:hint="eastAsia" w:ascii="Times New Roman" w:hAnsi="Times New Roman" w:eastAsia="仿宋_GB2312" w:cs="Times New Roman"/>
          <w:szCs w:val="32"/>
          <w:lang w:val="en-US" w:eastAsia="zh-CN"/>
        </w:rPr>
        <w:t>件1-2</w:t>
      </w:r>
      <w:r>
        <w:rPr>
          <w:rFonts w:hint="eastAsia" w:ascii="Times New Roman" w:hAnsi="Times New Roman" w:eastAsia="仿宋_GB2312" w:cs="Times New Roman"/>
          <w:szCs w:val="32"/>
        </w:rPr>
        <w:t>：</w:t>
      </w:r>
      <w:r>
        <w:rPr>
          <w:rFonts w:hint="eastAsia" w:ascii="Times New Roman" w:hAnsi="Times New Roman" w:eastAsia="仿宋_GB2312" w:cs="Times New Roman"/>
          <w:szCs w:val="32"/>
          <w:lang w:eastAsia="zh-CN"/>
        </w:rPr>
        <w:t>浏阳市统计局</w:t>
      </w:r>
      <w:r>
        <w:rPr>
          <w:rFonts w:hint="eastAsia" w:ascii="Times New Roman" w:hAnsi="Times New Roman" w:eastAsia="仿宋_GB2312" w:cs="Times New Roman"/>
          <w:szCs w:val="32"/>
        </w:rPr>
        <w:t>2022年</w:t>
      </w:r>
      <w:r>
        <w:rPr>
          <w:rFonts w:hint="eastAsia" w:ascii="Times New Roman" w:hAnsi="Times New Roman" w:eastAsia="仿宋_GB2312" w:cs="Times New Roman"/>
          <w:szCs w:val="32"/>
          <w:lang w:val="en-US" w:eastAsia="zh-CN"/>
        </w:rPr>
        <w:t>度</w:t>
      </w:r>
      <w:r>
        <w:rPr>
          <w:rFonts w:hint="eastAsia" w:ascii="Times New Roman" w:hAnsi="Times New Roman" w:eastAsia="仿宋_GB2312" w:cs="Times New Roman"/>
          <w:szCs w:val="32"/>
          <w:lang w:eastAsia="zh-CN"/>
        </w:rPr>
        <w:t>民意调查中心工作经费</w:t>
      </w:r>
      <w:r>
        <w:rPr>
          <w:rFonts w:ascii="Times New Roman" w:hAnsi="Times New Roman" w:eastAsia="仿宋_GB2312" w:cs="Times New Roman"/>
          <w:szCs w:val="32"/>
        </w:rPr>
        <w:t>支出绩</w:t>
      </w:r>
      <w:r>
        <w:rPr>
          <w:rFonts w:hint="eastAsia" w:ascii="Times New Roman" w:hAnsi="Times New Roman" w:eastAsia="仿宋_GB2312" w:cs="Times New Roman"/>
          <w:szCs w:val="32"/>
        </w:rPr>
        <w:t>效自评表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Cs w:val="32"/>
        </w:rPr>
      </w:pPr>
      <w:r>
        <w:rPr>
          <w:rFonts w:ascii="Times New Roman" w:hAnsi="Times New Roman" w:eastAsia="仿宋_GB2312" w:cs="Times New Roman"/>
          <w:szCs w:val="32"/>
        </w:rPr>
        <w:t>附</w:t>
      </w:r>
      <w:r>
        <w:rPr>
          <w:rFonts w:hint="eastAsia" w:ascii="Times New Roman" w:hAnsi="Times New Roman" w:eastAsia="仿宋_GB2312" w:cs="Times New Roman"/>
          <w:szCs w:val="32"/>
          <w:lang w:val="en-US" w:eastAsia="zh-CN"/>
        </w:rPr>
        <w:t>件1-3</w:t>
      </w:r>
      <w:r>
        <w:rPr>
          <w:rFonts w:hint="eastAsia" w:ascii="Times New Roman" w:hAnsi="Times New Roman" w:eastAsia="仿宋_GB2312" w:cs="Times New Roman"/>
          <w:szCs w:val="32"/>
        </w:rPr>
        <w:t>：</w:t>
      </w:r>
      <w:r>
        <w:rPr>
          <w:rFonts w:hint="eastAsia" w:ascii="Times New Roman" w:hAnsi="Times New Roman" w:eastAsia="仿宋_GB2312" w:cs="Times New Roman"/>
          <w:szCs w:val="32"/>
          <w:lang w:eastAsia="zh-CN"/>
        </w:rPr>
        <w:t>浏阳市统计局</w:t>
      </w:r>
      <w:r>
        <w:rPr>
          <w:rFonts w:hint="eastAsia" w:ascii="Times New Roman" w:hAnsi="Times New Roman" w:eastAsia="仿宋_GB2312" w:cs="Times New Roman"/>
          <w:szCs w:val="32"/>
        </w:rPr>
        <w:t>2022年</w:t>
      </w:r>
      <w:r>
        <w:rPr>
          <w:rFonts w:hint="eastAsia" w:ascii="Times New Roman" w:hAnsi="Times New Roman" w:eastAsia="仿宋_GB2312" w:cs="Times New Roman"/>
          <w:szCs w:val="32"/>
          <w:lang w:val="en-US" w:eastAsia="zh-CN"/>
        </w:rPr>
        <w:t>度</w:t>
      </w:r>
      <w:r>
        <w:rPr>
          <w:rFonts w:hint="eastAsia" w:ascii="Times New Roman" w:hAnsi="Times New Roman" w:eastAsia="仿宋_GB2312" w:cs="Times New Roman"/>
          <w:szCs w:val="32"/>
          <w:lang w:eastAsia="zh-CN"/>
        </w:rPr>
        <w:t>统计抽样调查</w:t>
      </w:r>
      <w:r>
        <w:rPr>
          <w:rFonts w:ascii="Times New Roman" w:hAnsi="Times New Roman" w:eastAsia="仿宋_GB2312" w:cs="Times New Roman"/>
          <w:szCs w:val="32"/>
        </w:rPr>
        <w:t>支出绩</w:t>
      </w:r>
      <w:r>
        <w:rPr>
          <w:rFonts w:hint="eastAsia" w:ascii="Times New Roman" w:hAnsi="Times New Roman" w:eastAsia="仿宋_GB2312" w:cs="Times New Roman"/>
          <w:szCs w:val="32"/>
        </w:rPr>
        <w:t>效自评表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Cs w:val="32"/>
        </w:rPr>
      </w:pPr>
      <w:r>
        <w:rPr>
          <w:rFonts w:ascii="Times New Roman" w:hAnsi="Times New Roman" w:eastAsia="仿宋_GB2312" w:cs="Times New Roman"/>
          <w:szCs w:val="32"/>
        </w:rPr>
        <w:t>附</w:t>
      </w:r>
      <w:r>
        <w:rPr>
          <w:rFonts w:hint="eastAsia" w:ascii="Times New Roman" w:hAnsi="Times New Roman" w:eastAsia="仿宋_GB2312" w:cs="Times New Roman"/>
          <w:szCs w:val="32"/>
          <w:lang w:val="en-US" w:eastAsia="zh-CN"/>
        </w:rPr>
        <w:t>件1-4</w:t>
      </w:r>
      <w:r>
        <w:rPr>
          <w:rFonts w:hint="eastAsia" w:ascii="Times New Roman" w:hAnsi="Times New Roman" w:eastAsia="仿宋_GB2312" w:cs="Times New Roman"/>
          <w:szCs w:val="32"/>
        </w:rPr>
        <w:t>：</w:t>
      </w:r>
      <w:r>
        <w:rPr>
          <w:rFonts w:hint="eastAsia" w:ascii="Times New Roman" w:hAnsi="Times New Roman" w:eastAsia="仿宋_GB2312" w:cs="Times New Roman"/>
          <w:szCs w:val="32"/>
          <w:lang w:eastAsia="zh-CN"/>
        </w:rPr>
        <w:t>浏阳市统计局</w:t>
      </w:r>
      <w:r>
        <w:rPr>
          <w:rFonts w:hint="eastAsia" w:ascii="Times New Roman" w:hAnsi="Times New Roman" w:eastAsia="仿宋_GB2312" w:cs="Times New Roman"/>
          <w:szCs w:val="32"/>
        </w:rPr>
        <w:t>2022年</w:t>
      </w:r>
      <w:r>
        <w:rPr>
          <w:rFonts w:hint="eastAsia" w:ascii="Times New Roman" w:hAnsi="Times New Roman" w:eastAsia="仿宋_GB2312" w:cs="Times New Roman"/>
          <w:szCs w:val="32"/>
          <w:lang w:val="en-US" w:eastAsia="zh-CN"/>
        </w:rPr>
        <w:t>度</w:t>
      </w:r>
      <w:r>
        <w:rPr>
          <w:rFonts w:hint="eastAsia" w:ascii="Times New Roman" w:hAnsi="Times New Roman" w:eastAsia="仿宋_GB2312" w:cs="Times New Roman"/>
          <w:szCs w:val="32"/>
          <w:lang w:eastAsia="zh-CN"/>
        </w:rPr>
        <w:t>统计数据质量监管平台经费</w:t>
      </w:r>
      <w:r>
        <w:rPr>
          <w:rFonts w:ascii="Times New Roman" w:hAnsi="Times New Roman" w:eastAsia="仿宋_GB2312" w:cs="Times New Roman"/>
          <w:szCs w:val="32"/>
        </w:rPr>
        <w:t>支出绩</w:t>
      </w:r>
      <w:r>
        <w:rPr>
          <w:rFonts w:hint="eastAsia" w:ascii="Times New Roman" w:hAnsi="Times New Roman" w:eastAsia="仿宋_GB2312" w:cs="Times New Roman"/>
          <w:szCs w:val="32"/>
        </w:rPr>
        <w:t>效自评表</w:t>
      </w:r>
    </w:p>
    <w:p>
      <w:pPr>
        <w:spacing w:line="560" w:lineRule="exact"/>
        <w:ind w:left="2240" w:leftChars="500" w:hanging="640" w:hangingChars="200"/>
        <w:rPr>
          <w:rFonts w:ascii="Times New Roman" w:hAnsi="Times New Roman" w:eastAsia="仿宋_GB2312" w:cs="Times New Roman"/>
          <w:szCs w:val="32"/>
        </w:rPr>
      </w:pPr>
    </w:p>
    <w:sectPr>
      <w:headerReference r:id="rId4" w:type="default"/>
      <w:footerReference r:id="rId5" w:type="default"/>
      <w:pgSz w:w="11906" w:h="16838"/>
      <w:pgMar w:top="1440" w:right="1800" w:bottom="1440" w:left="1800" w:header="851" w:footer="992" w:gutter="0"/>
      <w:cols w:space="0" w:num="1"/>
      <w:docGrid w:type="line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楷体_GB2312">
    <w:altName w:val="宋体"/>
    <w:panose1 w:val="00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eastAsiaTheme="minorEastAsia"/>
      </w:rPr>
    </w:pPr>
    <w:r>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">
          <v:path/>
          <v:fill on="f" focussize="0,0"/>
          <v:stroke on="f" weight="0.5pt" joinstyle="miter"/>
          <v:imagedata o:title=""/>
          <o:lock v:ext="edit"/>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rPr>
        <w:rFonts w:ascii="宋体" w:hAnsi="宋体" w:eastAsia="宋体"/>
        <w:sz w:val="28"/>
        <w:szCs w:val="28"/>
      </w:rPr>
    </w:pPr>
    <w:sdt>
      <w:sdtPr>
        <w:id w:val="-555925227"/>
      </w:sdtPr>
      <w:sdtEndPr>
        <w:rPr>
          <w:rFonts w:ascii="宋体" w:hAnsi="宋体" w:eastAsia="宋体"/>
          <w:sz w:val="28"/>
          <w:szCs w:val="28"/>
        </w:rPr>
      </w:sdtEndPr>
      <w:sdtContent>
        <w:r>
          <w:rPr>
            <w:rStyle w:val="18"/>
            <w:rFonts w:ascii="Times New Roman" w:hAnsi="Times New Roman" w:eastAsia="仿宋_GB2312"/>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25</w:t>
        </w:r>
        <w:r>
          <w:rPr>
            <w:rFonts w:ascii="宋体" w:hAnsi="宋体" w:eastAsia="宋体"/>
            <w:sz w:val="28"/>
            <w:szCs w:val="28"/>
          </w:rPr>
          <w:fldChar w:fldCharType="end"/>
        </w:r>
        <w:r>
          <w:rPr>
            <w:rStyle w:val="18"/>
            <w:rFonts w:ascii="Times New Roman" w:hAnsi="Times New Roman" w:eastAsia="仿宋_GB2312"/>
            <w:sz w:val="28"/>
            <w:szCs w:val="28"/>
          </w:rPr>
          <w:t>—</w:t>
        </w:r>
      </w:sdtContent>
    </w:sdt>
    <w:r>
      <w:pict>
        <v:shape id="文本框 3" o:spid="_x0000_s1025" o:spt="202" type="#_x0000_t202" style="position:absolute;left:0pt;margin-top:0pt;height:11pt;width:4.6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">
          <v:path/>
          <v:fill on="f" focussize="0,0"/>
          <v:stroke on="f" weight="0.5pt" joinstyle="miter"/>
          <v:imagedata o:title=""/>
          <o:lock v:ext="edit"/>
          <v:textbox inset="0mm,0mm,0mm,0mm" style="mso-fit-shape-to-text:t;">
            <w:txbxContent>
              <w:p>
                <w:pPr>
                  <w:pStyle w:val="6"/>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0CEF0D"/>
    <w:multiLevelType w:val="singleLevel"/>
    <w:tmpl w:val="AD0CEF0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doNotCompress"/>
  <w:hdrShapeDefaults>
    <o:shapelayout v:ext="edit">
      <o:idmap v:ext="edit" data="1"/>
    </o:shapelayout>
  </w:hdrShapeDefault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MWM5MWZmY2Y3NmQ4Yjk5ZWM4ZTc0OTcxYTMyZjRiN2IifQ=="/>
  </w:docVars>
  <w:rsids>
    <w:rsidRoot w:val="412A3F30"/>
    <w:rsid w:val="0001404F"/>
    <w:rsid w:val="00014A1D"/>
    <w:rsid w:val="00014EC2"/>
    <w:rsid w:val="00015B15"/>
    <w:rsid w:val="000173CB"/>
    <w:rsid w:val="0001795D"/>
    <w:rsid w:val="00023336"/>
    <w:rsid w:val="0002413E"/>
    <w:rsid w:val="000323C4"/>
    <w:rsid w:val="00040644"/>
    <w:rsid w:val="00044005"/>
    <w:rsid w:val="00046B52"/>
    <w:rsid w:val="00047F4D"/>
    <w:rsid w:val="000534E0"/>
    <w:rsid w:val="00054B8F"/>
    <w:rsid w:val="00055384"/>
    <w:rsid w:val="00061877"/>
    <w:rsid w:val="00064AF3"/>
    <w:rsid w:val="00070255"/>
    <w:rsid w:val="000716AB"/>
    <w:rsid w:val="00072043"/>
    <w:rsid w:val="000779F5"/>
    <w:rsid w:val="00082888"/>
    <w:rsid w:val="00085DD8"/>
    <w:rsid w:val="00094F1F"/>
    <w:rsid w:val="000961C4"/>
    <w:rsid w:val="000A3A38"/>
    <w:rsid w:val="000A497B"/>
    <w:rsid w:val="000A4D86"/>
    <w:rsid w:val="000B040B"/>
    <w:rsid w:val="000B4540"/>
    <w:rsid w:val="000B496F"/>
    <w:rsid w:val="000B57B2"/>
    <w:rsid w:val="000B6281"/>
    <w:rsid w:val="000C2752"/>
    <w:rsid w:val="000C3B2F"/>
    <w:rsid w:val="000C7CDC"/>
    <w:rsid w:val="000E105F"/>
    <w:rsid w:val="000F47A6"/>
    <w:rsid w:val="001037CE"/>
    <w:rsid w:val="00112EC4"/>
    <w:rsid w:val="00113E74"/>
    <w:rsid w:val="00121751"/>
    <w:rsid w:val="001245CF"/>
    <w:rsid w:val="001272F0"/>
    <w:rsid w:val="001345C3"/>
    <w:rsid w:val="00135C59"/>
    <w:rsid w:val="00144B4D"/>
    <w:rsid w:val="001465E2"/>
    <w:rsid w:val="0015190B"/>
    <w:rsid w:val="00152C42"/>
    <w:rsid w:val="001530EB"/>
    <w:rsid w:val="0015354E"/>
    <w:rsid w:val="0015562F"/>
    <w:rsid w:val="00161222"/>
    <w:rsid w:val="0016493C"/>
    <w:rsid w:val="00173979"/>
    <w:rsid w:val="001A6DF7"/>
    <w:rsid w:val="001B4F60"/>
    <w:rsid w:val="001C3E8C"/>
    <w:rsid w:val="001C6A66"/>
    <w:rsid w:val="001D48B6"/>
    <w:rsid w:val="001D734B"/>
    <w:rsid w:val="001E05B4"/>
    <w:rsid w:val="001E0689"/>
    <w:rsid w:val="001E5CC2"/>
    <w:rsid w:val="001F03DA"/>
    <w:rsid w:val="001F10F0"/>
    <w:rsid w:val="001F40CB"/>
    <w:rsid w:val="001F44FB"/>
    <w:rsid w:val="00206BD8"/>
    <w:rsid w:val="002103D9"/>
    <w:rsid w:val="00215042"/>
    <w:rsid w:val="00215AA4"/>
    <w:rsid w:val="00216D47"/>
    <w:rsid w:val="00220CC2"/>
    <w:rsid w:val="0022253F"/>
    <w:rsid w:val="00231FA8"/>
    <w:rsid w:val="00250BE8"/>
    <w:rsid w:val="002555C8"/>
    <w:rsid w:val="00261E49"/>
    <w:rsid w:val="00262A37"/>
    <w:rsid w:val="00267375"/>
    <w:rsid w:val="00275AF5"/>
    <w:rsid w:val="00277E64"/>
    <w:rsid w:val="002824B2"/>
    <w:rsid w:val="00284A84"/>
    <w:rsid w:val="00285730"/>
    <w:rsid w:val="00286755"/>
    <w:rsid w:val="002870CF"/>
    <w:rsid w:val="002A7C0A"/>
    <w:rsid w:val="002B2D30"/>
    <w:rsid w:val="002C6598"/>
    <w:rsid w:val="002D0FBF"/>
    <w:rsid w:val="002D1CDF"/>
    <w:rsid w:val="002D4867"/>
    <w:rsid w:val="002D542D"/>
    <w:rsid w:val="002D5BD2"/>
    <w:rsid w:val="002E4051"/>
    <w:rsid w:val="002F0FB6"/>
    <w:rsid w:val="00303DF8"/>
    <w:rsid w:val="00304AF3"/>
    <w:rsid w:val="0030547C"/>
    <w:rsid w:val="003178B8"/>
    <w:rsid w:val="00331F64"/>
    <w:rsid w:val="003328CD"/>
    <w:rsid w:val="003363AD"/>
    <w:rsid w:val="003368AA"/>
    <w:rsid w:val="00337021"/>
    <w:rsid w:val="0034350D"/>
    <w:rsid w:val="00366951"/>
    <w:rsid w:val="00372F98"/>
    <w:rsid w:val="00391B98"/>
    <w:rsid w:val="00395476"/>
    <w:rsid w:val="0039561E"/>
    <w:rsid w:val="00396210"/>
    <w:rsid w:val="003A4AD9"/>
    <w:rsid w:val="003B0BEA"/>
    <w:rsid w:val="003B752F"/>
    <w:rsid w:val="003C0B22"/>
    <w:rsid w:val="003C0E5B"/>
    <w:rsid w:val="003C3B2A"/>
    <w:rsid w:val="003C7AFD"/>
    <w:rsid w:val="003D339E"/>
    <w:rsid w:val="003D5280"/>
    <w:rsid w:val="003F0B54"/>
    <w:rsid w:val="003F1EDB"/>
    <w:rsid w:val="003F4593"/>
    <w:rsid w:val="003F4E4E"/>
    <w:rsid w:val="003F7A07"/>
    <w:rsid w:val="00401E82"/>
    <w:rsid w:val="004067AB"/>
    <w:rsid w:val="00412E2F"/>
    <w:rsid w:val="00414C45"/>
    <w:rsid w:val="00415EE2"/>
    <w:rsid w:val="004204D2"/>
    <w:rsid w:val="00424847"/>
    <w:rsid w:val="00427A95"/>
    <w:rsid w:val="00440885"/>
    <w:rsid w:val="00446B6A"/>
    <w:rsid w:val="00452848"/>
    <w:rsid w:val="00462B9D"/>
    <w:rsid w:val="004678E5"/>
    <w:rsid w:val="004875A6"/>
    <w:rsid w:val="004B3E18"/>
    <w:rsid w:val="004B6F6A"/>
    <w:rsid w:val="004B7CDF"/>
    <w:rsid w:val="004C0455"/>
    <w:rsid w:val="004C62D4"/>
    <w:rsid w:val="004D29C3"/>
    <w:rsid w:val="004E1481"/>
    <w:rsid w:val="004E3503"/>
    <w:rsid w:val="004E3A71"/>
    <w:rsid w:val="004E5392"/>
    <w:rsid w:val="004F58F5"/>
    <w:rsid w:val="004F7B19"/>
    <w:rsid w:val="00501E10"/>
    <w:rsid w:val="00506C6A"/>
    <w:rsid w:val="00506EC6"/>
    <w:rsid w:val="00516DE5"/>
    <w:rsid w:val="005216BA"/>
    <w:rsid w:val="00530868"/>
    <w:rsid w:val="00550E10"/>
    <w:rsid w:val="005520DA"/>
    <w:rsid w:val="005547A1"/>
    <w:rsid w:val="00556E41"/>
    <w:rsid w:val="00561184"/>
    <w:rsid w:val="00561547"/>
    <w:rsid w:val="00565522"/>
    <w:rsid w:val="005719BD"/>
    <w:rsid w:val="00585644"/>
    <w:rsid w:val="005907C5"/>
    <w:rsid w:val="005A670B"/>
    <w:rsid w:val="005B1982"/>
    <w:rsid w:val="005B2779"/>
    <w:rsid w:val="005B7AB5"/>
    <w:rsid w:val="005C1AA2"/>
    <w:rsid w:val="005C30AA"/>
    <w:rsid w:val="005D110E"/>
    <w:rsid w:val="005D2CB3"/>
    <w:rsid w:val="005D3CC1"/>
    <w:rsid w:val="005D7BC3"/>
    <w:rsid w:val="005E1FD6"/>
    <w:rsid w:val="005E29FA"/>
    <w:rsid w:val="005E5F7C"/>
    <w:rsid w:val="005F215A"/>
    <w:rsid w:val="005F2D5B"/>
    <w:rsid w:val="005F2F8E"/>
    <w:rsid w:val="005F57D3"/>
    <w:rsid w:val="00626C1F"/>
    <w:rsid w:val="0063145B"/>
    <w:rsid w:val="00632325"/>
    <w:rsid w:val="00634BD9"/>
    <w:rsid w:val="00651C00"/>
    <w:rsid w:val="00651D36"/>
    <w:rsid w:val="00666D07"/>
    <w:rsid w:val="006768E4"/>
    <w:rsid w:val="0068166A"/>
    <w:rsid w:val="00693A8A"/>
    <w:rsid w:val="006A4D03"/>
    <w:rsid w:val="006A7410"/>
    <w:rsid w:val="006A7DF2"/>
    <w:rsid w:val="006B2A7B"/>
    <w:rsid w:val="006B6003"/>
    <w:rsid w:val="006D2B20"/>
    <w:rsid w:val="006D2C54"/>
    <w:rsid w:val="006E40E7"/>
    <w:rsid w:val="006E54C1"/>
    <w:rsid w:val="006F73F7"/>
    <w:rsid w:val="00700203"/>
    <w:rsid w:val="00722B63"/>
    <w:rsid w:val="00723C84"/>
    <w:rsid w:val="00725973"/>
    <w:rsid w:val="0073085C"/>
    <w:rsid w:val="0074390C"/>
    <w:rsid w:val="007535B3"/>
    <w:rsid w:val="00757C6B"/>
    <w:rsid w:val="0076755A"/>
    <w:rsid w:val="007704F2"/>
    <w:rsid w:val="00773916"/>
    <w:rsid w:val="00777498"/>
    <w:rsid w:val="0078244A"/>
    <w:rsid w:val="00785B26"/>
    <w:rsid w:val="00792F40"/>
    <w:rsid w:val="007958E0"/>
    <w:rsid w:val="007A37A4"/>
    <w:rsid w:val="007A6D0C"/>
    <w:rsid w:val="007B23E0"/>
    <w:rsid w:val="007B5409"/>
    <w:rsid w:val="007B64C8"/>
    <w:rsid w:val="007C0F2D"/>
    <w:rsid w:val="007C2885"/>
    <w:rsid w:val="007C4A41"/>
    <w:rsid w:val="007E64E9"/>
    <w:rsid w:val="007E6B95"/>
    <w:rsid w:val="007F0081"/>
    <w:rsid w:val="007F3F0B"/>
    <w:rsid w:val="007F478C"/>
    <w:rsid w:val="00800A96"/>
    <w:rsid w:val="00803EFC"/>
    <w:rsid w:val="008122C5"/>
    <w:rsid w:val="00817F9F"/>
    <w:rsid w:val="00823CA1"/>
    <w:rsid w:val="0082414C"/>
    <w:rsid w:val="00830A21"/>
    <w:rsid w:val="008322BB"/>
    <w:rsid w:val="00833A82"/>
    <w:rsid w:val="00834319"/>
    <w:rsid w:val="008346C8"/>
    <w:rsid w:val="00847473"/>
    <w:rsid w:val="00851EE4"/>
    <w:rsid w:val="008577D0"/>
    <w:rsid w:val="00860141"/>
    <w:rsid w:val="00865CF8"/>
    <w:rsid w:val="00867118"/>
    <w:rsid w:val="008730D1"/>
    <w:rsid w:val="008765A5"/>
    <w:rsid w:val="00881C07"/>
    <w:rsid w:val="0089404B"/>
    <w:rsid w:val="00895168"/>
    <w:rsid w:val="00897E65"/>
    <w:rsid w:val="008B7B78"/>
    <w:rsid w:val="008C6E05"/>
    <w:rsid w:val="008D07E6"/>
    <w:rsid w:val="008D15C6"/>
    <w:rsid w:val="008D1731"/>
    <w:rsid w:val="008D3C4C"/>
    <w:rsid w:val="008E475A"/>
    <w:rsid w:val="008F10D8"/>
    <w:rsid w:val="009062CD"/>
    <w:rsid w:val="009068AB"/>
    <w:rsid w:val="00911F32"/>
    <w:rsid w:val="009128F9"/>
    <w:rsid w:val="009144DD"/>
    <w:rsid w:val="0092146D"/>
    <w:rsid w:val="009230EF"/>
    <w:rsid w:val="00925685"/>
    <w:rsid w:val="009360D0"/>
    <w:rsid w:val="009366B1"/>
    <w:rsid w:val="0093688C"/>
    <w:rsid w:val="00941F7C"/>
    <w:rsid w:val="0094460A"/>
    <w:rsid w:val="00954367"/>
    <w:rsid w:val="0095496B"/>
    <w:rsid w:val="00963401"/>
    <w:rsid w:val="0096654A"/>
    <w:rsid w:val="00973FB8"/>
    <w:rsid w:val="00974791"/>
    <w:rsid w:val="00976819"/>
    <w:rsid w:val="00984870"/>
    <w:rsid w:val="00987AE2"/>
    <w:rsid w:val="009923E4"/>
    <w:rsid w:val="00997EEC"/>
    <w:rsid w:val="009A1715"/>
    <w:rsid w:val="009A7024"/>
    <w:rsid w:val="009B7F5C"/>
    <w:rsid w:val="009C013C"/>
    <w:rsid w:val="009C11BA"/>
    <w:rsid w:val="009C1E88"/>
    <w:rsid w:val="009C2C02"/>
    <w:rsid w:val="009C3BC3"/>
    <w:rsid w:val="009D0518"/>
    <w:rsid w:val="009D2502"/>
    <w:rsid w:val="009D2DF8"/>
    <w:rsid w:val="009E0211"/>
    <w:rsid w:val="009E4850"/>
    <w:rsid w:val="009E5879"/>
    <w:rsid w:val="009E6533"/>
    <w:rsid w:val="009F3EBF"/>
    <w:rsid w:val="009F4C02"/>
    <w:rsid w:val="009F557C"/>
    <w:rsid w:val="009F7797"/>
    <w:rsid w:val="00A02522"/>
    <w:rsid w:val="00A0284E"/>
    <w:rsid w:val="00A0584C"/>
    <w:rsid w:val="00A11246"/>
    <w:rsid w:val="00A21DF5"/>
    <w:rsid w:val="00A31934"/>
    <w:rsid w:val="00A31B1D"/>
    <w:rsid w:val="00A3353F"/>
    <w:rsid w:val="00A338A4"/>
    <w:rsid w:val="00A33F7A"/>
    <w:rsid w:val="00A35B99"/>
    <w:rsid w:val="00A4018A"/>
    <w:rsid w:val="00A413DC"/>
    <w:rsid w:val="00A5413D"/>
    <w:rsid w:val="00A67D98"/>
    <w:rsid w:val="00A74900"/>
    <w:rsid w:val="00A76056"/>
    <w:rsid w:val="00A81D7F"/>
    <w:rsid w:val="00A85A89"/>
    <w:rsid w:val="00A93A08"/>
    <w:rsid w:val="00A94A80"/>
    <w:rsid w:val="00AB1095"/>
    <w:rsid w:val="00AB4743"/>
    <w:rsid w:val="00AB522C"/>
    <w:rsid w:val="00AC5821"/>
    <w:rsid w:val="00AC69F1"/>
    <w:rsid w:val="00AC76BE"/>
    <w:rsid w:val="00AD136D"/>
    <w:rsid w:val="00AD1453"/>
    <w:rsid w:val="00AD17FE"/>
    <w:rsid w:val="00AD47AC"/>
    <w:rsid w:val="00AD7AA4"/>
    <w:rsid w:val="00AE03C6"/>
    <w:rsid w:val="00AF3F43"/>
    <w:rsid w:val="00AF6B6F"/>
    <w:rsid w:val="00B01101"/>
    <w:rsid w:val="00B02A98"/>
    <w:rsid w:val="00B03707"/>
    <w:rsid w:val="00B10BBB"/>
    <w:rsid w:val="00B27FB8"/>
    <w:rsid w:val="00B338BB"/>
    <w:rsid w:val="00B342E8"/>
    <w:rsid w:val="00B45EB6"/>
    <w:rsid w:val="00B47FAA"/>
    <w:rsid w:val="00B5200B"/>
    <w:rsid w:val="00B5265F"/>
    <w:rsid w:val="00B54454"/>
    <w:rsid w:val="00B63062"/>
    <w:rsid w:val="00B72018"/>
    <w:rsid w:val="00B7549F"/>
    <w:rsid w:val="00B765EA"/>
    <w:rsid w:val="00B80181"/>
    <w:rsid w:val="00B8296A"/>
    <w:rsid w:val="00B82A4E"/>
    <w:rsid w:val="00B863FA"/>
    <w:rsid w:val="00B92181"/>
    <w:rsid w:val="00B96699"/>
    <w:rsid w:val="00BA578C"/>
    <w:rsid w:val="00BC13E5"/>
    <w:rsid w:val="00BC2BF2"/>
    <w:rsid w:val="00BC2C44"/>
    <w:rsid w:val="00BC4FDB"/>
    <w:rsid w:val="00BD24AD"/>
    <w:rsid w:val="00BD4C17"/>
    <w:rsid w:val="00BD6C3A"/>
    <w:rsid w:val="00BE745C"/>
    <w:rsid w:val="00BF22A8"/>
    <w:rsid w:val="00BF39C1"/>
    <w:rsid w:val="00BF53D8"/>
    <w:rsid w:val="00BF65E0"/>
    <w:rsid w:val="00C01586"/>
    <w:rsid w:val="00C12677"/>
    <w:rsid w:val="00C1372A"/>
    <w:rsid w:val="00C1395F"/>
    <w:rsid w:val="00C15B46"/>
    <w:rsid w:val="00C225D1"/>
    <w:rsid w:val="00C26DC8"/>
    <w:rsid w:val="00C33750"/>
    <w:rsid w:val="00C44ECA"/>
    <w:rsid w:val="00C54F32"/>
    <w:rsid w:val="00C55530"/>
    <w:rsid w:val="00C60A5B"/>
    <w:rsid w:val="00C60ADC"/>
    <w:rsid w:val="00C64AAB"/>
    <w:rsid w:val="00C66788"/>
    <w:rsid w:val="00C67ED8"/>
    <w:rsid w:val="00C76895"/>
    <w:rsid w:val="00C84722"/>
    <w:rsid w:val="00C85F20"/>
    <w:rsid w:val="00C87C96"/>
    <w:rsid w:val="00C91C98"/>
    <w:rsid w:val="00C949CB"/>
    <w:rsid w:val="00CA0041"/>
    <w:rsid w:val="00CA1062"/>
    <w:rsid w:val="00CA77FD"/>
    <w:rsid w:val="00CB5494"/>
    <w:rsid w:val="00CC58DE"/>
    <w:rsid w:val="00CC77A7"/>
    <w:rsid w:val="00CD4A09"/>
    <w:rsid w:val="00CD555D"/>
    <w:rsid w:val="00CE0482"/>
    <w:rsid w:val="00CE56C9"/>
    <w:rsid w:val="00CE5AE4"/>
    <w:rsid w:val="00CF3695"/>
    <w:rsid w:val="00CF4CE9"/>
    <w:rsid w:val="00D012D4"/>
    <w:rsid w:val="00D05F20"/>
    <w:rsid w:val="00D1091D"/>
    <w:rsid w:val="00D12BDF"/>
    <w:rsid w:val="00D14BDC"/>
    <w:rsid w:val="00D17A2A"/>
    <w:rsid w:val="00D2031C"/>
    <w:rsid w:val="00D20FB8"/>
    <w:rsid w:val="00D21A63"/>
    <w:rsid w:val="00D25329"/>
    <w:rsid w:val="00D27D7C"/>
    <w:rsid w:val="00D32605"/>
    <w:rsid w:val="00D42C8E"/>
    <w:rsid w:val="00D52DC2"/>
    <w:rsid w:val="00D56E44"/>
    <w:rsid w:val="00D66FD3"/>
    <w:rsid w:val="00D679D0"/>
    <w:rsid w:val="00D76CF0"/>
    <w:rsid w:val="00D84340"/>
    <w:rsid w:val="00D84F0F"/>
    <w:rsid w:val="00D86E03"/>
    <w:rsid w:val="00D929D6"/>
    <w:rsid w:val="00D9726F"/>
    <w:rsid w:val="00DC2AB8"/>
    <w:rsid w:val="00DC6E43"/>
    <w:rsid w:val="00DD3EC9"/>
    <w:rsid w:val="00DD7B23"/>
    <w:rsid w:val="00DD7FBD"/>
    <w:rsid w:val="00DE039E"/>
    <w:rsid w:val="00DE05E9"/>
    <w:rsid w:val="00DE1A53"/>
    <w:rsid w:val="00DE270D"/>
    <w:rsid w:val="00DE5C66"/>
    <w:rsid w:val="00E00CBE"/>
    <w:rsid w:val="00E04415"/>
    <w:rsid w:val="00E06BE7"/>
    <w:rsid w:val="00E123C4"/>
    <w:rsid w:val="00E27CB1"/>
    <w:rsid w:val="00E32CF6"/>
    <w:rsid w:val="00E32D5A"/>
    <w:rsid w:val="00E3440D"/>
    <w:rsid w:val="00E40EED"/>
    <w:rsid w:val="00E561C5"/>
    <w:rsid w:val="00E62B98"/>
    <w:rsid w:val="00E647AF"/>
    <w:rsid w:val="00E656F9"/>
    <w:rsid w:val="00E71985"/>
    <w:rsid w:val="00E7667F"/>
    <w:rsid w:val="00E77B02"/>
    <w:rsid w:val="00E805E6"/>
    <w:rsid w:val="00E82AEC"/>
    <w:rsid w:val="00E82F5A"/>
    <w:rsid w:val="00E85CD8"/>
    <w:rsid w:val="00E87AE5"/>
    <w:rsid w:val="00E921DA"/>
    <w:rsid w:val="00E95F43"/>
    <w:rsid w:val="00EA3E98"/>
    <w:rsid w:val="00EA5B47"/>
    <w:rsid w:val="00EA7872"/>
    <w:rsid w:val="00EB1727"/>
    <w:rsid w:val="00EC4B52"/>
    <w:rsid w:val="00EC5E2E"/>
    <w:rsid w:val="00EC7544"/>
    <w:rsid w:val="00ED52A8"/>
    <w:rsid w:val="00ED7F15"/>
    <w:rsid w:val="00EE278E"/>
    <w:rsid w:val="00EE4887"/>
    <w:rsid w:val="00EE6F85"/>
    <w:rsid w:val="00EF40D8"/>
    <w:rsid w:val="00EF70C1"/>
    <w:rsid w:val="00F01FBC"/>
    <w:rsid w:val="00F0484C"/>
    <w:rsid w:val="00F14B65"/>
    <w:rsid w:val="00F15196"/>
    <w:rsid w:val="00F4173E"/>
    <w:rsid w:val="00F44FE8"/>
    <w:rsid w:val="00F52A8D"/>
    <w:rsid w:val="00F53223"/>
    <w:rsid w:val="00F53226"/>
    <w:rsid w:val="00F563C1"/>
    <w:rsid w:val="00F71B5F"/>
    <w:rsid w:val="00F77AC7"/>
    <w:rsid w:val="00F8068E"/>
    <w:rsid w:val="00F82218"/>
    <w:rsid w:val="00F93724"/>
    <w:rsid w:val="00F94009"/>
    <w:rsid w:val="00F95FB5"/>
    <w:rsid w:val="00FA756B"/>
    <w:rsid w:val="00FB171E"/>
    <w:rsid w:val="00FB4547"/>
    <w:rsid w:val="00FD2AA6"/>
    <w:rsid w:val="00FE17C7"/>
    <w:rsid w:val="00FE188B"/>
    <w:rsid w:val="00FE4CC4"/>
    <w:rsid w:val="00FF2A7B"/>
    <w:rsid w:val="00FF3F2A"/>
    <w:rsid w:val="00FF647C"/>
    <w:rsid w:val="010333FC"/>
    <w:rsid w:val="010415BB"/>
    <w:rsid w:val="01115B19"/>
    <w:rsid w:val="01225D05"/>
    <w:rsid w:val="01400D8D"/>
    <w:rsid w:val="0145364C"/>
    <w:rsid w:val="014F7312"/>
    <w:rsid w:val="01514167"/>
    <w:rsid w:val="01534A46"/>
    <w:rsid w:val="0159126E"/>
    <w:rsid w:val="01A06D45"/>
    <w:rsid w:val="01A21C29"/>
    <w:rsid w:val="01A319FB"/>
    <w:rsid w:val="01BF5575"/>
    <w:rsid w:val="01C815A0"/>
    <w:rsid w:val="023F66B6"/>
    <w:rsid w:val="024141DC"/>
    <w:rsid w:val="02447828"/>
    <w:rsid w:val="025E6F3A"/>
    <w:rsid w:val="02624152"/>
    <w:rsid w:val="026779BA"/>
    <w:rsid w:val="027B210E"/>
    <w:rsid w:val="02867E41"/>
    <w:rsid w:val="02924A37"/>
    <w:rsid w:val="02986115"/>
    <w:rsid w:val="029A175F"/>
    <w:rsid w:val="02A824AD"/>
    <w:rsid w:val="02AD7AC3"/>
    <w:rsid w:val="02B458C1"/>
    <w:rsid w:val="02BA3F8E"/>
    <w:rsid w:val="02C24E60"/>
    <w:rsid w:val="02D17E3E"/>
    <w:rsid w:val="02DB2FCC"/>
    <w:rsid w:val="02F2197A"/>
    <w:rsid w:val="031511C4"/>
    <w:rsid w:val="031815FE"/>
    <w:rsid w:val="0322022D"/>
    <w:rsid w:val="032B09E8"/>
    <w:rsid w:val="032F4CAE"/>
    <w:rsid w:val="033C49A3"/>
    <w:rsid w:val="035D5757"/>
    <w:rsid w:val="0365214C"/>
    <w:rsid w:val="037B371D"/>
    <w:rsid w:val="03A367D0"/>
    <w:rsid w:val="03CE348B"/>
    <w:rsid w:val="03E5328D"/>
    <w:rsid w:val="03EA43FF"/>
    <w:rsid w:val="03F37758"/>
    <w:rsid w:val="041651F4"/>
    <w:rsid w:val="042F398A"/>
    <w:rsid w:val="04387860"/>
    <w:rsid w:val="048B3E34"/>
    <w:rsid w:val="049251C3"/>
    <w:rsid w:val="04B769D7"/>
    <w:rsid w:val="04B862AB"/>
    <w:rsid w:val="04C80BE4"/>
    <w:rsid w:val="04E62E18"/>
    <w:rsid w:val="04E90B5B"/>
    <w:rsid w:val="05106E5A"/>
    <w:rsid w:val="05143E6A"/>
    <w:rsid w:val="05201126"/>
    <w:rsid w:val="0543026B"/>
    <w:rsid w:val="05516A50"/>
    <w:rsid w:val="05726FC3"/>
    <w:rsid w:val="05832D9D"/>
    <w:rsid w:val="05882122"/>
    <w:rsid w:val="059746A5"/>
    <w:rsid w:val="05B44CC5"/>
    <w:rsid w:val="05D43FA5"/>
    <w:rsid w:val="05DE7F94"/>
    <w:rsid w:val="05EA06E6"/>
    <w:rsid w:val="0607573C"/>
    <w:rsid w:val="0610546F"/>
    <w:rsid w:val="061B11E8"/>
    <w:rsid w:val="06224324"/>
    <w:rsid w:val="062F7982"/>
    <w:rsid w:val="064A5629"/>
    <w:rsid w:val="06563FCE"/>
    <w:rsid w:val="06606BFB"/>
    <w:rsid w:val="06840B3B"/>
    <w:rsid w:val="068943A3"/>
    <w:rsid w:val="0696086E"/>
    <w:rsid w:val="069E195D"/>
    <w:rsid w:val="069F4072"/>
    <w:rsid w:val="06D7651E"/>
    <w:rsid w:val="071A4FFB"/>
    <w:rsid w:val="072C099A"/>
    <w:rsid w:val="072D4D2F"/>
    <w:rsid w:val="073F1661"/>
    <w:rsid w:val="073F4A62"/>
    <w:rsid w:val="07481817"/>
    <w:rsid w:val="07506DBB"/>
    <w:rsid w:val="075449B1"/>
    <w:rsid w:val="0764271A"/>
    <w:rsid w:val="076F3599"/>
    <w:rsid w:val="077B1445"/>
    <w:rsid w:val="07834FAC"/>
    <w:rsid w:val="07A86AAB"/>
    <w:rsid w:val="07C136C9"/>
    <w:rsid w:val="07C44FDB"/>
    <w:rsid w:val="07C5036C"/>
    <w:rsid w:val="07CD4764"/>
    <w:rsid w:val="07D336EA"/>
    <w:rsid w:val="07D94090"/>
    <w:rsid w:val="07F1142D"/>
    <w:rsid w:val="07F86D74"/>
    <w:rsid w:val="07FE27C0"/>
    <w:rsid w:val="080528C5"/>
    <w:rsid w:val="080C0DE8"/>
    <w:rsid w:val="0817314E"/>
    <w:rsid w:val="08185D1F"/>
    <w:rsid w:val="081B727D"/>
    <w:rsid w:val="082C3238"/>
    <w:rsid w:val="08314CF2"/>
    <w:rsid w:val="08343DB7"/>
    <w:rsid w:val="08517C00"/>
    <w:rsid w:val="08591B53"/>
    <w:rsid w:val="085A6F61"/>
    <w:rsid w:val="086E1AA3"/>
    <w:rsid w:val="08745B19"/>
    <w:rsid w:val="089B3557"/>
    <w:rsid w:val="08AF6032"/>
    <w:rsid w:val="08AF79C5"/>
    <w:rsid w:val="08B848CB"/>
    <w:rsid w:val="08C15EE6"/>
    <w:rsid w:val="08CC67C9"/>
    <w:rsid w:val="08F55AC8"/>
    <w:rsid w:val="090B72F2"/>
    <w:rsid w:val="092E4D8E"/>
    <w:rsid w:val="09383E5F"/>
    <w:rsid w:val="093A6608"/>
    <w:rsid w:val="094265EE"/>
    <w:rsid w:val="094B46B8"/>
    <w:rsid w:val="09722A61"/>
    <w:rsid w:val="09732581"/>
    <w:rsid w:val="0979740A"/>
    <w:rsid w:val="099F5C8C"/>
    <w:rsid w:val="09B434E5"/>
    <w:rsid w:val="09DF606D"/>
    <w:rsid w:val="09E4430F"/>
    <w:rsid w:val="09E75653"/>
    <w:rsid w:val="09F47D86"/>
    <w:rsid w:val="0A005C1C"/>
    <w:rsid w:val="0A03621B"/>
    <w:rsid w:val="0A0D52EB"/>
    <w:rsid w:val="0A3E5BEB"/>
    <w:rsid w:val="0A410AF1"/>
    <w:rsid w:val="0A6767AA"/>
    <w:rsid w:val="0A7F55A7"/>
    <w:rsid w:val="0A825391"/>
    <w:rsid w:val="0A9137E3"/>
    <w:rsid w:val="0AC97464"/>
    <w:rsid w:val="0ACC0D02"/>
    <w:rsid w:val="0AD35BED"/>
    <w:rsid w:val="0AE552DC"/>
    <w:rsid w:val="0AF3003D"/>
    <w:rsid w:val="0AF65D7F"/>
    <w:rsid w:val="0AFB5144"/>
    <w:rsid w:val="0B0142F8"/>
    <w:rsid w:val="0B022976"/>
    <w:rsid w:val="0B04049C"/>
    <w:rsid w:val="0B112BB9"/>
    <w:rsid w:val="0B156206"/>
    <w:rsid w:val="0B1F3CE3"/>
    <w:rsid w:val="0B2C19BD"/>
    <w:rsid w:val="0B420FC5"/>
    <w:rsid w:val="0B5002A6"/>
    <w:rsid w:val="0B7738F3"/>
    <w:rsid w:val="0B923CFA"/>
    <w:rsid w:val="0BA14DDA"/>
    <w:rsid w:val="0BB73761"/>
    <w:rsid w:val="0BCD3D94"/>
    <w:rsid w:val="0BE67C9A"/>
    <w:rsid w:val="0BED0F30"/>
    <w:rsid w:val="0C060DBC"/>
    <w:rsid w:val="0C0E2E16"/>
    <w:rsid w:val="0C155445"/>
    <w:rsid w:val="0C2D757F"/>
    <w:rsid w:val="0C495168"/>
    <w:rsid w:val="0C7B02EA"/>
    <w:rsid w:val="0C8D6B08"/>
    <w:rsid w:val="0CA56B3A"/>
    <w:rsid w:val="0CAE02B5"/>
    <w:rsid w:val="0CB33F28"/>
    <w:rsid w:val="0CC86958"/>
    <w:rsid w:val="0CD67C16"/>
    <w:rsid w:val="0CDC69F0"/>
    <w:rsid w:val="0CE75980"/>
    <w:rsid w:val="0CFE597B"/>
    <w:rsid w:val="0D0A78C0"/>
    <w:rsid w:val="0D1F511A"/>
    <w:rsid w:val="0D26294C"/>
    <w:rsid w:val="0D6126C3"/>
    <w:rsid w:val="0DA43871"/>
    <w:rsid w:val="0DA87805"/>
    <w:rsid w:val="0DAB4BFF"/>
    <w:rsid w:val="0DBE1A50"/>
    <w:rsid w:val="0DBF2128"/>
    <w:rsid w:val="0DBF6485"/>
    <w:rsid w:val="0DEF6094"/>
    <w:rsid w:val="0DFE49A3"/>
    <w:rsid w:val="0E1924B1"/>
    <w:rsid w:val="0E1B7FD7"/>
    <w:rsid w:val="0E226BC1"/>
    <w:rsid w:val="0E2F75DE"/>
    <w:rsid w:val="0E451315"/>
    <w:rsid w:val="0E4809CC"/>
    <w:rsid w:val="0E8530AF"/>
    <w:rsid w:val="0E9436ED"/>
    <w:rsid w:val="0EA06F2A"/>
    <w:rsid w:val="0EA93835"/>
    <w:rsid w:val="0EB432A5"/>
    <w:rsid w:val="0EB45D35"/>
    <w:rsid w:val="0EB7512D"/>
    <w:rsid w:val="0EB92796"/>
    <w:rsid w:val="0ED50250"/>
    <w:rsid w:val="0EDE32EF"/>
    <w:rsid w:val="0EF10D38"/>
    <w:rsid w:val="0EFD592E"/>
    <w:rsid w:val="0EFE0192"/>
    <w:rsid w:val="0F296723"/>
    <w:rsid w:val="0F44355D"/>
    <w:rsid w:val="0F580937"/>
    <w:rsid w:val="0F735BF1"/>
    <w:rsid w:val="0F786E19"/>
    <w:rsid w:val="0F933B9D"/>
    <w:rsid w:val="0FB3423F"/>
    <w:rsid w:val="0FC1507C"/>
    <w:rsid w:val="0FCC70AF"/>
    <w:rsid w:val="0FDA5C70"/>
    <w:rsid w:val="0FDD12BC"/>
    <w:rsid w:val="0FE60171"/>
    <w:rsid w:val="10022AD1"/>
    <w:rsid w:val="1025167B"/>
    <w:rsid w:val="10481722"/>
    <w:rsid w:val="10552CBA"/>
    <w:rsid w:val="10560A13"/>
    <w:rsid w:val="10601A98"/>
    <w:rsid w:val="10634FAD"/>
    <w:rsid w:val="10673D79"/>
    <w:rsid w:val="1091537A"/>
    <w:rsid w:val="10BD492F"/>
    <w:rsid w:val="10BE4C49"/>
    <w:rsid w:val="10BF3B0C"/>
    <w:rsid w:val="10C1473A"/>
    <w:rsid w:val="10D8131B"/>
    <w:rsid w:val="10DE709A"/>
    <w:rsid w:val="10F74FB5"/>
    <w:rsid w:val="1109680C"/>
    <w:rsid w:val="11173FEA"/>
    <w:rsid w:val="112964DE"/>
    <w:rsid w:val="112C7E60"/>
    <w:rsid w:val="1142587A"/>
    <w:rsid w:val="117B2B3A"/>
    <w:rsid w:val="11A82EE2"/>
    <w:rsid w:val="11AE2F10"/>
    <w:rsid w:val="11B04EDA"/>
    <w:rsid w:val="11B3592C"/>
    <w:rsid w:val="11C40985"/>
    <w:rsid w:val="11F8418B"/>
    <w:rsid w:val="120363E1"/>
    <w:rsid w:val="12046FD4"/>
    <w:rsid w:val="121C256F"/>
    <w:rsid w:val="123F1DBA"/>
    <w:rsid w:val="124473D0"/>
    <w:rsid w:val="125E4936"/>
    <w:rsid w:val="126637EB"/>
    <w:rsid w:val="12816876"/>
    <w:rsid w:val="129E4D32"/>
    <w:rsid w:val="12A762DD"/>
    <w:rsid w:val="12C50511"/>
    <w:rsid w:val="12EC1060"/>
    <w:rsid w:val="12F72695"/>
    <w:rsid w:val="12FB43A8"/>
    <w:rsid w:val="12FC5EFD"/>
    <w:rsid w:val="12FE511D"/>
    <w:rsid w:val="13180F89"/>
    <w:rsid w:val="13191D25"/>
    <w:rsid w:val="13220D35"/>
    <w:rsid w:val="136C4E31"/>
    <w:rsid w:val="1379754E"/>
    <w:rsid w:val="13983E78"/>
    <w:rsid w:val="13A24CF6"/>
    <w:rsid w:val="13E05495"/>
    <w:rsid w:val="13FD2633"/>
    <w:rsid w:val="142441F2"/>
    <w:rsid w:val="143E1BF4"/>
    <w:rsid w:val="1455356B"/>
    <w:rsid w:val="14665D24"/>
    <w:rsid w:val="147F7C89"/>
    <w:rsid w:val="148D505F"/>
    <w:rsid w:val="149E54BE"/>
    <w:rsid w:val="14A24A1F"/>
    <w:rsid w:val="14A345B4"/>
    <w:rsid w:val="14BF71E2"/>
    <w:rsid w:val="14C667C2"/>
    <w:rsid w:val="14ED01F3"/>
    <w:rsid w:val="150B2427"/>
    <w:rsid w:val="15180F75"/>
    <w:rsid w:val="155344FA"/>
    <w:rsid w:val="155E69FB"/>
    <w:rsid w:val="156F29B6"/>
    <w:rsid w:val="1596722A"/>
    <w:rsid w:val="159D0129"/>
    <w:rsid w:val="15BA06B4"/>
    <w:rsid w:val="15BB209F"/>
    <w:rsid w:val="15EA52B2"/>
    <w:rsid w:val="15F5735F"/>
    <w:rsid w:val="16177C04"/>
    <w:rsid w:val="16213887"/>
    <w:rsid w:val="163028A6"/>
    <w:rsid w:val="16337E88"/>
    <w:rsid w:val="16790431"/>
    <w:rsid w:val="16A93880"/>
    <w:rsid w:val="16D57191"/>
    <w:rsid w:val="16D67838"/>
    <w:rsid w:val="16E6314C"/>
    <w:rsid w:val="16F75359"/>
    <w:rsid w:val="16FC296F"/>
    <w:rsid w:val="1714795E"/>
    <w:rsid w:val="172724BB"/>
    <w:rsid w:val="174D4F79"/>
    <w:rsid w:val="1767428D"/>
    <w:rsid w:val="177D23BE"/>
    <w:rsid w:val="178A3AD7"/>
    <w:rsid w:val="178A7F7B"/>
    <w:rsid w:val="17BF1B9A"/>
    <w:rsid w:val="17C4348D"/>
    <w:rsid w:val="17D40CA3"/>
    <w:rsid w:val="17FA6EAF"/>
    <w:rsid w:val="1827044F"/>
    <w:rsid w:val="18272ECC"/>
    <w:rsid w:val="18283845"/>
    <w:rsid w:val="183121A5"/>
    <w:rsid w:val="18396314"/>
    <w:rsid w:val="183E6121"/>
    <w:rsid w:val="184E71FB"/>
    <w:rsid w:val="18545863"/>
    <w:rsid w:val="18687616"/>
    <w:rsid w:val="186B3909"/>
    <w:rsid w:val="18721A6F"/>
    <w:rsid w:val="187622AE"/>
    <w:rsid w:val="189434BE"/>
    <w:rsid w:val="18A40BC9"/>
    <w:rsid w:val="18B0756E"/>
    <w:rsid w:val="18C96881"/>
    <w:rsid w:val="18D23988"/>
    <w:rsid w:val="18D6213F"/>
    <w:rsid w:val="18DA2562"/>
    <w:rsid w:val="18DB3095"/>
    <w:rsid w:val="18E80630"/>
    <w:rsid w:val="18F356AC"/>
    <w:rsid w:val="18F97B75"/>
    <w:rsid w:val="19107853"/>
    <w:rsid w:val="191C10A7"/>
    <w:rsid w:val="192C753C"/>
    <w:rsid w:val="193E726F"/>
    <w:rsid w:val="195F5A49"/>
    <w:rsid w:val="197C1B46"/>
    <w:rsid w:val="1980638C"/>
    <w:rsid w:val="19961187"/>
    <w:rsid w:val="199D5F29"/>
    <w:rsid w:val="19D744CE"/>
    <w:rsid w:val="19D83220"/>
    <w:rsid w:val="19EC5264"/>
    <w:rsid w:val="1A184EC1"/>
    <w:rsid w:val="1A295829"/>
    <w:rsid w:val="1A3133A4"/>
    <w:rsid w:val="1A491A28"/>
    <w:rsid w:val="1A551188"/>
    <w:rsid w:val="1A5B175B"/>
    <w:rsid w:val="1A5D1977"/>
    <w:rsid w:val="1A670100"/>
    <w:rsid w:val="1A8C18A1"/>
    <w:rsid w:val="1A8E7D82"/>
    <w:rsid w:val="1AB570BD"/>
    <w:rsid w:val="1AC31649"/>
    <w:rsid w:val="1ACB4B33"/>
    <w:rsid w:val="1AF5570C"/>
    <w:rsid w:val="1B0B3400"/>
    <w:rsid w:val="1B116D83"/>
    <w:rsid w:val="1B19589E"/>
    <w:rsid w:val="1B3426D8"/>
    <w:rsid w:val="1B574618"/>
    <w:rsid w:val="1B593314"/>
    <w:rsid w:val="1B5B127F"/>
    <w:rsid w:val="1B5E59A7"/>
    <w:rsid w:val="1B616581"/>
    <w:rsid w:val="1B8F5B60"/>
    <w:rsid w:val="1BAA0BEC"/>
    <w:rsid w:val="1BB2184F"/>
    <w:rsid w:val="1BB27AA1"/>
    <w:rsid w:val="1BBA5A0D"/>
    <w:rsid w:val="1BF14125"/>
    <w:rsid w:val="1C0B55A7"/>
    <w:rsid w:val="1C132D59"/>
    <w:rsid w:val="1C2838B3"/>
    <w:rsid w:val="1C625023"/>
    <w:rsid w:val="1C7134B8"/>
    <w:rsid w:val="1C716FAF"/>
    <w:rsid w:val="1C817B9F"/>
    <w:rsid w:val="1C896A53"/>
    <w:rsid w:val="1C942349"/>
    <w:rsid w:val="1C955052"/>
    <w:rsid w:val="1CA76EDA"/>
    <w:rsid w:val="1CB17D58"/>
    <w:rsid w:val="1CBD66FD"/>
    <w:rsid w:val="1CDA105D"/>
    <w:rsid w:val="1D016B3E"/>
    <w:rsid w:val="1D0460DA"/>
    <w:rsid w:val="1D412E8A"/>
    <w:rsid w:val="1D4E40F3"/>
    <w:rsid w:val="1D5C7CC4"/>
    <w:rsid w:val="1D954F84"/>
    <w:rsid w:val="1DB63878"/>
    <w:rsid w:val="1DDE4B7D"/>
    <w:rsid w:val="1DE63A32"/>
    <w:rsid w:val="1DFD14A7"/>
    <w:rsid w:val="1E0068A1"/>
    <w:rsid w:val="1E1223B6"/>
    <w:rsid w:val="1E171E3D"/>
    <w:rsid w:val="1E22594E"/>
    <w:rsid w:val="1E245884"/>
    <w:rsid w:val="1E5E7A6C"/>
    <w:rsid w:val="1E673D11"/>
    <w:rsid w:val="1E687220"/>
    <w:rsid w:val="1E9575F2"/>
    <w:rsid w:val="1E990AA4"/>
    <w:rsid w:val="1E9B0CC0"/>
    <w:rsid w:val="1EA23DFC"/>
    <w:rsid w:val="1EA77665"/>
    <w:rsid w:val="1EB342A2"/>
    <w:rsid w:val="1EC43D73"/>
    <w:rsid w:val="1EDA1028"/>
    <w:rsid w:val="1EE96428"/>
    <w:rsid w:val="1F182311"/>
    <w:rsid w:val="1F3C7DAD"/>
    <w:rsid w:val="1F721A21"/>
    <w:rsid w:val="1F7A08D5"/>
    <w:rsid w:val="1F933745"/>
    <w:rsid w:val="1F9905BC"/>
    <w:rsid w:val="1FA871F0"/>
    <w:rsid w:val="1FBC1997"/>
    <w:rsid w:val="1FBE4C66"/>
    <w:rsid w:val="1FF438D6"/>
    <w:rsid w:val="1FF73CD4"/>
    <w:rsid w:val="1FFF03C0"/>
    <w:rsid w:val="202A5E57"/>
    <w:rsid w:val="202C7E22"/>
    <w:rsid w:val="206D3F96"/>
    <w:rsid w:val="20713A86"/>
    <w:rsid w:val="20933BF0"/>
    <w:rsid w:val="20A71F45"/>
    <w:rsid w:val="20AF2801"/>
    <w:rsid w:val="20B120D5"/>
    <w:rsid w:val="20B47E17"/>
    <w:rsid w:val="20E64474"/>
    <w:rsid w:val="20E93F65"/>
    <w:rsid w:val="21246D4B"/>
    <w:rsid w:val="214F68AA"/>
    <w:rsid w:val="215F1BB9"/>
    <w:rsid w:val="21645399"/>
    <w:rsid w:val="21676C37"/>
    <w:rsid w:val="217C26E3"/>
    <w:rsid w:val="21A34873"/>
    <w:rsid w:val="21B87493"/>
    <w:rsid w:val="21FA7AAB"/>
    <w:rsid w:val="220F17A9"/>
    <w:rsid w:val="22442793"/>
    <w:rsid w:val="225673D8"/>
    <w:rsid w:val="225C42C2"/>
    <w:rsid w:val="227855A0"/>
    <w:rsid w:val="22804455"/>
    <w:rsid w:val="22BB548D"/>
    <w:rsid w:val="22BE5497"/>
    <w:rsid w:val="22CD23BA"/>
    <w:rsid w:val="22E5075C"/>
    <w:rsid w:val="22F664C5"/>
    <w:rsid w:val="22FF7A6F"/>
    <w:rsid w:val="2309269C"/>
    <w:rsid w:val="23515DF1"/>
    <w:rsid w:val="2359758E"/>
    <w:rsid w:val="23672F12"/>
    <w:rsid w:val="238166D6"/>
    <w:rsid w:val="23887A65"/>
    <w:rsid w:val="23B02B18"/>
    <w:rsid w:val="23B343B6"/>
    <w:rsid w:val="23CD2672"/>
    <w:rsid w:val="23CD6B49"/>
    <w:rsid w:val="23E427C1"/>
    <w:rsid w:val="240E09AF"/>
    <w:rsid w:val="24134E54"/>
    <w:rsid w:val="2418246B"/>
    <w:rsid w:val="24286B52"/>
    <w:rsid w:val="243A0EE4"/>
    <w:rsid w:val="243C43AB"/>
    <w:rsid w:val="24431BDE"/>
    <w:rsid w:val="244D164C"/>
    <w:rsid w:val="245411E8"/>
    <w:rsid w:val="24853FA4"/>
    <w:rsid w:val="24911526"/>
    <w:rsid w:val="24A3267C"/>
    <w:rsid w:val="24A361D8"/>
    <w:rsid w:val="24A65CC9"/>
    <w:rsid w:val="24C9505C"/>
    <w:rsid w:val="24CF6FCD"/>
    <w:rsid w:val="250273A3"/>
    <w:rsid w:val="2524556B"/>
    <w:rsid w:val="252E0198"/>
    <w:rsid w:val="253F05F7"/>
    <w:rsid w:val="25494FD2"/>
    <w:rsid w:val="25513E86"/>
    <w:rsid w:val="25551BC9"/>
    <w:rsid w:val="255A78DA"/>
    <w:rsid w:val="255E0351"/>
    <w:rsid w:val="2577371A"/>
    <w:rsid w:val="25901034"/>
    <w:rsid w:val="25BC27DD"/>
    <w:rsid w:val="25C26B32"/>
    <w:rsid w:val="25E44CFA"/>
    <w:rsid w:val="25EB0C9E"/>
    <w:rsid w:val="25EC7984"/>
    <w:rsid w:val="260E7FC9"/>
    <w:rsid w:val="26212D15"/>
    <w:rsid w:val="262D78EB"/>
    <w:rsid w:val="26301CEE"/>
    <w:rsid w:val="26347A30"/>
    <w:rsid w:val="26462E73"/>
    <w:rsid w:val="265B240F"/>
    <w:rsid w:val="2668592C"/>
    <w:rsid w:val="266E3AF6"/>
    <w:rsid w:val="26937BFF"/>
    <w:rsid w:val="26B428AF"/>
    <w:rsid w:val="26C45BF8"/>
    <w:rsid w:val="26D1527F"/>
    <w:rsid w:val="26F1147D"/>
    <w:rsid w:val="270C62B7"/>
    <w:rsid w:val="273B3040"/>
    <w:rsid w:val="273D0B66"/>
    <w:rsid w:val="273D46C2"/>
    <w:rsid w:val="276E51C4"/>
    <w:rsid w:val="279D4F06"/>
    <w:rsid w:val="279E37A9"/>
    <w:rsid w:val="27C22E19"/>
    <w:rsid w:val="27C43035"/>
    <w:rsid w:val="280653FC"/>
    <w:rsid w:val="28304227"/>
    <w:rsid w:val="28506F1C"/>
    <w:rsid w:val="288B3B53"/>
    <w:rsid w:val="28A34605"/>
    <w:rsid w:val="28BA7F95"/>
    <w:rsid w:val="28C36E49"/>
    <w:rsid w:val="28CD1A76"/>
    <w:rsid w:val="28D92B11"/>
    <w:rsid w:val="28DC43AF"/>
    <w:rsid w:val="28E079FB"/>
    <w:rsid w:val="28FB471E"/>
    <w:rsid w:val="291E0523"/>
    <w:rsid w:val="29205FB2"/>
    <w:rsid w:val="29244CA4"/>
    <w:rsid w:val="293715E5"/>
    <w:rsid w:val="295201CD"/>
    <w:rsid w:val="296028EA"/>
    <w:rsid w:val="2967011C"/>
    <w:rsid w:val="29780755"/>
    <w:rsid w:val="29946A38"/>
    <w:rsid w:val="29BA611A"/>
    <w:rsid w:val="29CC7F7F"/>
    <w:rsid w:val="29CE5AA6"/>
    <w:rsid w:val="29F85218"/>
    <w:rsid w:val="2A391AB9"/>
    <w:rsid w:val="2A64465C"/>
    <w:rsid w:val="2A677CA8"/>
    <w:rsid w:val="2A693A20"/>
    <w:rsid w:val="2A6D3486"/>
    <w:rsid w:val="2A895E70"/>
    <w:rsid w:val="2A950CB9"/>
    <w:rsid w:val="2A9C3DF6"/>
    <w:rsid w:val="2AA02D5A"/>
    <w:rsid w:val="2AA131BA"/>
    <w:rsid w:val="2AC86999"/>
    <w:rsid w:val="2AC9060F"/>
    <w:rsid w:val="2AD90104"/>
    <w:rsid w:val="2AEA4B61"/>
    <w:rsid w:val="2AF123AC"/>
    <w:rsid w:val="2AFE685E"/>
    <w:rsid w:val="2B037DF0"/>
    <w:rsid w:val="2B3202B6"/>
    <w:rsid w:val="2B3C6864"/>
    <w:rsid w:val="2B4D50F0"/>
    <w:rsid w:val="2B681F2A"/>
    <w:rsid w:val="2B8F5708"/>
    <w:rsid w:val="2B901A6E"/>
    <w:rsid w:val="2B9652EF"/>
    <w:rsid w:val="2B9845BD"/>
    <w:rsid w:val="2BA17168"/>
    <w:rsid w:val="2BA56CDA"/>
    <w:rsid w:val="2BC27DAE"/>
    <w:rsid w:val="2BC34BEA"/>
    <w:rsid w:val="2BD91045"/>
    <w:rsid w:val="2BEA0B91"/>
    <w:rsid w:val="2BF832AE"/>
    <w:rsid w:val="2BF8505C"/>
    <w:rsid w:val="2C107CA6"/>
    <w:rsid w:val="2C113F6C"/>
    <w:rsid w:val="2C183950"/>
    <w:rsid w:val="2C1A3C52"/>
    <w:rsid w:val="2C474400"/>
    <w:rsid w:val="2C6646BB"/>
    <w:rsid w:val="2C7768C8"/>
    <w:rsid w:val="2C815B2B"/>
    <w:rsid w:val="2C946C64"/>
    <w:rsid w:val="2CB6311C"/>
    <w:rsid w:val="2CC80F32"/>
    <w:rsid w:val="2CDD14B1"/>
    <w:rsid w:val="2CF241A1"/>
    <w:rsid w:val="2D0B5263"/>
    <w:rsid w:val="2D3A16A4"/>
    <w:rsid w:val="2D7458C3"/>
    <w:rsid w:val="2D870D8D"/>
    <w:rsid w:val="2D940DB4"/>
    <w:rsid w:val="2D9B0395"/>
    <w:rsid w:val="2DC25921"/>
    <w:rsid w:val="2E0E4F95"/>
    <w:rsid w:val="2E3248B6"/>
    <w:rsid w:val="2E352597"/>
    <w:rsid w:val="2E552C39"/>
    <w:rsid w:val="2E5A7BB6"/>
    <w:rsid w:val="2E60513A"/>
    <w:rsid w:val="2E6B420B"/>
    <w:rsid w:val="2E6E7857"/>
    <w:rsid w:val="2E76495E"/>
    <w:rsid w:val="2E8C65BF"/>
    <w:rsid w:val="2E903C71"/>
    <w:rsid w:val="2E9077CD"/>
    <w:rsid w:val="2E987BA2"/>
    <w:rsid w:val="2E9F2106"/>
    <w:rsid w:val="2E9F5C62"/>
    <w:rsid w:val="2EA119DB"/>
    <w:rsid w:val="2ECE6548"/>
    <w:rsid w:val="2ED022C0"/>
    <w:rsid w:val="2EDF5746"/>
    <w:rsid w:val="2F0E0128"/>
    <w:rsid w:val="2F146650"/>
    <w:rsid w:val="2F337E9A"/>
    <w:rsid w:val="2F3406AE"/>
    <w:rsid w:val="2F363C4A"/>
    <w:rsid w:val="2F452C71"/>
    <w:rsid w:val="2F5925DB"/>
    <w:rsid w:val="2F5C1DA5"/>
    <w:rsid w:val="2F70551E"/>
    <w:rsid w:val="2F7736F3"/>
    <w:rsid w:val="2F854E58"/>
    <w:rsid w:val="2F8E3583"/>
    <w:rsid w:val="2FA06136"/>
    <w:rsid w:val="2FE8003B"/>
    <w:rsid w:val="2FEC5296"/>
    <w:rsid w:val="2FF95846"/>
    <w:rsid w:val="301461DC"/>
    <w:rsid w:val="3027683B"/>
    <w:rsid w:val="303348B4"/>
    <w:rsid w:val="30562C99"/>
    <w:rsid w:val="306C6018"/>
    <w:rsid w:val="306E1D90"/>
    <w:rsid w:val="307F388A"/>
    <w:rsid w:val="308725A7"/>
    <w:rsid w:val="308E5F8F"/>
    <w:rsid w:val="30901D07"/>
    <w:rsid w:val="30AF7622"/>
    <w:rsid w:val="30BF439A"/>
    <w:rsid w:val="30C45E54"/>
    <w:rsid w:val="30CE282F"/>
    <w:rsid w:val="31061FC9"/>
    <w:rsid w:val="314174A5"/>
    <w:rsid w:val="318008AB"/>
    <w:rsid w:val="31807FCD"/>
    <w:rsid w:val="318D26EA"/>
    <w:rsid w:val="31B859B9"/>
    <w:rsid w:val="31C3435E"/>
    <w:rsid w:val="31C972B1"/>
    <w:rsid w:val="31DA30CD"/>
    <w:rsid w:val="31DF64D1"/>
    <w:rsid w:val="31E367AE"/>
    <w:rsid w:val="31F12C79"/>
    <w:rsid w:val="31F45794"/>
    <w:rsid w:val="31FB0A2A"/>
    <w:rsid w:val="32036508"/>
    <w:rsid w:val="320F75A3"/>
    <w:rsid w:val="322D6032"/>
    <w:rsid w:val="32313FA5"/>
    <w:rsid w:val="324A05DB"/>
    <w:rsid w:val="324F33A7"/>
    <w:rsid w:val="325E7BE3"/>
    <w:rsid w:val="326571C3"/>
    <w:rsid w:val="326C67A3"/>
    <w:rsid w:val="328305A1"/>
    <w:rsid w:val="32A61CB5"/>
    <w:rsid w:val="32AF17E8"/>
    <w:rsid w:val="32E0684A"/>
    <w:rsid w:val="32F33843"/>
    <w:rsid w:val="33042538"/>
    <w:rsid w:val="3320739A"/>
    <w:rsid w:val="3341553A"/>
    <w:rsid w:val="335D6149"/>
    <w:rsid w:val="33631954"/>
    <w:rsid w:val="339935C8"/>
    <w:rsid w:val="33A45AC9"/>
    <w:rsid w:val="33D313E6"/>
    <w:rsid w:val="33D60378"/>
    <w:rsid w:val="33E412BD"/>
    <w:rsid w:val="343F0CBE"/>
    <w:rsid w:val="34431A58"/>
    <w:rsid w:val="344C3636"/>
    <w:rsid w:val="34533777"/>
    <w:rsid w:val="346A408E"/>
    <w:rsid w:val="34733E19"/>
    <w:rsid w:val="34943D90"/>
    <w:rsid w:val="34A054FF"/>
    <w:rsid w:val="34A51AF9"/>
    <w:rsid w:val="34B01D5A"/>
    <w:rsid w:val="34B14942"/>
    <w:rsid w:val="34D413D2"/>
    <w:rsid w:val="34EB759E"/>
    <w:rsid w:val="34F87471"/>
    <w:rsid w:val="35064C8D"/>
    <w:rsid w:val="3507779A"/>
    <w:rsid w:val="352B64A2"/>
    <w:rsid w:val="353A66E5"/>
    <w:rsid w:val="35586B6B"/>
    <w:rsid w:val="355B4070"/>
    <w:rsid w:val="356E1147"/>
    <w:rsid w:val="357348BC"/>
    <w:rsid w:val="3575771D"/>
    <w:rsid w:val="357E0CC8"/>
    <w:rsid w:val="35843E04"/>
    <w:rsid w:val="358D7245"/>
    <w:rsid w:val="35942299"/>
    <w:rsid w:val="35CA7CE2"/>
    <w:rsid w:val="35DA3A24"/>
    <w:rsid w:val="35F25212"/>
    <w:rsid w:val="36043A29"/>
    <w:rsid w:val="36050AA1"/>
    <w:rsid w:val="36126927"/>
    <w:rsid w:val="361303CA"/>
    <w:rsid w:val="36162CAE"/>
    <w:rsid w:val="362353CB"/>
    <w:rsid w:val="36251143"/>
    <w:rsid w:val="364517E5"/>
    <w:rsid w:val="3680281D"/>
    <w:rsid w:val="36902F82"/>
    <w:rsid w:val="369279AB"/>
    <w:rsid w:val="36C546D4"/>
    <w:rsid w:val="36C76050"/>
    <w:rsid w:val="36CB4F71"/>
    <w:rsid w:val="36D13079"/>
    <w:rsid w:val="36E032BC"/>
    <w:rsid w:val="36EA7C97"/>
    <w:rsid w:val="36F62AE0"/>
    <w:rsid w:val="37024FE0"/>
    <w:rsid w:val="371B42F4"/>
    <w:rsid w:val="372C02AF"/>
    <w:rsid w:val="376E6B1A"/>
    <w:rsid w:val="377A101B"/>
    <w:rsid w:val="378325C5"/>
    <w:rsid w:val="378B147A"/>
    <w:rsid w:val="378B3228"/>
    <w:rsid w:val="379E5C6A"/>
    <w:rsid w:val="37A52B4A"/>
    <w:rsid w:val="37B07132"/>
    <w:rsid w:val="37BF1D6A"/>
    <w:rsid w:val="37FB6841"/>
    <w:rsid w:val="38023046"/>
    <w:rsid w:val="382D42DF"/>
    <w:rsid w:val="384A4E91"/>
    <w:rsid w:val="385E2D5D"/>
    <w:rsid w:val="38635F53"/>
    <w:rsid w:val="386D0811"/>
    <w:rsid w:val="38855EC9"/>
    <w:rsid w:val="388569B6"/>
    <w:rsid w:val="388859B9"/>
    <w:rsid w:val="38896D41"/>
    <w:rsid w:val="38975BFC"/>
    <w:rsid w:val="389F215E"/>
    <w:rsid w:val="38A8605B"/>
    <w:rsid w:val="38B90269"/>
    <w:rsid w:val="38BB6ED1"/>
    <w:rsid w:val="38C054A4"/>
    <w:rsid w:val="38C1253E"/>
    <w:rsid w:val="38CE6AAE"/>
    <w:rsid w:val="38D40BFF"/>
    <w:rsid w:val="38E47094"/>
    <w:rsid w:val="39202096"/>
    <w:rsid w:val="39316051"/>
    <w:rsid w:val="393B6C28"/>
    <w:rsid w:val="39406294"/>
    <w:rsid w:val="39754190"/>
    <w:rsid w:val="398758A9"/>
    <w:rsid w:val="39987A8C"/>
    <w:rsid w:val="39A53B63"/>
    <w:rsid w:val="39B65238"/>
    <w:rsid w:val="39C96289"/>
    <w:rsid w:val="39E44E71"/>
    <w:rsid w:val="3A0D43C8"/>
    <w:rsid w:val="3A300F31"/>
    <w:rsid w:val="3A4B2FEE"/>
    <w:rsid w:val="3A502507"/>
    <w:rsid w:val="3A695377"/>
    <w:rsid w:val="3A6F6E31"/>
    <w:rsid w:val="3A8A02A9"/>
    <w:rsid w:val="3A8C1013"/>
    <w:rsid w:val="3AB74339"/>
    <w:rsid w:val="3AC70A1B"/>
    <w:rsid w:val="3ACF2ECE"/>
    <w:rsid w:val="3AF7062E"/>
    <w:rsid w:val="3AFB2473"/>
    <w:rsid w:val="3AFB6916"/>
    <w:rsid w:val="3B0E4DFC"/>
    <w:rsid w:val="3B170166"/>
    <w:rsid w:val="3B31058A"/>
    <w:rsid w:val="3B3D2A8B"/>
    <w:rsid w:val="3B5D312D"/>
    <w:rsid w:val="3B5F50F7"/>
    <w:rsid w:val="3B7753B5"/>
    <w:rsid w:val="3B8052D9"/>
    <w:rsid w:val="3B912DD7"/>
    <w:rsid w:val="3BCE5DD9"/>
    <w:rsid w:val="3BE15B0C"/>
    <w:rsid w:val="3BE949C1"/>
    <w:rsid w:val="3BEA6DA0"/>
    <w:rsid w:val="3BEB4CED"/>
    <w:rsid w:val="3BF10EB2"/>
    <w:rsid w:val="3C102591"/>
    <w:rsid w:val="3C6329C5"/>
    <w:rsid w:val="3CB95BEC"/>
    <w:rsid w:val="3CDC165C"/>
    <w:rsid w:val="3D1B504E"/>
    <w:rsid w:val="3D536596"/>
    <w:rsid w:val="3D567E34"/>
    <w:rsid w:val="3D6267D9"/>
    <w:rsid w:val="3D6E33D0"/>
    <w:rsid w:val="3D7309E6"/>
    <w:rsid w:val="3D734E8A"/>
    <w:rsid w:val="3DA37BAD"/>
    <w:rsid w:val="3DBC4982"/>
    <w:rsid w:val="3DCA4932"/>
    <w:rsid w:val="3DCD6A49"/>
    <w:rsid w:val="3DE91C37"/>
    <w:rsid w:val="3DED24FF"/>
    <w:rsid w:val="3E104487"/>
    <w:rsid w:val="3E22253C"/>
    <w:rsid w:val="3E2809F9"/>
    <w:rsid w:val="3E4F5F4D"/>
    <w:rsid w:val="3E532AD4"/>
    <w:rsid w:val="3E614CE2"/>
    <w:rsid w:val="3E646581"/>
    <w:rsid w:val="3E6B1215"/>
    <w:rsid w:val="3E772758"/>
    <w:rsid w:val="3E9E1A93"/>
    <w:rsid w:val="3EA10027"/>
    <w:rsid w:val="3EA9143B"/>
    <w:rsid w:val="3ECF4342"/>
    <w:rsid w:val="3ED43706"/>
    <w:rsid w:val="3ED454B4"/>
    <w:rsid w:val="3EE85404"/>
    <w:rsid w:val="3EF43DA9"/>
    <w:rsid w:val="3F141D55"/>
    <w:rsid w:val="3F1735F3"/>
    <w:rsid w:val="3F301AC1"/>
    <w:rsid w:val="3F424B14"/>
    <w:rsid w:val="3F450160"/>
    <w:rsid w:val="3F536D21"/>
    <w:rsid w:val="3F542A99"/>
    <w:rsid w:val="3F794503"/>
    <w:rsid w:val="3F8A2017"/>
    <w:rsid w:val="3F9A6B0E"/>
    <w:rsid w:val="3F9D4347"/>
    <w:rsid w:val="3FD60EEE"/>
    <w:rsid w:val="4013200C"/>
    <w:rsid w:val="40154CEE"/>
    <w:rsid w:val="4033445D"/>
    <w:rsid w:val="40384169"/>
    <w:rsid w:val="405014B2"/>
    <w:rsid w:val="40542910"/>
    <w:rsid w:val="405F34A4"/>
    <w:rsid w:val="40B03CFF"/>
    <w:rsid w:val="40B97058"/>
    <w:rsid w:val="40F849E4"/>
    <w:rsid w:val="410D4CAE"/>
    <w:rsid w:val="412070D7"/>
    <w:rsid w:val="41230975"/>
    <w:rsid w:val="412A3F30"/>
    <w:rsid w:val="41436921"/>
    <w:rsid w:val="415723CD"/>
    <w:rsid w:val="416A2100"/>
    <w:rsid w:val="41764F49"/>
    <w:rsid w:val="417C1BE8"/>
    <w:rsid w:val="41A2426E"/>
    <w:rsid w:val="41B96BE3"/>
    <w:rsid w:val="41BD4926"/>
    <w:rsid w:val="41D41C6F"/>
    <w:rsid w:val="41EF0857"/>
    <w:rsid w:val="41F45E6E"/>
    <w:rsid w:val="420D6961"/>
    <w:rsid w:val="4230334A"/>
    <w:rsid w:val="425828A0"/>
    <w:rsid w:val="425C61C6"/>
    <w:rsid w:val="426A062E"/>
    <w:rsid w:val="42A96C58"/>
    <w:rsid w:val="42CB6BCE"/>
    <w:rsid w:val="43081BD1"/>
    <w:rsid w:val="43217136"/>
    <w:rsid w:val="433F136A"/>
    <w:rsid w:val="4340580E"/>
    <w:rsid w:val="43565DA6"/>
    <w:rsid w:val="436037BB"/>
    <w:rsid w:val="43986180"/>
    <w:rsid w:val="43D9531B"/>
    <w:rsid w:val="43FE4D82"/>
    <w:rsid w:val="440307AF"/>
    <w:rsid w:val="44314938"/>
    <w:rsid w:val="444022B3"/>
    <w:rsid w:val="444B24DB"/>
    <w:rsid w:val="44606B64"/>
    <w:rsid w:val="447B63D2"/>
    <w:rsid w:val="44827761"/>
    <w:rsid w:val="44865A92"/>
    <w:rsid w:val="44906321"/>
    <w:rsid w:val="4499136D"/>
    <w:rsid w:val="44A1408B"/>
    <w:rsid w:val="44E93C84"/>
    <w:rsid w:val="451A3C12"/>
    <w:rsid w:val="455E3D2A"/>
    <w:rsid w:val="457572C5"/>
    <w:rsid w:val="458614D2"/>
    <w:rsid w:val="45CF284F"/>
    <w:rsid w:val="45F262DF"/>
    <w:rsid w:val="46020B59"/>
    <w:rsid w:val="46050649"/>
    <w:rsid w:val="460E39A2"/>
    <w:rsid w:val="46445615"/>
    <w:rsid w:val="46496788"/>
    <w:rsid w:val="46606DE3"/>
    <w:rsid w:val="466643F5"/>
    <w:rsid w:val="46756649"/>
    <w:rsid w:val="4698326B"/>
    <w:rsid w:val="46A14816"/>
    <w:rsid w:val="46B207D1"/>
    <w:rsid w:val="46BC6448"/>
    <w:rsid w:val="46DA7D28"/>
    <w:rsid w:val="46E6047B"/>
    <w:rsid w:val="46EC35B7"/>
    <w:rsid w:val="46FE5F68"/>
    <w:rsid w:val="47022DDB"/>
    <w:rsid w:val="47033E8D"/>
    <w:rsid w:val="47071ABF"/>
    <w:rsid w:val="47071EE3"/>
    <w:rsid w:val="473518A9"/>
    <w:rsid w:val="47351DC6"/>
    <w:rsid w:val="475573AE"/>
    <w:rsid w:val="47665118"/>
    <w:rsid w:val="476937DB"/>
    <w:rsid w:val="47705F96"/>
    <w:rsid w:val="47727F60"/>
    <w:rsid w:val="47820E26"/>
    <w:rsid w:val="4783216D"/>
    <w:rsid w:val="47962DFA"/>
    <w:rsid w:val="47A619B8"/>
    <w:rsid w:val="47B440D5"/>
    <w:rsid w:val="47D209FF"/>
    <w:rsid w:val="47E36768"/>
    <w:rsid w:val="47EE470A"/>
    <w:rsid w:val="47F72214"/>
    <w:rsid w:val="480C0F07"/>
    <w:rsid w:val="481E59F2"/>
    <w:rsid w:val="48362D3C"/>
    <w:rsid w:val="48391D37"/>
    <w:rsid w:val="484B4866"/>
    <w:rsid w:val="48541414"/>
    <w:rsid w:val="48650722"/>
    <w:rsid w:val="48802209"/>
    <w:rsid w:val="488C32A4"/>
    <w:rsid w:val="48E924A4"/>
    <w:rsid w:val="48EF1237"/>
    <w:rsid w:val="48F22F6E"/>
    <w:rsid w:val="491603F6"/>
    <w:rsid w:val="49180694"/>
    <w:rsid w:val="49382AE4"/>
    <w:rsid w:val="49496A9F"/>
    <w:rsid w:val="494C7416"/>
    <w:rsid w:val="49535B70"/>
    <w:rsid w:val="49583186"/>
    <w:rsid w:val="497A75A0"/>
    <w:rsid w:val="49974028"/>
    <w:rsid w:val="499F2B63"/>
    <w:rsid w:val="49A004CE"/>
    <w:rsid w:val="49A32653"/>
    <w:rsid w:val="49BF4FB3"/>
    <w:rsid w:val="49D722FD"/>
    <w:rsid w:val="49E35378"/>
    <w:rsid w:val="49F509D5"/>
    <w:rsid w:val="4A001853"/>
    <w:rsid w:val="4A0A4480"/>
    <w:rsid w:val="4A0D3F70"/>
    <w:rsid w:val="4A181B38"/>
    <w:rsid w:val="4A195E13"/>
    <w:rsid w:val="4A1E5D46"/>
    <w:rsid w:val="4A3546F0"/>
    <w:rsid w:val="4A49144C"/>
    <w:rsid w:val="4A530227"/>
    <w:rsid w:val="4A58343D"/>
    <w:rsid w:val="4A5971B6"/>
    <w:rsid w:val="4A655B5A"/>
    <w:rsid w:val="4A6718D3"/>
    <w:rsid w:val="4A7F7884"/>
    <w:rsid w:val="4A965D14"/>
    <w:rsid w:val="4A981A8C"/>
    <w:rsid w:val="4AA33FE0"/>
    <w:rsid w:val="4AB60164"/>
    <w:rsid w:val="4AC46D25"/>
    <w:rsid w:val="4ACE3700"/>
    <w:rsid w:val="4AD52CE0"/>
    <w:rsid w:val="4ADB406F"/>
    <w:rsid w:val="4AF173EE"/>
    <w:rsid w:val="4AF84C20"/>
    <w:rsid w:val="4AFC64B6"/>
    <w:rsid w:val="4B0B6702"/>
    <w:rsid w:val="4B0D20E7"/>
    <w:rsid w:val="4B337A07"/>
    <w:rsid w:val="4B375749"/>
    <w:rsid w:val="4B46598C"/>
    <w:rsid w:val="4B553E26"/>
    <w:rsid w:val="4B9762C0"/>
    <w:rsid w:val="4B9C37FE"/>
    <w:rsid w:val="4BBA0128"/>
    <w:rsid w:val="4BDA7F6C"/>
    <w:rsid w:val="4C101AF6"/>
    <w:rsid w:val="4C1559E9"/>
    <w:rsid w:val="4C2D252F"/>
    <w:rsid w:val="4C303908"/>
    <w:rsid w:val="4C3103EA"/>
    <w:rsid w:val="4C644831"/>
    <w:rsid w:val="4C812ED4"/>
    <w:rsid w:val="4C912C37"/>
    <w:rsid w:val="4C9D5A7F"/>
    <w:rsid w:val="4CA50490"/>
    <w:rsid w:val="4CC50B32"/>
    <w:rsid w:val="4CC554C2"/>
    <w:rsid w:val="4CED7717"/>
    <w:rsid w:val="4CEE0089"/>
    <w:rsid w:val="4CF379D6"/>
    <w:rsid w:val="4CF51AE2"/>
    <w:rsid w:val="4CF66F3E"/>
    <w:rsid w:val="4D1A2C2C"/>
    <w:rsid w:val="4D2C6E03"/>
    <w:rsid w:val="4D460BDA"/>
    <w:rsid w:val="4D4A296D"/>
    <w:rsid w:val="4D7308E3"/>
    <w:rsid w:val="4D873D88"/>
    <w:rsid w:val="4DBF1A26"/>
    <w:rsid w:val="4DC00FA9"/>
    <w:rsid w:val="4DD03C33"/>
    <w:rsid w:val="4DDC25D7"/>
    <w:rsid w:val="4DEB6377"/>
    <w:rsid w:val="4DF818A2"/>
    <w:rsid w:val="4E052BE9"/>
    <w:rsid w:val="4E107456"/>
    <w:rsid w:val="4E157897"/>
    <w:rsid w:val="4E2F73B3"/>
    <w:rsid w:val="4E633605"/>
    <w:rsid w:val="4E697FB9"/>
    <w:rsid w:val="4E6C0A3E"/>
    <w:rsid w:val="4E7E71EB"/>
    <w:rsid w:val="4E8C7B5A"/>
    <w:rsid w:val="4E9702AC"/>
    <w:rsid w:val="4EAD157E"/>
    <w:rsid w:val="4EC15329"/>
    <w:rsid w:val="4ECD3D05"/>
    <w:rsid w:val="4ED24A28"/>
    <w:rsid w:val="4EE51018"/>
    <w:rsid w:val="4F24778D"/>
    <w:rsid w:val="4F2A06BF"/>
    <w:rsid w:val="4F3501F1"/>
    <w:rsid w:val="4F5543EF"/>
    <w:rsid w:val="4F602D94"/>
    <w:rsid w:val="4F7E3B03"/>
    <w:rsid w:val="4F9F41A5"/>
    <w:rsid w:val="4FAB08DA"/>
    <w:rsid w:val="4FCB3ED2"/>
    <w:rsid w:val="4FD214B6"/>
    <w:rsid w:val="4FD30AB0"/>
    <w:rsid w:val="4FE439C5"/>
    <w:rsid w:val="4FE47521"/>
    <w:rsid w:val="4FED6DF9"/>
    <w:rsid w:val="500C3517"/>
    <w:rsid w:val="501047BA"/>
    <w:rsid w:val="50546455"/>
    <w:rsid w:val="50566671"/>
    <w:rsid w:val="508A631B"/>
    <w:rsid w:val="50920F34"/>
    <w:rsid w:val="509947B0"/>
    <w:rsid w:val="50A3118B"/>
    <w:rsid w:val="50C144DE"/>
    <w:rsid w:val="50C53BB8"/>
    <w:rsid w:val="50C80BF1"/>
    <w:rsid w:val="50DF3C85"/>
    <w:rsid w:val="50EA1314"/>
    <w:rsid w:val="50F11EF6"/>
    <w:rsid w:val="50F43794"/>
    <w:rsid w:val="510A26E1"/>
    <w:rsid w:val="510D30B3"/>
    <w:rsid w:val="51167BAE"/>
    <w:rsid w:val="512A18AC"/>
    <w:rsid w:val="512C2F2E"/>
    <w:rsid w:val="51427A2B"/>
    <w:rsid w:val="516528E4"/>
    <w:rsid w:val="516E1224"/>
    <w:rsid w:val="51823496"/>
    <w:rsid w:val="51890380"/>
    <w:rsid w:val="51A83503"/>
    <w:rsid w:val="51D830B6"/>
    <w:rsid w:val="51DB6702"/>
    <w:rsid w:val="51F7178E"/>
    <w:rsid w:val="52100AA2"/>
    <w:rsid w:val="52237D55"/>
    <w:rsid w:val="522400A9"/>
    <w:rsid w:val="528D20F2"/>
    <w:rsid w:val="52B633F7"/>
    <w:rsid w:val="52C60D4D"/>
    <w:rsid w:val="52E361B6"/>
    <w:rsid w:val="52E951AC"/>
    <w:rsid w:val="52F67C97"/>
    <w:rsid w:val="53002949"/>
    <w:rsid w:val="53370B35"/>
    <w:rsid w:val="533802B0"/>
    <w:rsid w:val="53394028"/>
    <w:rsid w:val="534704F3"/>
    <w:rsid w:val="534F1156"/>
    <w:rsid w:val="535F59E1"/>
    <w:rsid w:val="536524C3"/>
    <w:rsid w:val="538232D9"/>
    <w:rsid w:val="538452A3"/>
    <w:rsid w:val="539649C0"/>
    <w:rsid w:val="53D0274A"/>
    <w:rsid w:val="53D1600F"/>
    <w:rsid w:val="53FD0BB2"/>
    <w:rsid w:val="540957A8"/>
    <w:rsid w:val="541B7AD1"/>
    <w:rsid w:val="541D452A"/>
    <w:rsid w:val="54212AF2"/>
    <w:rsid w:val="543516CD"/>
    <w:rsid w:val="545A6004"/>
    <w:rsid w:val="546D5A14"/>
    <w:rsid w:val="54837309"/>
    <w:rsid w:val="548412D3"/>
    <w:rsid w:val="549459BA"/>
    <w:rsid w:val="549B6A88"/>
    <w:rsid w:val="549C486F"/>
    <w:rsid w:val="54A8045F"/>
    <w:rsid w:val="54AF6350"/>
    <w:rsid w:val="54D45DB6"/>
    <w:rsid w:val="54D73E95"/>
    <w:rsid w:val="54E12281"/>
    <w:rsid w:val="55425416"/>
    <w:rsid w:val="554A0159"/>
    <w:rsid w:val="555F54CC"/>
    <w:rsid w:val="55675113"/>
    <w:rsid w:val="556F3D31"/>
    <w:rsid w:val="558B763C"/>
    <w:rsid w:val="559D0D16"/>
    <w:rsid w:val="55AE1142"/>
    <w:rsid w:val="55C23E61"/>
    <w:rsid w:val="55C7591B"/>
    <w:rsid w:val="55CA572B"/>
    <w:rsid w:val="55EB123E"/>
    <w:rsid w:val="55EF09CE"/>
    <w:rsid w:val="55F10BEA"/>
    <w:rsid w:val="56002BDB"/>
    <w:rsid w:val="56292132"/>
    <w:rsid w:val="562B7C58"/>
    <w:rsid w:val="56311CDA"/>
    <w:rsid w:val="56582A17"/>
    <w:rsid w:val="566B5617"/>
    <w:rsid w:val="56717635"/>
    <w:rsid w:val="568850AA"/>
    <w:rsid w:val="5697353F"/>
    <w:rsid w:val="56986659"/>
    <w:rsid w:val="569A3030"/>
    <w:rsid w:val="569E667C"/>
    <w:rsid w:val="56AE5BF6"/>
    <w:rsid w:val="56AE6864"/>
    <w:rsid w:val="56B440F1"/>
    <w:rsid w:val="56E12A0D"/>
    <w:rsid w:val="56E30533"/>
    <w:rsid w:val="56F031A2"/>
    <w:rsid w:val="56F16EF2"/>
    <w:rsid w:val="57092FD9"/>
    <w:rsid w:val="571E5A0F"/>
    <w:rsid w:val="5737029F"/>
    <w:rsid w:val="574014E1"/>
    <w:rsid w:val="574D3E70"/>
    <w:rsid w:val="57530C37"/>
    <w:rsid w:val="575E22AF"/>
    <w:rsid w:val="57A8352A"/>
    <w:rsid w:val="57B123DF"/>
    <w:rsid w:val="57CC7219"/>
    <w:rsid w:val="580F7106"/>
    <w:rsid w:val="581F476D"/>
    <w:rsid w:val="583D0117"/>
    <w:rsid w:val="58466FCB"/>
    <w:rsid w:val="58534C20"/>
    <w:rsid w:val="58535244"/>
    <w:rsid w:val="585C735C"/>
    <w:rsid w:val="585D2567"/>
    <w:rsid w:val="58690E3A"/>
    <w:rsid w:val="58DE5456"/>
    <w:rsid w:val="58DF4D2A"/>
    <w:rsid w:val="590D1897"/>
    <w:rsid w:val="591A3FB4"/>
    <w:rsid w:val="5923730C"/>
    <w:rsid w:val="592A069B"/>
    <w:rsid w:val="592B4413"/>
    <w:rsid w:val="594F1EAF"/>
    <w:rsid w:val="59543849"/>
    <w:rsid w:val="595D66E3"/>
    <w:rsid w:val="595E6596"/>
    <w:rsid w:val="59722042"/>
    <w:rsid w:val="5980475F"/>
    <w:rsid w:val="59A0509B"/>
    <w:rsid w:val="59BB7545"/>
    <w:rsid w:val="59BE5287"/>
    <w:rsid w:val="59C208D3"/>
    <w:rsid w:val="59C535A6"/>
    <w:rsid w:val="59F45A45"/>
    <w:rsid w:val="5A077952"/>
    <w:rsid w:val="5A124512"/>
    <w:rsid w:val="5A2275C4"/>
    <w:rsid w:val="5A326ED8"/>
    <w:rsid w:val="5A364E1D"/>
    <w:rsid w:val="5A492DA3"/>
    <w:rsid w:val="5A4E660B"/>
    <w:rsid w:val="5A6A4AC7"/>
    <w:rsid w:val="5A6C1957"/>
    <w:rsid w:val="5A722590"/>
    <w:rsid w:val="5A776C53"/>
    <w:rsid w:val="5A7D0C9E"/>
    <w:rsid w:val="5AAC50E0"/>
    <w:rsid w:val="5B0B1E06"/>
    <w:rsid w:val="5B4D68C3"/>
    <w:rsid w:val="5B5A2D8E"/>
    <w:rsid w:val="5BA52D0A"/>
    <w:rsid w:val="5BAA7871"/>
    <w:rsid w:val="5BAD110F"/>
    <w:rsid w:val="5BB26726"/>
    <w:rsid w:val="5BB977D3"/>
    <w:rsid w:val="5BC8419B"/>
    <w:rsid w:val="5BD26DC8"/>
    <w:rsid w:val="5BD35D0A"/>
    <w:rsid w:val="5BD977D5"/>
    <w:rsid w:val="5BF705DC"/>
    <w:rsid w:val="5BF81968"/>
    <w:rsid w:val="5BFD60C0"/>
    <w:rsid w:val="5C0A47B4"/>
    <w:rsid w:val="5C1A3007"/>
    <w:rsid w:val="5C337973"/>
    <w:rsid w:val="5C34538D"/>
    <w:rsid w:val="5C390BF5"/>
    <w:rsid w:val="5C5813D1"/>
    <w:rsid w:val="5C606182"/>
    <w:rsid w:val="5C6A5252"/>
    <w:rsid w:val="5C930305"/>
    <w:rsid w:val="5C9C18B0"/>
    <w:rsid w:val="5CC0249F"/>
    <w:rsid w:val="5CC84A9A"/>
    <w:rsid w:val="5CCB46B2"/>
    <w:rsid w:val="5CFE60C6"/>
    <w:rsid w:val="5D127688"/>
    <w:rsid w:val="5D245C5A"/>
    <w:rsid w:val="5D617135"/>
    <w:rsid w:val="5D79399F"/>
    <w:rsid w:val="5D9500AD"/>
    <w:rsid w:val="5D9635FF"/>
    <w:rsid w:val="5D996B17"/>
    <w:rsid w:val="5DA80011"/>
    <w:rsid w:val="5DB04EE7"/>
    <w:rsid w:val="5DFF100E"/>
    <w:rsid w:val="5E114B41"/>
    <w:rsid w:val="5E192A8C"/>
    <w:rsid w:val="5E1B78BB"/>
    <w:rsid w:val="5E2C27BF"/>
    <w:rsid w:val="5E4775F9"/>
    <w:rsid w:val="5E666F0A"/>
    <w:rsid w:val="5E92366A"/>
    <w:rsid w:val="5EAC56AE"/>
    <w:rsid w:val="5EB07418"/>
    <w:rsid w:val="5EB56C59"/>
    <w:rsid w:val="5EBA601D"/>
    <w:rsid w:val="5EC82E34"/>
    <w:rsid w:val="5ED44178"/>
    <w:rsid w:val="5EF432E1"/>
    <w:rsid w:val="5F0C2AA2"/>
    <w:rsid w:val="5F155949"/>
    <w:rsid w:val="5F3062DF"/>
    <w:rsid w:val="5F3A38C6"/>
    <w:rsid w:val="5F3C4C84"/>
    <w:rsid w:val="5F443B39"/>
    <w:rsid w:val="5F595F3B"/>
    <w:rsid w:val="5F5C5326"/>
    <w:rsid w:val="5F5E1B86"/>
    <w:rsid w:val="5F6366B5"/>
    <w:rsid w:val="5F685A79"/>
    <w:rsid w:val="5F7A755A"/>
    <w:rsid w:val="5F7E34EF"/>
    <w:rsid w:val="5F8B5C0B"/>
    <w:rsid w:val="5F97635E"/>
    <w:rsid w:val="5FC8476A"/>
    <w:rsid w:val="5FCE3855"/>
    <w:rsid w:val="5FF31EB9"/>
    <w:rsid w:val="5FFD7B02"/>
    <w:rsid w:val="5FFE1F39"/>
    <w:rsid w:val="602F322A"/>
    <w:rsid w:val="604364E6"/>
    <w:rsid w:val="604B086F"/>
    <w:rsid w:val="60560FF8"/>
    <w:rsid w:val="60724C1A"/>
    <w:rsid w:val="608763D3"/>
    <w:rsid w:val="60977324"/>
    <w:rsid w:val="60D86C2E"/>
    <w:rsid w:val="610A7D38"/>
    <w:rsid w:val="615640F5"/>
    <w:rsid w:val="6157763E"/>
    <w:rsid w:val="61637BA0"/>
    <w:rsid w:val="61642270"/>
    <w:rsid w:val="618E1229"/>
    <w:rsid w:val="61B054B5"/>
    <w:rsid w:val="61B75CC8"/>
    <w:rsid w:val="61DF202D"/>
    <w:rsid w:val="61FA2BD4"/>
    <w:rsid w:val="621237CD"/>
    <w:rsid w:val="621F3B40"/>
    <w:rsid w:val="62352D14"/>
    <w:rsid w:val="623C143F"/>
    <w:rsid w:val="6260512D"/>
    <w:rsid w:val="626D33A6"/>
    <w:rsid w:val="62922837"/>
    <w:rsid w:val="62AA63A9"/>
    <w:rsid w:val="62AC67BD"/>
    <w:rsid w:val="62C236F2"/>
    <w:rsid w:val="62EA1BD3"/>
    <w:rsid w:val="63086E33"/>
    <w:rsid w:val="631D4DCC"/>
    <w:rsid w:val="632F0725"/>
    <w:rsid w:val="636B5B38"/>
    <w:rsid w:val="637846F9"/>
    <w:rsid w:val="637D4ECB"/>
    <w:rsid w:val="63A4729C"/>
    <w:rsid w:val="63AC7EFE"/>
    <w:rsid w:val="63C06B29"/>
    <w:rsid w:val="63C11BFC"/>
    <w:rsid w:val="63C60FC0"/>
    <w:rsid w:val="63C74D38"/>
    <w:rsid w:val="63C96C0E"/>
    <w:rsid w:val="63CE60C7"/>
    <w:rsid w:val="63EB0E9D"/>
    <w:rsid w:val="640B4066"/>
    <w:rsid w:val="64181224"/>
    <w:rsid w:val="641F1048"/>
    <w:rsid w:val="64234664"/>
    <w:rsid w:val="64281C7B"/>
    <w:rsid w:val="642E19AD"/>
    <w:rsid w:val="64355C74"/>
    <w:rsid w:val="644F0FB6"/>
    <w:rsid w:val="64577B7E"/>
    <w:rsid w:val="64656A2B"/>
    <w:rsid w:val="6468651B"/>
    <w:rsid w:val="646A2293"/>
    <w:rsid w:val="64705249"/>
    <w:rsid w:val="647E0AFE"/>
    <w:rsid w:val="64801AB7"/>
    <w:rsid w:val="648D1ADE"/>
    <w:rsid w:val="64AF0DDF"/>
    <w:rsid w:val="64CA0F84"/>
    <w:rsid w:val="64CE2822"/>
    <w:rsid w:val="64D23DC0"/>
    <w:rsid w:val="6502023B"/>
    <w:rsid w:val="65515894"/>
    <w:rsid w:val="65757142"/>
    <w:rsid w:val="659A0BDD"/>
    <w:rsid w:val="659F7D1B"/>
    <w:rsid w:val="65B35574"/>
    <w:rsid w:val="65B732B6"/>
    <w:rsid w:val="65D368AD"/>
    <w:rsid w:val="65D545B7"/>
    <w:rsid w:val="65D93351"/>
    <w:rsid w:val="65FA13F5"/>
    <w:rsid w:val="660758C0"/>
    <w:rsid w:val="66147068"/>
    <w:rsid w:val="661F2C0A"/>
    <w:rsid w:val="66256070"/>
    <w:rsid w:val="66277ED8"/>
    <w:rsid w:val="66415276"/>
    <w:rsid w:val="664278FF"/>
    <w:rsid w:val="665925BF"/>
    <w:rsid w:val="667C4793"/>
    <w:rsid w:val="66874CF9"/>
    <w:rsid w:val="66AD6DFD"/>
    <w:rsid w:val="66BE6B00"/>
    <w:rsid w:val="66C64EC5"/>
    <w:rsid w:val="66D30817"/>
    <w:rsid w:val="66D95112"/>
    <w:rsid w:val="66DC0AFB"/>
    <w:rsid w:val="66FD2A3C"/>
    <w:rsid w:val="66FD616A"/>
    <w:rsid w:val="670167F8"/>
    <w:rsid w:val="67065B78"/>
    <w:rsid w:val="67185FD7"/>
    <w:rsid w:val="671F3648"/>
    <w:rsid w:val="675A65EF"/>
    <w:rsid w:val="6793565D"/>
    <w:rsid w:val="67C45238"/>
    <w:rsid w:val="67D55CA7"/>
    <w:rsid w:val="67F73E3E"/>
    <w:rsid w:val="68142C42"/>
    <w:rsid w:val="682269E1"/>
    <w:rsid w:val="682816DB"/>
    <w:rsid w:val="68307350"/>
    <w:rsid w:val="686261EC"/>
    <w:rsid w:val="687C0712"/>
    <w:rsid w:val="689414B1"/>
    <w:rsid w:val="68A904F6"/>
    <w:rsid w:val="68C53F3C"/>
    <w:rsid w:val="68D75A1D"/>
    <w:rsid w:val="68E10198"/>
    <w:rsid w:val="68E106EC"/>
    <w:rsid w:val="68EC14C9"/>
    <w:rsid w:val="68FA4718"/>
    <w:rsid w:val="69076FCD"/>
    <w:rsid w:val="690802CD"/>
    <w:rsid w:val="6931512E"/>
    <w:rsid w:val="69371C6C"/>
    <w:rsid w:val="693D1D24"/>
    <w:rsid w:val="695525C9"/>
    <w:rsid w:val="69561038"/>
    <w:rsid w:val="69635503"/>
    <w:rsid w:val="698A3EA6"/>
    <w:rsid w:val="698A6F34"/>
    <w:rsid w:val="699E3EED"/>
    <w:rsid w:val="69AB330A"/>
    <w:rsid w:val="69C064B2"/>
    <w:rsid w:val="69D501AF"/>
    <w:rsid w:val="69DF3FB1"/>
    <w:rsid w:val="69F11830"/>
    <w:rsid w:val="69F12B0F"/>
    <w:rsid w:val="6A042842"/>
    <w:rsid w:val="6A0A2437"/>
    <w:rsid w:val="6A10568B"/>
    <w:rsid w:val="6A31115D"/>
    <w:rsid w:val="6A465B64"/>
    <w:rsid w:val="6A590DE0"/>
    <w:rsid w:val="6A8E7F7F"/>
    <w:rsid w:val="6AE46A29"/>
    <w:rsid w:val="6AEF5059"/>
    <w:rsid w:val="6AF631A5"/>
    <w:rsid w:val="6AF9611F"/>
    <w:rsid w:val="6B016D82"/>
    <w:rsid w:val="6B0A127C"/>
    <w:rsid w:val="6B1765A5"/>
    <w:rsid w:val="6B1E16E2"/>
    <w:rsid w:val="6B282560"/>
    <w:rsid w:val="6B3E7FD6"/>
    <w:rsid w:val="6B407C2A"/>
    <w:rsid w:val="6B59096C"/>
    <w:rsid w:val="6B731601"/>
    <w:rsid w:val="6B9419A4"/>
    <w:rsid w:val="6BBF01A7"/>
    <w:rsid w:val="6BC85664"/>
    <w:rsid w:val="6BC93D43"/>
    <w:rsid w:val="6BE742BF"/>
    <w:rsid w:val="6BF40694"/>
    <w:rsid w:val="6BFD579B"/>
    <w:rsid w:val="6C070CD8"/>
    <w:rsid w:val="6C2D1DB5"/>
    <w:rsid w:val="6C2D7DDF"/>
    <w:rsid w:val="6C305B70"/>
    <w:rsid w:val="6C5B062A"/>
    <w:rsid w:val="6C6920F9"/>
    <w:rsid w:val="6C8639E2"/>
    <w:rsid w:val="6CB87914"/>
    <w:rsid w:val="6CCB7647"/>
    <w:rsid w:val="6CCE6BEC"/>
    <w:rsid w:val="6CCF70C6"/>
    <w:rsid w:val="6CDF2E4F"/>
    <w:rsid w:val="6CE10822"/>
    <w:rsid w:val="6CE85D33"/>
    <w:rsid w:val="6D0A4613"/>
    <w:rsid w:val="6D1A412B"/>
    <w:rsid w:val="6D276ECA"/>
    <w:rsid w:val="6D4C4C2C"/>
    <w:rsid w:val="6D527D69"/>
    <w:rsid w:val="6D6C2BD8"/>
    <w:rsid w:val="6D7460C3"/>
    <w:rsid w:val="6D7E290C"/>
    <w:rsid w:val="6D883722"/>
    <w:rsid w:val="6D97577B"/>
    <w:rsid w:val="6DA53394"/>
    <w:rsid w:val="6DF130DE"/>
    <w:rsid w:val="6E1B09D5"/>
    <w:rsid w:val="6E1F7C4B"/>
    <w:rsid w:val="6E443B55"/>
    <w:rsid w:val="6E4E2F9D"/>
    <w:rsid w:val="6E5A6ED5"/>
    <w:rsid w:val="6E5B49FB"/>
    <w:rsid w:val="6E71421E"/>
    <w:rsid w:val="6E7373D9"/>
    <w:rsid w:val="6E7A30D3"/>
    <w:rsid w:val="6E7C1EA5"/>
    <w:rsid w:val="6E8D4462"/>
    <w:rsid w:val="6EA168B2"/>
    <w:rsid w:val="6EB26D11"/>
    <w:rsid w:val="6EBB2BDF"/>
    <w:rsid w:val="6EC407F2"/>
    <w:rsid w:val="6ECF6577"/>
    <w:rsid w:val="6EDA0016"/>
    <w:rsid w:val="6EE51C69"/>
    <w:rsid w:val="6F121C91"/>
    <w:rsid w:val="6F3C2815"/>
    <w:rsid w:val="6F55769C"/>
    <w:rsid w:val="6F57461C"/>
    <w:rsid w:val="6F830281"/>
    <w:rsid w:val="6F986CC8"/>
    <w:rsid w:val="6F9F6319"/>
    <w:rsid w:val="6FA04DBB"/>
    <w:rsid w:val="6FBA38B6"/>
    <w:rsid w:val="6FBF710B"/>
    <w:rsid w:val="6FCC5BB0"/>
    <w:rsid w:val="6FD131C7"/>
    <w:rsid w:val="6FD8191A"/>
    <w:rsid w:val="6FDB5DF3"/>
    <w:rsid w:val="6FE23626"/>
    <w:rsid w:val="6FE335BD"/>
    <w:rsid w:val="702E23C7"/>
    <w:rsid w:val="7047792D"/>
    <w:rsid w:val="70512559"/>
    <w:rsid w:val="70514307"/>
    <w:rsid w:val="70A17D74"/>
    <w:rsid w:val="70A6170B"/>
    <w:rsid w:val="70B5404A"/>
    <w:rsid w:val="70B825D8"/>
    <w:rsid w:val="70C8281B"/>
    <w:rsid w:val="70D021EC"/>
    <w:rsid w:val="70E76A1A"/>
    <w:rsid w:val="71035A81"/>
    <w:rsid w:val="71155335"/>
    <w:rsid w:val="716360A0"/>
    <w:rsid w:val="718C1A9B"/>
    <w:rsid w:val="71A861A9"/>
    <w:rsid w:val="71C22409"/>
    <w:rsid w:val="71E573FD"/>
    <w:rsid w:val="71ED1E0E"/>
    <w:rsid w:val="72037883"/>
    <w:rsid w:val="722E794B"/>
    <w:rsid w:val="723B6DC2"/>
    <w:rsid w:val="727B1AA4"/>
    <w:rsid w:val="727C18CB"/>
    <w:rsid w:val="727F01CB"/>
    <w:rsid w:val="72842772"/>
    <w:rsid w:val="72C9287B"/>
    <w:rsid w:val="72D471FB"/>
    <w:rsid w:val="72D8187A"/>
    <w:rsid w:val="72DE6D6E"/>
    <w:rsid w:val="72FC0D37"/>
    <w:rsid w:val="7321692F"/>
    <w:rsid w:val="73267AE8"/>
    <w:rsid w:val="733B7ABC"/>
    <w:rsid w:val="737E18B7"/>
    <w:rsid w:val="737E5413"/>
    <w:rsid w:val="73B76B77"/>
    <w:rsid w:val="73BC23E0"/>
    <w:rsid w:val="73C31078"/>
    <w:rsid w:val="73C919C7"/>
    <w:rsid w:val="73D43285"/>
    <w:rsid w:val="73FB1E5F"/>
    <w:rsid w:val="740706A3"/>
    <w:rsid w:val="74446F14"/>
    <w:rsid w:val="74597C2E"/>
    <w:rsid w:val="7461016E"/>
    <w:rsid w:val="74922A06"/>
    <w:rsid w:val="749D7B1B"/>
    <w:rsid w:val="74A51C50"/>
    <w:rsid w:val="74C432FA"/>
    <w:rsid w:val="74EE65C9"/>
    <w:rsid w:val="74F05224"/>
    <w:rsid w:val="74F14535"/>
    <w:rsid w:val="750A647B"/>
    <w:rsid w:val="7544268D"/>
    <w:rsid w:val="75660855"/>
    <w:rsid w:val="75735762"/>
    <w:rsid w:val="7581743D"/>
    <w:rsid w:val="7589009F"/>
    <w:rsid w:val="758D4034"/>
    <w:rsid w:val="75A66EA3"/>
    <w:rsid w:val="75A849CA"/>
    <w:rsid w:val="75AD0BD6"/>
    <w:rsid w:val="75AD3D8E"/>
    <w:rsid w:val="75AF5D58"/>
    <w:rsid w:val="75D532E5"/>
    <w:rsid w:val="761B1C9E"/>
    <w:rsid w:val="761D53B8"/>
    <w:rsid w:val="76360227"/>
    <w:rsid w:val="76767CB6"/>
    <w:rsid w:val="768115E7"/>
    <w:rsid w:val="769E7B7B"/>
    <w:rsid w:val="76A25AB4"/>
    <w:rsid w:val="76AD203F"/>
    <w:rsid w:val="76C4564F"/>
    <w:rsid w:val="76E1263F"/>
    <w:rsid w:val="76E71638"/>
    <w:rsid w:val="76F22B03"/>
    <w:rsid w:val="76F23CED"/>
    <w:rsid w:val="77460CC4"/>
    <w:rsid w:val="777F44E9"/>
    <w:rsid w:val="77846D70"/>
    <w:rsid w:val="778E5E41"/>
    <w:rsid w:val="77A93E46"/>
    <w:rsid w:val="77C90C27"/>
    <w:rsid w:val="77DB696C"/>
    <w:rsid w:val="780277F0"/>
    <w:rsid w:val="78191BAF"/>
    <w:rsid w:val="781A2881"/>
    <w:rsid w:val="78482494"/>
    <w:rsid w:val="786A240A"/>
    <w:rsid w:val="787068C8"/>
    <w:rsid w:val="7879089F"/>
    <w:rsid w:val="78857244"/>
    <w:rsid w:val="788A485A"/>
    <w:rsid w:val="788F1E71"/>
    <w:rsid w:val="78AA2807"/>
    <w:rsid w:val="78B673FD"/>
    <w:rsid w:val="78CE0BEB"/>
    <w:rsid w:val="78D15FE5"/>
    <w:rsid w:val="78E24696"/>
    <w:rsid w:val="78EF2FCA"/>
    <w:rsid w:val="78F87A16"/>
    <w:rsid w:val="790120F5"/>
    <w:rsid w:val="79020895"/>
    <w:rsid w:val="790243F1"/>
    <w:rsid w:val="79216A1F"/>
    <w:rsid w:val="794819FF"/>
    <w:rsid w:val="79492020"/>
    <w:rsid w:val="79515378"/>
    <w:rsid w:val="796B5873"/>
    <w:rsid w:val="796C55CA"/>
    <w:rsid w:val="797439F5"/>
    <w:rsid w:val="79797086"/>
    <w:rsid w:val="797A2096"/>
    <w:rsid w:val="798017B9"/>
    <w:rsid w:val="798C03A0"/>
    <w:rsid w:val="79B74A9C"/>
    <w:rsid w:val="79B80F53"/>
    <w:rsid w:val="79BD1032"/>
    <w:rsid w:val="79DC7338"/>
    <w:rsid w:val="79DE4E5E"/>
    <w:rsid w:val="7A0862E4"/>
    <w:rsid w:val="7A124B07"/>
    <w:rsid w:val="7A1268B5"/>
    <w:rsid w:val="7A262361"/>
    <w:rsid w:val="7A330376"/>
    <w:rsid w:val="7A583B2A"/>
    <w:rsid w:val="7A81764C"/>
    <w:rsid w:val="7A85177D"/>
    <w:rsid w:val="7AB4068A"/>
    <w:rsid w:val="7AB4796D"/>
    <w:rsid w:val="7AC51B7A"/>
    <w:rsid w:val="7ACE655D"/>
    <w:rsid w:val="7B321981"/>
    <w:rsid w:val="7B366E6B"/>
    <w:rsid w:val="7B38059E"/>
    <w:rsid w:val="7B38234C"/>
    <w:rsid w:val="7B580DFE"/>
    <w:rsid w:val="7B922DFD"/>
    <w:rsid w:val="7BA4737C"/>
    <w:rsid w:val="7BB8348D"/>
    <w:rsid w:val="7BC938EC"/>
    <w:rsid w:val="7C044924"/>
    <w:rsid w:val="7C2154D6"/>
    <w:rsid w:val="7C520A0E"/>
    <w:rsid w:val="7C5228EC"/>
    <w:rsid w:val="7C6C5B5B"/>
    <w:rsid w:val="7C6F4C63"/>
    <w:rsid w:val="7C703D67"/>
    <w:rsid w:val="7C706380"/>
    <w:rsid w:val="7C8B6DF3"/>
    <w:rsid w:val="7C8D0366"/>
    <w:rsid w:val="7C9E7D0F"/>
    <w:rsid w:val="7CB579CC"/>
    <w:rsid w:val="7CB963F3"/>
    <w:rsid w:val="7CCA3477"/>
    <w:rsid w:val="7CD10CAA"/>
    <w:rsid w:val="7CE17DF9"/>
    <w:rsid w:val="7CE54755"/>
    <w:rsid w:val="7CE6437A"/>
    <w:rsid w:val="7D056BA5"/>
    <w:rsid w:val="7D1D270C"/>
    <w:rsid w:val="7D2708CA"/>
    <w:rsid w:val="7D4551F4"/>
    <w:rsid w:val="7D584F27"/>
    <w:rsid w:val="7D624406"/>
    <w:rsid w:val="7DB3215D"/>
    <w:rsid w:val="7DD520D4"/>
    <w:rsid w:val="7DDC2D72"/>
    <w:rsid w:val="7DED391C"/>
    <w:rsid w:val="7DF804B8"/>
    <w:rsid w:val="7E635932"/>
    <w:rsid w:val="7E834226"/>
    <w:rsid w:val="7E9E2E0E"/>
    <w:rsid w:val="7E9E696A"/>
    <w:rsid w:val="7EA8227B"/>
    <w:rsid w:val="7EC16AFC"/>
    <w:rsid w:val="7EED2D33"/>
    <w:rsid w:val="7F0C311D"/>
    <w:rsid w:val="7F1B620C"/>
    <w:rsid w:val="7F337740"/>
    <w:rsid w:val="7F475253"/>
    <w:rsid w:val="7F637BB3"/>
    <w:rsid w:val="7F6C2F0C"/>
    <w:rsid w:val="7F6C60C6"/>
    <w:rsid w:val="7F955427"/>
    <w:rsid w:val="7F963AE5"/>
    <w:rsid w:val="7FA04963"/>
    <w:rsid w:val="7FA206DC"/>
    <w:rsid w:val="7FAF1655"/>
    <w:rsid w:val="7FC00B62"/>
    <w:rsid w:val="7FEA19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4"/>
      <w:lang w:val="en-US" w:eastAsia="zh-CN" w:bidi="ar-SA"/>
    </w:rPr>
  </w:style>
  <w:style w:type="paragraph" w:styleId="3">
    <w:name w:val="heading 1"/>
    <w:basedOn w:val="1"/>
    <w:next w:val="1"/>
    <w:qFormat/>
    <w:uiPriority w:val="0"/>
    <w:pPr>
      <w:keepNext/>
      <w:keepLines/>
      <w:spacing w:before="340" w:after="330" w:line="360" w:lineRule="auto"/>
      <w:outlineLvl w:val="0"/>
    </w:pPr>
    <w:rPr>
      <w:b/>
      <w:bCs/>
      <w:kern w:val="44"/>
      <w:sz w:val="36"/>
      <w:szCs w:val="44"/>
    </w:rPr>
  </w:style>
  <w:style w:type="paragraph" w:styleId="4">
    <w:name w:val="heading 2"/>
    <w:basedOn w:val="1"/>
    <w:next w:val="1"/>
    <w:link w:val="22"/>
    <w:unhideWhenUsed/>
    <w:qFormat/>
    <w:uiPriority w:val="9"/>
    <w:pPr>
      <w:keepNext/>
      <w:keepLines/>
      <w:spacing w:line="560" w:lineRule="exact"/>
      <w:ind w:firstLine="200" w:firstLineChars="200"/>
      <w:outlineLvl w:val="1"/>
    </w:pPr>
    <w:rPr>
      <w:rFonts w:eastAsia="方正楷体_GB2312" w:asciiTheme="majorHAnsi" w:hAnsiTheme="majorHAnsi" w:cstheme="majorBidi"/>
      <w:b/>
      <w:bCs/>
      <w:szCs w:val="32"/>
    </w:rPr>
  </w:style>
  <w:style w:type="paragraph" w:styleId="5">
    <w:name w:val="heading 3"/>
    <w:basedOn w:val="1"/>
    <w:next w:val="1"/>
    <w:unhideWhenUsed/>
    <w:qFormat/>
    <w:uiPriority w:val="0"/>
    <w:pPr>
      <w:keepNext/>
      <w:keepLines/>
      <w:spacing w:before="260" w:after="260" w:line="416" w:lineRule="auto"/>
      <w:outlineLvl w:val="2"/>
    </w:pPr>
    <w:rPr>
      <w:b/>
      <w:bCs/>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1"/>
    <w:qFormat/>
    <w:uiPriority w:val="99"/>
    <w:pPr>
      <w:spacing w:after="120"/>
    </w:pPr>
    <w:rPr>
      <w:sz w:val="24"/>
    </w:rPr>
  </w:style>
  <w:style w:type="paragraph" w:styleId="6">
    <w:name w:val="annotation text"/>
    <w:basedOn w:val="1"/>
    <w:link w:val="23"/>
    <w:semiHidden/>
    <w:qFormat/>
    <w:uiPriority w:val="0"/>
    <w:pPr>
      <w:jc w:val="left"/>
    </w:pPr>
  </w:style>
  <w:style w:type="paragraph" w:styleId="7">
    <w:name w:val="Balloon Text"/>
    <w:basedOn w:val="1"/>
    <w:link w:val="24"/>
    <w:qFormat/>
    <w:uiPriority w:val="0"/>
    <w:rPr>
      <w:sz w:val="18"/>
      <w:szCs w:val="18"/>
    </w:rPr>
  </w:style>
  <w:style w:type="paragraph" w:styleId="8">
    <w:name w:val="footer"/>
    <w:basedOn w:val="1"/>
    <w:link w:val="25"/>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4"/>
    <w:next w:val="1"/>
    <w:qFormat/>
    <w:uiPriority w:val="0"/>
    <w:pPr>
      <w:widowControl w:val="0"/>
      <w:ind w:left="1260"/>
      <w:jc w:val="both"/>
    </w:pPr>
    <w:rPr>
      <w:rFonts w:ascii="黑体" w:hAnsi="Calibri" w:eastAsia="黑体" w:cs="Times New Roman"/>
      <w:kern w:val="2"/>
      <w:sz w:val="32"/>
      <w:szCs w:val="32"/>
      <w:lang w:val="en-US" w:eastAsia="zh-CN" w:bidi="ar-SA"/>
    </w:rPr>
  </w:style>
  <w:style w:type="paragraph" w:styleId="11">
    <w:name w:val="Subtitle"/>
    <w:basedOn w:val="1"/>
    <w:next w:val="1"/>
    <w:qFormat/>
    <w:uiPriority w:val="0"/>
    <w:pPr>
      <w:spacing w:before="240" w:after="60" w:line="312" w:lineRule="auto"/>
      <w:jc w:val="center"/>
      <w:outlineLvl w:val="1"/>
    </w:pPr>
    <w:rPr>
      <w:rFonts w:ascii="Calibri Light" w:hAnsi="Calibri Light"/>
      <w:b/>
      <w:bCs/>
      <w:kern w:val="28"/>
      <w:szCs w:val="32"/>
    </w:r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annotation subject"/>
    <w:basedOn w:val="6"/>
    <w:next w:val="6"/>
    <w:link w:val="26"/>
    <w:qFormat/>
    <w:uiPriority w:val="0"/>
    <w:rPr>
      <w:b/>
      <w:bCs/>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page number"/>
    <w:basedOn w:val="16"/>
    <w:qFormat/>
    <w:uiPriority w:val="0"/>
  </w:style>
  <w:style w:type="character" w:styleId="19">
    <w:name w:val="annotation reference"/>
    <w:basedOn w:val="16"/>
    <w:qFormat/>
    <w:uiPriority w:val="0"/>
    <w:rPr>
      <w:sz w:val="21"/>
      <w:szCs w:val="21"/>
    </w:rPr>
  </w:style>
  <w:style w:type="paragraph" w:customStyle="1" w:styleId="20">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21">
    <w:name w:val="正文文本 字符"/>
    <w:basedOn w:val="16"/>
    <w:link w:val="2"/>
    <w:qFormat/>
    <w:uiPriority w:val="99"/>
    <w:rPr>
      <w:rFonts w:eastAsia="仿宋" w:asciiTheme="minorHAnsi" w:hAnsiTheme="minorHAnsi" w:cstheme="minorBidi"/>
      <w:kern w:val="2"/>
      <w:sz w:val="24"/>
      <w:szCs w:val="24"/>
    </w:rPr>
  </w:style>
  <w:style w:type="character" w:customStyle="1" w:styleId="22">
    <w:name w:val="标题 2 字符"/>
    <w:basedOn w:val="16"/>
    <w:link w:val="4"/>
    <w:qFormat/>
    <w:uiPriority w:val="9"/>
    <w:rPr>
      <w:rFonts w:eastAsia="方正楷体_GB2312" w:asciiTheme="majorHAnsi" w:hAnsiTheme="majorHAnsi" w:cstheme="majorBidi"/>
      <w:b/>
      <w:bCs/>
      <w:kern w:val="2"/>
      <w:sz w:val="32"/>
      <w:szCs w:val="32"/>
    </w:rPr>
  </w:style>
  <w:style w:type="character" w:customStyle="1" w:styleId="23">
    <w:name w:val="批注文字 字符"/>
    <w:basedOn w:val="16"/>
    <w:link w:val="6"/>
    <w:semiHidden/>
    <w:qFormat/>
    <w:uiPriority w:val="0"/>
    <w:rPr>
      <w:rFonts w:asciiTheme="minorHAnsi" w:hAnsiTheme="minorHAnsi" w:eastAsiaTheme="minorEastAsia" w:cstheme="minorBidi"/>
      <w:kern w:val="2"/>
      <w:sz w:val="21"/>
      <w:szCs w:val="24"/>
    </w:rPr>
  </w:style>
  <w:style w:type="character" w:customStyle="1" w:styleId="24">
    <w:name w:val="批注框文本 字符"/>
    <w:basedOn w:val="16"/>
    <w:link w:val="7"/>
    <w:qFormat/>
    <w:uiPriority w:val="0"/>
    <w:rPr>
      <w:rFonts w:asciiTheme="minorHAnsi" w:hAnsiTheme="minorHAnsi" w:eastAsiaTheme="minorEastAsia" w:cstheme="minorBidi"/>
      <w:kern w:val="2"/>
      <w:sz w:val="18"/>
      <w:szCs w:val="18"/>
    </w:rPr>
  </w:style>
  <w:style w:type="character" w:customStyle="1" w:styleId="25">
    <w:name w:val="页脚 字符"/>
    <w:basedOn w:val="16"/>
    <w:link w:val="8"/>
    <w:qFormat/>
    <w:uiPriority w:val="99"/>
    <w:rPr>
      <w:rFonts w:eastAsia="仿宋" w:asciiTheme="minorHAnsi" w:hAnsiTheme="minorHAnsi" w:cstheme="minorBidi"/>
      <w:kern w:val="2"/>
      <w:sz w:val="18"/>
      <w:szCs w:val="24"/>
    </w:rPr>
  </w:style>
  <w:style w:type="character" w:customStyle="1" w:styleId="26">
    <w:name w:val="批注主题 字符"/>
    <w:basedOn w:val="23"/>
    <w:link w:val="13"/>
    <w:qFormat/>
    <w:uiPriority w:val="0"/>
    <w:rPr>
      <w:rFonts w:asciiTheme="minorHAnsi" w:hAnsiTheme="minorHAnsi" w:eastAsiaTheme="minorEastAsia" w:cstheme="minorBidi"/>
      <w:b/>
      <w:bCs/>
      <w:kern w:val="2"/>
      <w:sz w:val="21"/>
      <w:szCs w:val="24"/>
    </w:rPr>
  </w:style>
  <w:style w:type="paragraph" w:styleId="27">
    <w:name w:val="List Paragraph"/>
    <w:basedOn w:val="1"/>
    <w:unhideWhenUsed/>
    <w:qFormat/>
    <w:uiPriority w:val="99"/>
    <w:pPr>
      <w:ind w:firstLine="420" w:firstLineChars="200"/>
    </w:pPr>
  </w:style>
  <w:style w:type="character" w:customStyle="1" w:styleId="28">
    <w:name w:val="font21"/>
    <w:basedOn w:val="16"/>
    <w:qFormat/>
    <w:uiPriority w:val="0"/>
    <w:rPr>
      <w:rFonts w:ascii="仿宋_GB2312" w:eastAsia="仿宋_GB2312" w:cs="仿宋_GB2312"/>
      <w:b/>
      <w:color w:val="000000"/>
      <w:sz w:val="21"/>
      <w:szCs w:val="21"/>
      <w:u w:val="none"/>
    </w:rPr>
  </w:style>
  <w:style w:type="character" w:customStyle="1" w:styleId="29">
    <w:name w:val="font11"/>
    <w:basedOn w:val="16"/>
    <w:qFormat/>
    <w:uiPriority w:val="0"/>
    <w:rPr>
      <w:rFonts w:hint="default" w:ascii="仿宋_GB2312" w:eastAsia="仿宋_GB2312" w:cs="仿宋_GB2312"/>
      <w:color w:val="000000"/>
      <w:sz w:val="21"/>
      <w:szCs w:val="21"/>
      <w:u w:val="none"/>
    </w:rPr>
  </w:style>
  <w:style w:type="character" w:customStyle="1" w:styleId="30">
    <w:name w:val="font61"/>
    <w:basedOn w:val="16"/>
    <w:qFormat/>
    <w:uiPriority w:val="0"/>
    <w:rPr>
      <w:rFonts w:hint="eastAsia" w:ascii="宋体" w:hAnsi="宋体" w:eastAsia="宋体" w:cs="宋体"/>
      <w:color w:val="000000"/>
      <w:sz w:val="21"/>
      <w:szCs w:val="21"/>
      <w:u w:val="none"/>
    </w:rPr>
  </w:style>
  <w:style w:type="character" w:customStyle="1" w:styleId="31">
    <w:name w:val="font71"/>
    <w:basedOn w:val="16"/>
    <w:qFormat/>
    <w:uiPriority w:val="0"/>
    <w:rPr>
      <w:rFonts w:hint="default" w:ascii="Times New Roman" w:hAnsi="Times New Roman" w:cs="Times New Roman"/>
      <w:color w:val="000000"/>
      <w:sz w:val="21"/>
      <w:szCs w:val="21"/>
      <w:u w:val="none"/>
    </w:rPr>
  </w:style>
  <w:style w:type="character" w:customStyle="1" w:styleId="32">
    <w:name w:val="font31"/>
    <w:basedOn w:val="16"/>
    <w:qFormat/>
    <w:uiPriority w:val="0"/>
    <w:rPr>
      <w:rFonts w:hint="eastAsia" w:ascii="宋体" w:hAnsi="宋体" w:eastAsia="宋体" w:cs="宋体"/>
      <w:color w:val="000000"/>
      <w:sz w:val="21"/>
      <w:szCs w:val="21"/>
      <w:u w:val="none"/>
    </w:rPr>
  </w:style>
  <w:style w:type="character" w:customStyle="1" w:styleId="33">
    <w:name w:val="font51"/>
    <w:basedOn w:val="16"/>
    <w:qFormat/>
    <w:uiPriority w:val="0"/>
    <w:rPr>
      <w:rFonts w:hint="default" w:ascii="Times New Roman" w:hAnsi="Times New Roman" w:cs="Times New Roman"/>
      <w:color w:val="000000"/>
      <w:sz w:val="21"/>
      <w:szCs w:val="21"/>
      <w:u w:val="none"/>
    </w:rPr>
  </w:style>
  <w:style w:type="character" w:customStyle="1" w:styleId="34">
    <w:name w:val="font41"/>
    <w:basedOn w:val="16"/>
    <w:qFormat/>
    <w:uiPriority w:val="0"/>
    <w:rPr>
      <w:rFonts w:hint="eastAsia" w:ascii="宋体" w:hAnsi="宋体" w:eastAsia="宋体" w:cs="宋体"/>
      <w:color w:val="000000"/>
      <w:sz w:val="21"/>
      <w:szCs w:val="21"/>
      <w:u w:val="none"/>
    </w:rPr>
  </w:style>
  <w:style w:type="character" w:customStyle="1" w:styleId="35">
    <w:name w:val="font81"/>
    <w:basedOn w:val="16"/>
    <w:qFormat/>
    <w:uiPriority w:val="0"/>
    <w:rPr>
      <w:rFonts w:hint="eastAsia" w:ascii="宋体" w:hAnsi="宋体" w:eastAsia="宋体" w:cs="宋体"/>
      <w:color w:val="000000"/>
      <w:sz w:val="21"/>
      <w:szCs w:val="21"/>
      <w:u w:val="none"/>
    </w:rPr>
  </w:style>
  <w:style w:type="paragraph" w:customStyle="1" w:styleId="36">
    <w:name w:val="BodyText"/>
    <w:basedOn w:val="1"/>
    <w:next w:val="1"/>
    <w:qFormat/>
    <w:uiPriority w:val="99"/>
    <w:pPr>
      <w:textAlignment w:val="baseline"/>
    </w:pPr>
    <w:rPr>
      <w:rFonts w:ascii="宋体" w:hAnsi="宋体"/>
      <w:sz w:val="30"/>
      <w:szCs w:val="30"/>
    </w:rPr>
  </w:style>
  <w:style w:type="character" w:customStyle="1" w:styleId="37">
    <w:name w:val="NormalCharacter"/>
    <w:link w:val="38"/>
    <w:semiHidden/>
    <w:qFormat/>
    <w:uiPriority w:val="0"/>
    <w:rPr>
      <w:rFonts w:ascii="Times New Roman" w:hAnsi="Times New Roman" w:eastAsia="宋体"/>
      <w:kern w:val="0"/>
      <w:sz w:val="20"/>
      <w:szCs w:val="20"/>
      <w:lang w:val="en-US" w:eastAsia="zh-CN" w:bidi="ar-SA"/>
    </w:rPr>
  </w:style>
  <w:style w:type="paragraph" w:customStyle="1" w:styleId="38">
    <w:name w:val="UserStyle_28"/>
    <w:basedOn w:val="1"/>
    <w:link w:val="37"/>
    <w:qFormat/>
    <w:uiPriority w:val="0"/>
    <w:pPr>
      <w:tabs>
        <w:tab w:val="left" w:pos="907"/>
      </w:tabs>
      <w:ind w:left="907" w:hanging="453"/>
      <w:jc w:val="both"/>
      <w:textAlignment w:val="baseline"/>
    </w:pPr>
    <w:rPr>
      <w:rFonts w:ascii="Times New Roman" w:hAnsi="Times New Roman" w:eastAsia="宋体"/>
      <w:kern w:val="0"/>
      <w:sz w:val="20"/>
      <w:szCs w:val="20"/>
      <w:lang w:val="en-US" w:eastAsia="zh-CN" w:bidi="ar-SA"/>
    </w:rPr>
  </w:style>
  <w:style w:type="paragraph" w:customStyle="1" w:styleId="39">
    <w:name w:val="公文正文"/>
    <w:basedOn w:val="1"/>
    <w:qFormat/>
    <w:uiPriority w:val="0"/>
    <w:pPr>
      <w:spacing w:line="600" w:lineRule="exact"/>
      <w:ind w:firstLine="640" w:firstLineChars="200"/>
    </w:pPr>
    <w:rPr>
      <w:rFonts w:hint="eastAsia"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E92212-304D-43E7-B73A-F0AA52D0458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21</Pages>
  <Words>9159</Words>
  <Characters>10189</Characters>
  <Lines>86</Lines>
  <Paragraphs>24</Paragraphs>
  <TotalTime>17</TotalTime>
  <ScaleCrop>false</ScaleCrop>
  <LinksUpToDate>false</LinksUpToDate>
  <CharactersWithSpaces>10359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2023-08-24T01:03:00Z</dcterms:created>
  <dc:creator>1402836399</dc:creator>
  <cp:lastModifiedBy>颜赛花</cp:lastModifiedBy>
  <cp:lastPrinted>2023-08-06T11:02:00Z</cp:lastPrinted>
  <dcterms:modified xsi:type="dcterms:W3CDTF">2023-11-02T09:13:21Z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88ACE087AC8F4B9BAFEAE9C261AD661B_13</vt:lpwstr>
  </property>
</Properties>
</file>