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</w:rPr>
        <w:t>附件</w:t>
      </w:r>
      <w:r>
        <w:rPr>
          <w:rFonts w:ascii="Times New Roman" w:hAnsi="Times New Roman" w:eastAsia="黑体"/>
          <w:kern w:val="2"/>
          <w:sz w:val="32"/>
          <w:szCs w:val="32"/>
        </w:rPr>
        <w:t>2</w:t>
      </w:r>
      <w:r>
        <w:rPr>
          <w:rFonts w:ascii="Times New Roman" w:hAnsi="Times New Roman" w:eastAsia="黑体"/>
          <w:kern w:val="2"/>
          <w:sz w:val="32"/>
          <w:szCs w:val="32"/>
        </w:rPr>
        <w:tab/>
      </w:r>
    </w:p>
    <w:p>
      <w:pPr>
        <w:spacing w:line="576" w:lineRule="exact"/>
        <w:jc w:val="center"/>
        <w:rPr>
          <w:rFonts w:ascii="Times New Roman" w:hAnsi="Times New Roman" w:eastAsia="仿宋_GB2312"/>
          <w:sz w:val="24"/>
          <w:szCs w:val="21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hAnsi="Times New Roman" w:eastAsia="仿宋_GB2312"/>
          <w:sz w:val="24"/>
          <w:szCs w:val="21"/>
        </w:rPr>
      </w:pPr>
      <w:r>
        <w:rPr>
          <w:rFonts w:hint="eastAsia" w:ascii="Times New Roman" w:hAnsi="Times New Roman" w:eastAsia="仿宋_GB2312" w:cs="仿宋_GB2312"/>
          <w:sz w:val="24"/>
          <w:szCs w:val="21"/>
        </w:rPr>
        <w:t>填报单位：浏阳市博物馆</w:t>
      </w:r>
      <w:r>
        <w:rPr>
          <w:rFonts w:ascii="Times New Roman" w:hAnsi="Times New Roman" w:eastAsia="仿宋_GB2312"/>
          <w:sz w:val="24"/>
          <w:szCs w:val="21"/>
        </w:rPr>
        <w:tab/>
      </w:r>
      <w:r>
        <w:rPr>
          <w:rFonts w:ascii="Times New Roman" w:hAnsi="Times New Roman" w:eastAsia="仿宋_GB2312"/>
          <w:sz w:val="24"/>
          <w:szCs w:val="21"/>
        </w:rPr>
        <w:tab/>
      </w:r>
      <w:r>
        <w:rPr>
          <w:rFonts w:ascii="Times New Roman" w:hAnsi="Times New Roman" w:eastAsia="仿宋_GB2312"/>
          <w:sz w:val="24"/>
          <w:szCs w:val="21"/>
        </w:rPr>
        <w:tab/>
      </w:r>
      <w:r>
        <w:rPr>
          <w:rFonts w:ascii="Times New Roman" w:hAnsi="Times New Roman" w:eastAsia="仿宋_GB2312"/>
          <w:sz w:val="24"/>
          <w:szCs w:val="21"/>
        </w:rPr>
        <w:t xml:space="preserve">           </w:t>
      </w:r>
      <w:r>
        <w:rPr>
          <w:rFonts w:hint="eastAsia" w:ascii="Times New Roman" w:hAnsi="Times New Roman" w:eastAsia="仿宋_GB2312"/>
          <w:sz w:val="24"/>
          <w:szCs w:val="21"/>
        </w:rPr>
        <w:t>单位：万元</w:t>
      </w:r>
      <w:r>
        <w:rPr>
          <w:rFonts w:ascii="Times New Roman" w:hAnsi="Times New Roman" w:eastAsia="仿宋_GB2312"/>
          <w:sz w:val="24"/>
          <w:szCs w:val="21"/>
        </w:rPr>
        <w:tab/>
      </w:r>
      <w:r>
        <w:rPr>
          <w:rFonts w:ascii="Times New Roman" w:hAnsi="Times New Roman" w:eastAsia="仿宋_GB2312"/>
          <w:sz w:val="24"/>
          <w:szCs w:val="21"/>
        </w:rPr>
        <w:tab/>
      </w:r>
      <w:r>
        <w:rPr>
          <w:rFonts w:ascii="Times New Roman" w:hAnsi="Times New Roman" w:eastAsia="仿宋_GB2312"/>
          <w:sz w:val="24"/>
          <w:szCs w:val="21"/>
        </w:rPr>
        <w:tab/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16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16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2.86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2.86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635.32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85.7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1335.48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137.36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85.7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561.12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504.62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3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、上级文物保护专项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497.96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269.74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93.72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101.38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90.94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0.37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2.09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412.62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251.19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部门整体支出预算调整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955.49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1"/>
              </w:rPr>
              <w:t>1733.01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、严格控制公务接待经费开支、范围、开支标准、不搞超规格接待。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、严格执行出差、报销审批制度，严格出差人数和天数。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、建立严控行政支出的长效机制，切实把厉行节约反对浪费条例的各项规定落到实处。</w:t>
            </w:r>
          </w:p>
        </w:tc>
      </w:tr>
    </w:tbl>
    <w:p>
      <w:pPr>
        <w:spacing w:line="360" w:lineRule="exact"/>
        <w:ind w:left="630" w:hanging="630" w:hangingChars="3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 w:cs="仿宋_GB2312"/>
          <w:sz w:val="21"/>
          <w:szCs w:val="21"/>
        </w:rPr>
        <w:t>说明：</w:t>
      </w:r>
      <w:r>
        <w:rPr>
          <w:rFonts w:ascii="Times New Roman" w:hAnsi="Times New Roman" w:eastAsia="仿宋_GB2312"/>
          <w:sz w:val="21"/>
          <w:szCs w:val="21"/>
        </w:rPr>
        <w:t>“</w:t>
      </w:r>
      <w:r>
        <w:rPr>
          <w:rFonts w:hint="eastAsia" w:ascii="Times New Roman" w:hAnsi="Times New Roman" w:eastAsia="仿宋_GB2312" w:cs="仿宋_GB2312"/>
          <w:sz w:val="21"/>
          <w:szCs w:val="21"/>
        </w:rPr>
        <w:t>项目支出</w:t>
      </w:r>
      <w:r>
        <w:rPr>
          <w:rFonts w:ascii="Times New Roman" w:hAnsi="Times New Roman" w:eastAsia="仿宋_GB2312"/>
          <w:sz w:val="21"/>
          <w:szCs w:val="21"/>
        </w:rPr>
        <w:t>”</w:t>
      </w:r>
      <w:r>
        <w:rPr>
          <w:rFonts w:hint="eastAsia" w:ascii="Times New Roman" w:hAnsi="Times New Roman" w:eastAsia="仿宋_GB2312" w:cs="仿宋_GB2312"/>
          <w:sz w:val="21"/>
          <w:szCs w:val="21"/>
        </w:rPr>
        <w:t>需要填报除公共专项资金和基本支出以外的所有项目情况，包括业务工作项目、运行维护项目等；</w:t>
      </w:r>
      <w:r>
        <w:rPr>
          <w:rFonts w:ascii="Times New Roman" w:hAnsi="Times New Roman" w:eastAsia="仿宋_GB2312"/>
          <w:sz w:val="21"/>
          <w:szCs w:val="21"/>
        </w:rPr>
        <w:t>“</w:t>
      </w:r>
      <w:r>
        <w:rPr>
          <w:rFonts w:hint="eastAsia" w:ascii="Times New Roman" w:hAnsi="Times New Roman" w:eastAsia="仿宋_GB2312" w:cs="仿宋_GB2312"/>
          <w:sz w:val="21"/>
          <w:szCs w:val="21"/>
        </w:rPr>
        <w:t>公用经费</w:t>
      </w:r>
      <w:r>
        <w:rPr>
          <w:rFonts w:ascii="Times New Roman" w:hAnsi="Times New Roman" w:eastAsia="仿宋_GB2312"/>
          <w:sz w:val="21"/>
          <w:szCs w:val="21"/>
        </w:rPr>
        <w:t>”</w:t>
      </w:r>
      <w:r>
        <w:rPr>
          <w:rFonts w:hint="eastAsia" w:ascii="Times New Roman" w:hAnsi="Times New Roman" w:eastAsia="仿宋_GB2312" w:cs="仿宋_GB2312"/>
          <w:sz w:val="21"/>
          <w:szCs w:val="21"/>
        </w:rPr>
        <w:t>填报基本支出中的一般商品和服务支出。</w:t>
      </w:r>
    </w:p>
    <w:p>
      <w:pPr>
        <w:spacing w:line="440" w:lineRule="exact"/>
        <w:ind w:left="1320" w:hanging="1320" w:hangingChars="300"/>
        <w:jc w:val="center"/>
        <w:rPr>
          <w:rFonts w:ascii="Times New Roman" w:hAnsi="Times New Roman" w:eastAsia="仿宋_GB2312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年部门整体支出绩效自评表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18"/>
          <w:szCs w:val="18"/>
        </w:rPr>
      </w:pPr>
      <w:r>
        <w:rPr>
          <w:rFonts w:hint="eastAsia" w:ascii="Times New Roman" w:hAnsi="Times New Roman" w:eastAsia="仿宋_GB2312"/>
          <w:sz w:val="18"/>
          <w:szCs w:val="18"/>
        </w:rPr>
        <w:t>单位：万元</w:t>
      </w:r>
    </w:p>
    <w:tbl>
      <w:tblPr>
        <w:tblStyle w:val="4"/>
        <w:tblW w:w="105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693"/>
        <w:gridCol w:w="2127"/>
        <w:gridCol w:w="2551"/>
        <w:gridCol w:w="651"/>
        <w:gridCol w:w="1192"/>
        <w:gridCol w:w="850"/>
        <w:gridCol w:w="426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524" w:type="dxa"/>
            <w:gridSpan w:val="2"/>
            <w:tcBorders>
              <w:top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部门（单位）名称</w:t>
            </w:r>
          </w:p>
        </w:tc>
        <w:tc>
          <w:tcPr>
            <w:tcW w:w="9030" w:type="dxa"/>
            <w:gridSpan w:val="7"/>
            <w:tcBorders>
              <w:top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浏阳市博物馆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52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整体支出规模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32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全年预算数</w:t>
            </w:r>
          </w:p>
        </w:tc>
        <w:tc>
          <w:tcPr>
            <w:tcW w:w="24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全年执行数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4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资金来源：（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）财政拨款</w:t>
            </w:r>
          </w:p>
        </w:tc>
        <w:tc>
          <w:tcPr>
            <w:tcW w:w="32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433.9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24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1695.19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390.69%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4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）其他资金</w:t>
            </w:r>
          </w:p>
        </w:tc>
        <w:tc>
          <w:tcPr>
            <w:tcW w:w="32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24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37.9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4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资金结构：（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）基本支出</w:t>
            </w:r>
          </w:p>
        </w:tc>
        <w:tc>
          <w:tcPr>
            <w:tcW w:w="32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348.2</w:t>
            </w:r>
          </w:p>
        </w:tc>
        <w:tc>
          <w:tcPr>
            <w:tcW w:w="24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397.61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114.19%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4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）项目支出</w:t>
            </w:r>
          </w:p>
        </w:tc>
        <w:tc>
          <w:tcPr>
            <w:tcW w:w="32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85.7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24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1335.48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1558.32%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体目标</w:t>
            </w:r>
          </w:p>
        </w:tc>
        <w:tc>
          <w:tcPr>
            <w:tcW w:w="5371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年初设定目标</w:t>
            </w:r>
          </w:p>
        </w:tc>
        <w:tc>
          <w:tcPr>
            <w:tcW w:w="435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371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保障博物馆正常运行和业务专项工作顺利开展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  <w:tc>
          <w:tcPr>
            <w:tcW w:w="435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各项预定目标基本实现，重点工作任务及时完成。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0554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一级指标</w:t>
            </w:r>
          </w:p>
        </w:tc>
        <w:tc>
          <w:tcPr>
            <w:tcW w:w="6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权重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二级指标</w:t>
            </w:r>
          </w:p>
        </w:tc>
        <w:tc>
          <w:tcPr>
            <w:tcW w:w="25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三级指标</w:t>
            </w:r>
          </w:p>
        </w:tc>
        <w:tc>
          <w:tcPr>
            <w:tcW w:w="1843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年度指标值</w:t>
            </w:r>
          </w:p>
        </w:tc>
        <w:tc>
          <w:tcPr>
            <w:tcW w:w="8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完成值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得分</w:t>
            </w:r>
          </w:p>
        </w:tc>
        <w:tc>
          <w:tcPr>
            <w:tcW w:w="12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指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标</w:t>
            </w:r>
          </w:p>
        </w:tc>
        <w:tc>
          <w:tcPr>
            <w:tcW w:w="6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30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预算编审管理（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相关办法规定填报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预算执行管理（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部门结转结余资金管理（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预算绩效管理（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5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预决算信息公开管理（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财政监督管理（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政府采购管理（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资产管理（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产出指标</w:t>
            </w:r>
          </w:p>
        </w:tc>
        <w:tc>
          <w:tcPr>
            <w:tcW w:w="6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25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数量指标（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年度工作任务完成率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已完成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预算执行率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399.42%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年中预算调整　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政府采购执行率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质量指标（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固定资产利用率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资金使用合规率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项目完工验收率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时效指标（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项目验收及时率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按规定时间完成验收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已完成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支付序时进度</w:t>
            </w: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一、二、三季度末支付序时进度分别达到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20%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、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50%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、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80%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成本指标（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预算调整率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kern w:val="2"/>
                <w:sz w:val="18"/>
                <w:szCs w:val="18"/>
              </w:rPr>
              <w:t>399.42%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年中预算调整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公用经费控制率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89.7%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三公经费控制率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82%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45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经济效益指标（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促进旅游产业发展与地方经济结构调整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社会效益指标（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圆满完成了全年的社科教育活动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通过文物的传统文化教育和爱国主义教育，影响大众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生态效益指标（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促进社会文化环境品质的提升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可持续影响指标（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持续促进文化遗产得到完整保护、传承和发展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提高</w:t>
            </w:r>
          </w:p>
        </w:tc>
        <w:tc>
          <w:tcPr>
            <w:tcW w:w="850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提高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123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文博</w:t>
            </w: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资源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可持续引导</w:t>
            </w:r>
          </w:p>
        </w:tc>
        <w:tc>
          <w:tcPr>
            <w:tcW w:w="850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不断丰富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123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满意度指标（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）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游客满意度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98%</w:t>
            </w:r>
          </w:p>
        </w:tc>
        <w:tc>
          <w:tcPr>
            <w:tcW w:w="42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12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总</w:t>
            </w: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分</w:t>
            </w:r>
          </w:p>
        </w:tc>
        <w:tc>
          <w:tcPr>
            <w:tcW w:w="5244" w:type="dxa"/>
            <w:gridSpan w:val="4"/>
            <w:tcBorders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2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96</w:t>
            </w:r>
          </w:p>
        </w:tc>
        <w:tc>
          <w:tcPr>
            <w:tcW w:w="1233" w:type="dxa"/>
            <w:tcBorders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1490" w:leftChars="1" w:hanging="1483" w:hangingChars="824"/>
        <w:rPr>
          <w:rFonts w:ascii="Times New Roman" w:hAnsi="Times New Roman" w:eastAsia="楷体_GB2312"/>
          <w:sz w:val="18"/>
          <w:szCs w:val="18"/>
        </w:rPr>
      </w:pPr>
      <w:r>
        <w:rPr>
          <w:rFonts w:hint="eastAsia" w:ascii="Times New Roman" w:hAnsi="Times New Roman" w:eastAsia="楷体_GB2312" w:cs="楷体_GB2312"/>
          <w:sz w:val="18"/>
          <w:szCs w:val="18"/>
        </w:rPr>
        <w:t>注：</w:t>
      </w:r>
      <w:r>
        <w:rPr>
          <w:rFonts w:hint="eastAsia" w:ascii="Times New Roman" w:hAnsi="Times New Roman" w:eastAsia="楷体_GB2312" w:cs="楷体_GB2312"/>
          <w:spacing w:val="-4"/>
          <w:sz w:val="18"/>
          <w:szCs w:val="18"/>
        </w:rPr>
        <w:t>上述产出指标和效益指标既可以按照重点任务完成情况分别填列，也可以依据所有重点任务归纳提炼综合指标。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方正小标宋简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年项目支出绩效自评表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</w:rPr>
        <w:t>单位：万元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12"/>
        <w:gridCol w:w="1544"/>
        <w:gridCol w:w="1738"/>
        <w:gridCol w:w="1096"/>
        <w:gridCol w:w="972"/>
        <w:gridCol w:w="560"/>
        <w:gridCol w:w="731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项目支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出名称</w:t>
            </w:r>
          </w:p>
        </w:tc>
        <w:tc>
          <w:tcPr>
            <w:tcW w:w="896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博物馆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年度运行经费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主管部门</w:t>
            </w:r>
          </w:p>
        </w:tc>
        <w:tc>
          <w:tcPr>
            <w:tcW w:w="524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浏阳市文化旅游广电体育局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实施单位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浏阳市博物馆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项目资金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预算数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预算数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执行数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分值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年度资金总额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274.22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274.22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其中：当年财政拨款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274.22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274.22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上年结转资金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年度总体目标</w:t>
            </w:r>
          </w:p>
        </w:tc>
        <w:tc>
          <w:tcPr>
            <w:tcW w:w="524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预期目标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5242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保障博物馆场馆正常开放，年接待参观者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万人，其中青少年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万人，政务接待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次。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保障博物馆场馆正常开放，年接待参观者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14.46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万人，其中青少年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5.97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万人，政务接待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117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指标值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完成值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数量指标（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年接待参观者人次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4万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14.46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年接待青少年人次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5.5万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5.97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年政务接待次数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次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117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质量指标（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环境舒适、水电、燃气正常供应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免费开放，设施设备正常使用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时效指标（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任务完成时间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日前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日前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成本指标（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新馆运行经费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274.22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万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274.22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经济效益指标（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促进旅游产业发展与地方经济结构调整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社会效益指标（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圆满完成了全年的社科教育活动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通过文物的传统文化教育和爱国主义教育，影响大众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生态效益指标（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促进社会文化环境品质的提升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可持续影响指标（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文博</w:t>
            </w: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资源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可持续引导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不断丰富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服务对象满意度指标（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游客满意度</w:t>
            </w:r>
          </w:p>
        </w:tc>
        <w:tc>
          <w:tcPr>
            <w:tcW w:w="113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995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98%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总分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98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方正小标宋简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年项目支出绩效自评表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</w:rPr>
        <w:t>单位：万元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46"/>
        <w:gridCol w:w="1410"/>
        <w:gridCol w:w="1728"/>
        <w:gridCol w:w="1080"/>
        <w:gridCol w:w="1085"/>
        <w:gridCol w:w="604"/>
        <w:gridCol w:w="75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项目支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出名称</w:t>
            </w:r>
          </w:p>
        </w:tc>
        <w:tc>
          <w:tcPr>
            <w:tcW w:w="906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博物馆场馆租赁经费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主管部门</w:t>
            </w:r>
          </w:p>
        </w:tc>
        <w:tc>
          <w:tcPr>
            <w:tcW w:w="52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浏阳市文化旅游广电体育局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实施单位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浏阳市博物馆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项目资金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（万元）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预算数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预算数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执行数</w:t>
            </w:r>
          </w:p>
        </w:tc>
        <w:tc>
          <w:tcPr>
            <w:tcW w:w="6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分值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执行率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年度资金总额　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其中：当年财政拨款　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21" w:type="dxa"/>
          </w:tcPr>
          <w:p>
            <w:pPr>
              <w:jc w:val="center"/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</w:p>
        </w:tc>
        <w:tc>
          <w:tcPr>
            <w:tcW w:w="1121" w:type="dxa"/>
          </w:tcPr>
          <w:p>
            <w:pPr>
              <w:jc w:val="center"/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上年结转资金　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其他资金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年度总体目标</w:t>
            </w:r>
          </w:p>
        </w:tc>
        <w:tc>
          <w:tcPr>
            <w:tcW w:w="52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预期目标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保障场馆全年正常使用。　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场馆全年正常使用。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标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指标值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完成值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得分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产出指标</w:t>
            </w:r>
          </w:p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)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数量指标（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场馆使用天数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全年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全年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质量指标（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场馆正常使用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正常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正常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时效指标（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任务完成时间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日前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日前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成本指标（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租赁费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230.4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促进旅游产业发展与地方经济结构调整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达到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达到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提供舒适的参观环境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提供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提供</w:t>
            </w:r>
          </w:p>
        </w:tc>
        <w:tc>
          <w:tcPr>
            <w:tcW w:w="61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促进社会文化环境品质的提升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可持续影响指标（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文博</w:t>
            </w: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资源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可持续引导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不断丰富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服务对象满意度指标（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游客满意度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121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98%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1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98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方正小标宋简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年项目支出绩效自评表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</w:rPr>
        <w:t>单位：万元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63"/>
        <w:gridCol w:w="1623"/>
        <w:gridCol w:w="1794"/>
        <w:gridCol w:w="1086"/>
        <w:gridCol w:w="1086"/>
        <w:gridCol w:w="636"/>
        <w:gridCol w:w="636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出名称</w:t>
            </w:r>
          </w:p>
        </w:tc>
        <w:tc>
          <w:tcPr>
            <w:tcW w:w="881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博物馆基本陈列展览（含临展）经费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3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主管部门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浏阳市文化旅游广电体育局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实施单位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浏阳市博物馆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执行数</w:t>
            </w:r>
          </w:p>
        </w:tc>
        <w:tc>
          <w:tcPr>
            <w:tcW w:w="6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执行率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年度资金总额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其中：当年财政拨款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上年结转资金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其他资金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年度总体目标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预期目标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完成新馆基本陈列及文物征集工作，新增藏品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件套，丰富藏品量。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保障了新馆基本陈列及文物征集工作，新增藏品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余件套，丰富藏品量。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一级指标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二级指标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完成值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得分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产出指标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数量指标（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新增藏品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件套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302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件套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质量指标（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藏品完成入库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完成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完成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专家征集建议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提供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提供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时效指标（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任务完成时间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日前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日前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成本指标（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完成新馆基本陈列及文物征集工作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≤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311.76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效益指标（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经济效益指标（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促进旅游产业发展与地方经济结构调整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社会效益指标（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丰富藏品馆藏量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通过文物的传统文化教育和爱国主义教育，满足群众的精神文化需求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生态效益指标（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促进社会文化环境品质的提升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达到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可持续影响指标（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丰富文博资源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可持续引导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不断丰富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服务对象满意度指标（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游客满意度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98%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总分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97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方正小标宋简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年项目支出绩效自评表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</w:rPr>
        <w:t>单位：万元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05"/>
        <w:gridCol w:w="1581"/>
        <w:gridCol w:w="2001"/>
        <w:gridCol w:w="1029"/>
        <w:gridCol w:w="1029"/>
        <w:gridCol w:w="612"/>
        <w:gridCol w:w="63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出名称</w:t>
            </w:r>
          </w:p>
        </w:tc>
        <w:tc>
          <w:tcPr>
            <w:tcW w:w="884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浏阳文庙、王震故居免费开放经费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主管部门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浏阳市文化旅游广电体育局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实施单位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浏阳市博物馆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执行数</w:t>
            </w:r>
          </w:p>
        </w:tc>
        <w:tc>
          <w:tcPr>
            <w:tcW w:w="6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执行率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年度资金总额　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100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%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其中：当年财政拨款　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17.89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100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%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上年结转资金　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其他资金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年度总体目标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预期目标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5298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保障博物馆代管的浏阳文庙、王震故居免费开放工作。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保障浏阳文庙、王震故居正常免费开放，各项预定目标基本实现，重点工作任务及时完成。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标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指标值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完成值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得分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)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数量指标（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年接待参观者人次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22万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22.6万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年接待青少年人次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6万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6.73万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年团队次数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2200次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2243次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质量指标（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环境舒适、水电正常供应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免费开放，设施设备正常使用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正常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时效指标（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任务完成时间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日前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日前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成本指标（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浏阳文庙、王震故居免费开放经费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≤17.89万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17.89万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分）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经济效益指标（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促进旅游产业发展与地方经济结构调整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社会效益指标（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圆满完成了全年的社科教育活动、接待任务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通过文物的传统文化教育和爱国主义教育，影响大众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642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生态效益指标（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促进社会文化环境品质的提升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可持续影响指标（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文博</w:t>
            </w: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资源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可持续引导</w:t>
            </w:r>
          </w:p>
        </w:tc>
        <w:tc>
          <w:tcPr>
            <w:tcW w:w="110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不断丰富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服务对象满意度指标（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游客满意度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98%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1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总分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98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方正小标宋简体"/>
          <w:sz w:val="28"/>
          <w:szCs w:val="28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年项目支出绩效自评表</w:t>
      </w:r>
    </w:p>
    <w:p>
      <w:pPr>
        <w:adjustRightInd w:val="0"/>
        <w:snapToGrid w:val="0"/>
        <w:spacing w:line="440" w:lineRule="exact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</w:rPr>
        <w:t>单位：万元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36"/>
        <w:gridCol w:w="1113"/>
        <w:gridCol w:w="1600"/>
        <w:gridCol w:w="1716"/>
        <w:gridCol w:w="1716"/>
        <w:gridCol w:w="610"/>
        <w:gridCol w:w="63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出名称</w:t>
            </w:r>
          </w:p>
        </w:tc>
        <w:tc>
          <w:tcPr>
            <w:tcW w:w="887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庆祝中国共产党成立</w:t>
            </w:r>
            <w:r>
              <w:rPr>
                <w:rFonts w:ascii="Times New Roman" w:hAnsi="Times New Roman" w:eastAsia="仿宋_GB2312" w:cs="仿宋_GB2312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周年文化活动开展经费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主管部门</w:t>
            </w:r>
          </w:p>
        </w:tc>
        <w:tc>
          <w:tcPr>
            <w:tcW w:w="499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浏阳市文化旅游广电体育局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实施单位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浏阳市博物馆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执行数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执行率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年度资金总额　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60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60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其中：当年财政拨款　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60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60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上年结转资金　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其他资金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年度总体目标</w:t>
            </w:r>
          </w:p>
        </w:tc>
        <w:tc>
          <w:tcPr>
            <w:tcW w:w="499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预期目标</w:t>
            </w:r>
          </w:p>
        </w:tc>
        <w:tc>
          <w:tcPr>
            <w:tcW w:w="387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4998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保障庆祝中国共产党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lang w:eastAsia="zh-CN"/>
              </w:rPr>
              <w:t>成立</w:t>
            </w:r>
            <w:bookmarkStart w:id="0" w:name="_GoBack"/>
            <w:bookmarkEnd w:id="0"/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周年开展的湘赣边革命文物联展布展的展陈。</w:t>
            </w:r>
          </w:p>
        </w:tc>
        <w:tc>
          <w:tcPr>
            <w:tcW w:w="387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项目采购临展项目一个，共展出（文物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+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复制品）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125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件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套，展出物品中文物共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93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件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套，借展文物是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73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件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套，展陈时间为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25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日至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日，参观人数将近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万人次，开展了多次社会科普活动，红色革命革命、爱国主义教育活动，获得了社会各界的一致好评。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标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指标值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完成值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得分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分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)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数量指标（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接待参观者人次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展出文物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件套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93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件套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展出复制品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件套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32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件套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质量指标（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展出物品具有红色革命代表性</w:t>
            </w:r>
          </w:p>
        </w:tc>
        <w:tc>
          <w:tcPr>
            <w:tcW w:w="1544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71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时效指标（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展陈时间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2021.6.25-2021.10.7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2021.6.25-2021.10.7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成本指标（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庆祝中国共产党成立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周年文化活动开展经费　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≤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60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万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分）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经济效益指标（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促进旅游产业发展与地方经济结构调整</w:t>
            </w:r>
          </w:p>
        </w:tc>
        <w:tc>
          <w:tcPr>
            <w:tcW w:w="1544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71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社会效益指标（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开展多次社科普活动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开展红色革命和爱国主义教育，影响大众</w:t>
            </w:r>
          </w:p>
        </w:tc>
        <w:tc>
          <w:tcPr>
            <w:tcW w:w="1544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71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619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生态效益指标（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促进社会文化环境品质的提升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达到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可持续影响指标（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红色革命和爱国主义教育</w:t>
            </w:r>
          </w:p>
        </w:tc>
        <w:tc>
          <w:tcPr>
            <w:tcW w:w="1544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可持续引导</w:t>
            </w:r>
          </w:p>
        </w:tc>
        <w:tc>
          <w:tcPr>
            <w:tcW w:w="1716" w:type="dxa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2"/>
                <w:sz w:val="18"/>
                <w:szCs w:val="18"/>
              </w:rPr>
              <w:t>不断丰富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40" w:lineRule="exact"/>
              <w:rPr>
                <w:kern w:val="2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服务对象满意度指标（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游客满意度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100%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98%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总分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98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240" w:lineRule="exact"/>
      </w:pPr>
    </w:p>
    <w:sectPr>
      <w:headerReference r:id="rId3" w:type="default"/>
      <w:pgSz w:w="12240" w:h="15840"/>
      <w:pgMar w:top="1440" w:right="1797" w:bottom="1134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4YzhlYTQ3ZTgyZDkxMWEwNWRhNzgzNDU1ZGNmYzQifQ=="/>
  </w:docVars>
  <w:rsids>
    <w:rsidRoot w:val="5CDF16A7"/>
    <w:rsid w:val="000203D1"/>
    <w:rsid w:val="00035448"/>
    <w:rsid w:val="00051997"/>
    <w:rsid w:val="00106471"/>
    <w:rsid w:val="00126A20"/>
    <w:rsid w:val="00175AA8"/>
    <w:rsid w:val="00176A25"/>
    <w:rsid w:val="00197E12"/>
    <w:rsid w:val="002067B0"/>
    <w:rsid w:val="002179A4"/>
    <w:rsid w:val="002533EC"/>
    <w:rsid w:val="002631AE"/>
    <w:rsid w:val="0028147F"/>
    <w:rsid w:val="00331963"/>
    <w:rsid w:val="00382673"/>
    <w:rsid w:val="00431099"/>
    <w:rsid w:val="00456A41"/>
    <w:rsid w:val="004A3CE7"/>
    <w:rsid w:val="004B237A"/>
    <w:rsid w:val="004D4792"/>
    <w:rsid w:val="004D5A04"/>
    <w:rsid w:val="004D657B"/>
    <w:rsid w:val="005040DB"/>
    <w:rsid w:val="00577443"/>
    <w:rsid w:val="005D1D80"/>
    <w:rsid w:val="00607717"/>
    <w:rsid w:val="00695B38"/>
    <w:rsid w:val="006A2E25"/>
    <w:rsid w:val="006B7381"/>
    <w:rsid w:val="006D42FC"/>
    <w:rsid w:val="006D5883"/>
    <w:rsid w:val="006F6DBA"/>
    <w:rsid w:val="007149C3"/>
    <w:rsid w:val="007A029D"/>
    <w:rsid w:val="007A4181"/>
    <w:rsid w:val="007C0DC0"/>
    <w:rsid w:val="007C5443"/>
    <w:rsid w:val="007C5B91"/>
    <w:rsid w:val="007E1834"/>
    <w:rsid w:val="00846E09"/>
    <w:rsid w:val="00881661"/>
    <w:rsid w:val="0089237E"/>
    <w:rsid w:val="008B3DE5"/>
    <w:rsid w:val="008E4FA9"/>
    <w:rsid w:val="008E7E36"/>
    <w:rsid w:val="00921B9B"/>
    <w:rsid w:val="009C73C8"/>
    <w:rsid w:val="00AD7FA2"/>
    <w:rsid w:val="00B07C36"/>
    <w:rsid w:val="00B712D8"/>
    <w:rsid w:val="00BA2FED"/>
    <w:rsid w:val="00C561CD"/>
    <w:rsid w:val="00C57A6F"/>
    <w:rsid w:val="00D26EA2"/>
    <w:rsid w:val="00D625F4"/>
    <w:rsid w:val="00DB276C"/>
    <w:rsid w:val="00DB3F25"/>
    <w:rsid w:val="00DD589E"/>
    <w:rsid w:val="00E1767A"/>
    <w:rsid w:val="00E25365"/>
    <w:rsid w:val="00E7659F"/>
    <w:rsid w:val="00EC5731"/>
    <w:rsid w:val="00EF01A3"/>
    <w:rsid w:val="00EF3FC8"/>
    <w:rsid w:val="00F30C00"/>
    <w:rsid w:val="00F64FFF"/>
    <w:rsid w:val="00F6679C"/>
    <w:rsid w:val="00F9339F"/>
    <w:rsid w:val="00FF06CF"/>
    <w:rsid w:val="3E7140B3"/>
    <w:rsid w:val="5CDF16A7"/>
    <w:rsid w:val="5E1B49CD"/>
    <w:rsid w:val="689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72"/>
      <w:szCs w:val="7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Calibri" w:hAnsi="Calibri" w:eastAsia="宋体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Calibri" w:hAnsi="Calibri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3901</Words>
  <Characters>4665</Characters>
  <Lines>45</Lines>
  <Paragraphs>12</Paragraphs>
  <TotalTime>328</TotalTime>
  <ScaleCrop>false</ScaleCrop>
  <LinksUpToDate>false</LinksUpToDate>
  <CharactersWithSpaces>4912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2022-05-10T08:08:00Z</dcterms:created>
  <dc:creator>qian倩_77</dc:creator>
  <cp:lastModifiedBy>铿锵玫瑰</cp:lastModifiedBy>
  <cp:lastPrinted>2022-05-11T07:00:00Z</cp:lastPrinted>
  <dcterms:modified xsi:type="dcterms:W3CDTF">2022-09-06T03:21:32Z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E6C0CB50E11544359FDBBA6153F73B7D</vt:lpwstr>
  </property>
</Properties>
</file>