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156" w:beforeLines="50" w:after="156" w:afterLines="50" w:line="600" w:lineRule="exact"/>
        <w:jc w:val="center"/>
        <w:rPr>
          <w:rFonts w:hint="eastAsia" w:cs="Times New Roman" w:asciiTheme="majorEastAsia" w:hAnsiTheme="majorEastAsia" w:eastAsiaTheme="majorEastAsia"/>
          <w:b/>
          <w:bCs/>
          <w:color w:val="auto"/>
          <w:sz w:val="44"/>
          <w:szCs w:val="44"/>
        </w:rPr>
      </w:pPr>
      <w:r>
        <w:rPr>
          <w:rFonts w:hint="eastAsia" w:cs="Times New Roman" w:asciiTheme="majorEastAsia" w:hAnsiTheme="majorEastAsia" w:eastAsiaTheme="majorEastAsia"/>
          <w:b/>
          <w:bCs/>
          <w:color w:val="auto"/>
          <w:sz w:val="44"/>
          <w:szCs w:val="44"/>
        </w:rPr>
        <w:t>收入决算表</w:t>
      </w:r>
    </w:p>
    <w:p>
      <w:pPr>
        <w:widowControl/>
        <w:jc w:val="left"/>
        <w:rPr>
          <w:rFonts w:ascii="Times New Roman" w:hAnsi="Times New Roman" w:eastAsia="楷体_GB2312"/>
          <w:b/>
          <w:bCs/>
          <w:kern w:val="0"/>
          <w:szCs w:val="21"/>
        </w:rPr>
      </w:pPr>
      <w:r>
        <w:rPr>
          <w:rFonts w:hint="eastAsia" w:ascii="Times New Roman" w:hAnsi="Times New Roman" w:eastAsia="楷体_GB2312"/>
          <w:b/>
          <w:bCs/>
          <w:kern w:val="0"/>
          <w:szCs w:val="21"/>
        </w:rPr>
        <w:t>部门：浏阳市卫生计生综合监督执法局</w:t>
      </w:r>
      <w:r>
        <w:rPr>
          <w:rFonts w:ascii="Times New Roman" w:hAnsi="Times New Roman" w:eastAsia="楷体_GB2312"/>
          <w:b/>
          <w:bCs/>
          <w:kern w:val="0"/>
          <w:szCs w:val="21"/>
        </w:rPr>
        <w:t xml:space="preserve">                        </w:t>
      </w:r>
      <w:r>
        <w:rPr>
          <w:rFonts w:hint="eastAsia" w:ascii="Times New Roman" w:hAnsi="Times New Roman" w:eastAsia="楷体_GB2312"/>
          <w:b/>
          <w:bCs/>
          <w:kern w:val="0"/>
          <w:szCs w:val="21"/>
        </w:rPr>
        <w:t xml:space="preserve">   </w:t>
      </w:r>
      <w:r>
        <w:rPr>
          <w:rFonts w:ascii="Times New Roman" w:hAnsi="Times New Roman" w:eastAsia="楷体_GB2312"/>
          <w:b/>
          <w:bCs/>
          <w:kern w:val="0"/>
          <w:szCs w:val="21"/>
        </w:rPr>
        <w:t xml:space="preserve">                                                         </w:t>
      </w:r>
      <w:r>
        <w:rPr>
          <w:rFonts w:hint="eastAsia" w:ascii="Times New Roman" w:hAnsi="Times New Roman" w:eastAsia="楷体_GB2312"/>
          <w:b/>
          <w:bCs/>
          <w:kern w:val="0"/>
          <w:szCs w:val="21"/>
        </w:rPr>
        <w:t>公开</w:t>
      </w:r>
      <w:r>
        <w:rPr>
          <w:rFonts w:ascii="Times New Roman" w:hAnsi="Times New Roman" w:eastAsia="楷体_GB2312"/>
          <w:b/>
          <w:bCs/>
          <w:kern w:val="0"/>
          <w:szCs w:val="21"/>
        </w:rPr>
        <w:t>02</w:t>
      </w:r>
      <w:r>
        <w:rPr>
          <w:rFonts w:hint="eastAsia" w:ascii="Times New Roman" w:hAnsi="Times New Roman" w:eastAsia="楷体_GB2312"/>
          <w:b/>
          <w:bCs/>
          <w:kern w:val="0"/>
          <w:szCs w:val="21"/>
        </w:rPr>
        <w:t>表</w:t>
      </w:r>
    </w:p>
    <w:p>
      <w:pPr>
        <w:widowControl/>
        <w:jc w:val="center"/>
        <w:rPr>
          <w:rFonts w:ascii="Times New Roman" w:hAnsi="Times New Roman" w:eastAsia="楷体_GB2312"/>
          <w:b/>
          <w:bCs/>
          <w:kern w:val="0"/>
          <w:szCs w:val="21"/>
        </w:rPr>
      </w:pPr>
      <w:r>
        <w:rPr>
          <w:rFonts w:hint="eastAsia" w:ascii="Times New Roman" w:hAnsi="Times New Roman" w:eastAsia="楷体_GB2312"/>
          <w:b/>
          <w:bCs/>
          <w:kern w:val="0"/>
          <w:szCs w:val="21"/>
          <w:lang w:val="en-US" w:eastAsia="zh-CN"/>
        </w:rPr>
        <w:t xml:space="preserve">                                                                                                                 </w:t>
      </w:r>
      <w:r>
        <w:rPr>
          <w:rFonts w:hint="eastAsia" w:ascii="Times New Roman" w:hAnsi="Times New Roman" w:eastAsia="楷体_GB2312"/>
          <w:b/>
          <w:bCs/>
          <w:kern w:val="0"/>
          <w:szCs w:val="21"/>
        </w:rPr>
        <w:t>单位：万元</w:t>
      </w:r>
    </w:p>
    <w:tbl>
      <w:tblPr>
        <w:tblStyle w:val="2"/>
        <w:tblW w:w="133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4"/>
        <w:gridCol w:w="3131"/>
        <w:gridCol w:w="1289"/>
        <w:gridCol w:w="1290"/>
        <w:gridCol w:w="1290"/>
        <w:gridCol w:w="1290"/>
        <w:gridCol w:w="1290"/>
        <w:gridCol w:w="1290"/>
        <w:gridCol w:w="1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4285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  <w:r>
              <w:rPr>
                <w:rFonts w:hint="eastAsia" w:ascii="Times New Roman" w:hAnsi="Times New Roman" w:eastAsia="黑体"/>
                <w:kern w:val="0"/>
                <w:szCs w:val="21"/>
              </w:rPr>
              <w:t>项</w:t>
            </w:r>
            <w:r>
              <w:rPr>
                <w:rFonts w:ascii="Times New Roman" w:hAnsi="Times New Roman" w:eastAsia="黑体"/>
                <w:kern w:val="0"/>
                <w:szCs w:val="21"/>
              </w:rPr>
              <w:t xml:space="preserve">    </w:t>
            </w:r>
            <w:r>
              <w:rPr>
                <w:rFonts w:hint="eastAsia" w:ascii="Times New Roman" w:hAnsi="Times New Roman" w:eastAsia="黑体"/>
                <w:kern w:val="0"/>
                <w:szCs w:val="21"/>
              </w:rPr>
              <w:t>目</w:t>
            </w:r>
          </w:p>
        </w:tc>
        <w:tc>
          <w:tcPr>
            <w:tcW w:w="1289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  <w:r>
              <w:rPr>
                <w:rFonts w:hint="eastAsia" w:ascii="Times New Roman" w:hAnsi="Times New Roman" w:eastAsia="黑体"/>
                <w:kern w:val="0"/>
                <w:szCs w:val="21"/>
              </w:rPr>
              <w:t>本年收入合计</w:t>
            </w:r>
          </w:p>
        </w:tc>
        <w:tc>
          <w:tcPr>
            <w:tcW w:w="1290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  <w:r>
              <w:rPr>
                <w:rFonts w:hint="eastAsia" w:ascii="Times New Roman" w:hAnsi="Times New Roman" w:eastAsia="黑体"/>
                <w:kern w:val="0"/>
                <w:szCs w:val="21"/>
              </w:rPr>
              <w:t>财政拨款收入</w:t>
            </w:r>
          </w:p>
        </w:tc>
        <w:tc>
          <w:tcPr>
            <w:tcW w:w="1290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  <w:r>
              <w:rPr>
                <w:rFonts w:hint="eastAsia" w:ascii="Times New Roman" w:hAnsi="Times New Roman" w:eastAsia="黑体"/>
                <w:kern w:val="0"/>
                <w:szCs w:val="21"/>
              </w:rPr>
              <w:t>上级补助收入</w:t>
            </w:r>
          </w:p>
        </w:tc>
        <w:tc>
          <w:tcPr>
            <w:tcW w:w="1290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  <w:r>
              <w:rPr>
                <w:rFonts w:hint="eastAsia" w:ascii="Times New Roman" w:hAnsi="Times New Roman" w:eastAsia="黑体"/>
                <w:kern w:val="0"/>
                <w:szCs w:val="21"/>
              </w:rPr>
              <w:t>事业收入</w:t>
            </w:r>
          </w:p>
        </w:tc>
        <w:tc>
          <w:tcPr>
            <w:tcW w:w="1290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  <w:r>
              <w:rPr>
                <w:rFonts w:hint="eastAsia" w:ascii="Times New Roman" w:hAnsi="Times New Roman" w:eastAsia="黑体"/>
                <w:kern w:val="0"/>
                <w:szCs w:val="21"/>
              </w:rPr>
              <w:t>经营收入</w:t>
            </w:r>
          </w:p>
        </w:tc>
        <w:tc>
          <w:tcPr>
            <w:tcW w:w="1290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  <w:r>
              <w:rPr>
                <w:rFonts w:hint="eastAsia" w:ascii="Times New Roman" w:hAnsi="Times New Roman" w:eastAsia="黑体"/>
                <w:kern w:val="0"/>
                <w:szCs w:val="21"/>
              </w:rPr>
              <w:t>附属单位</w:t>
            </w:r>
          </w:p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  <w:r>
              <w:rPr>
                <w:rFonts w:hint="eastAsia" w:ascii="Times New Roman" w:hAnsi="Times New Roman" w:eastAsia="黑体"/>
                <w:kern w:val="0"/>
                <w:szCs w:val="21"/>
              </w:rPr>
              <w:t>上缴收入</w:t>
            </w:r>
          </w:p>
        </w:tc>
        <w:tc>
          <w:tcPr>
            <w:tcW w:w="1290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Cs w:val="21"/>
              </w:rPr>
            </w:pPr>
            <w:r>
              <w:rPr>
                <w:rFonts w:hint="eastAsia" w:ascii="Times New Roman" w:hAnsi="Times New Roman" w:eastAsia="黑体"/>
                <w:kern w:val="0"/>
                <w:szCs w:val="21"/>
              </w:rPr>
              <w:t>其他收入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黑体"/>
                <w:kern w:val="0"/>
                <w:szCs w:val="21"/>
              </w:rPr>
              <w:t>功能分类科目编码</w:t>
            </w:r>
          </w:p>
        </w:tc>
        <w:tc>
          <w:tcPr>
            <w:tcW w:w="313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黑体"/>
                <w:kern w:val="0"/>
                <w:szCs w:val="21"/>
              </w:rPr>
              <w:t>科目名称</w:t>
            </w:r>
          </w:p>
        </w:tc>
        <w:tc>
          <w:tcPr>
            <w:tcW w:w="1289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9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9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9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9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9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9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4285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栏次</w:t>
            </w:r>
          </w:p>
        </w:tc>
        <w:tc>
          <w:tcPr>
            <w:tcW w:w="1289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129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129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129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</w:t>
            </w:r>
          </w:p>
        </w:tc>
        <w:tc>
          <w:tcPr>
            <w:tcW w:w="129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5</w:t>
            </w:r>
          </w:p>
        </w:tc>
        <w:tc>
          <w:tcPr>
            <w:tcW w:w="129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6</w:t>
            </w:r>
          </w:p>
        </w:tc>
        <w:tc>
          <w:tcPr>
            <w:tcW w:w="129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4285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合计</w:t>
            </w:r>
          </w:p>
        </w:tc>
        <w:tc>
          <w:tcPr>
            <w:tcW w:w="1289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452.97</w:t>
            </w:r>
          </w:p>
        </w:tc>
        <w:tc>
          <w:tcPr>
            <w:tcW w:w="129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452.97</w:t>
            </w:r>
          </w:p>
        </w:tc>
        <w:tc>
          <w:tcPr>
            <w:tcW w:w="129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9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9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9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9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154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208</w:t>
            </w:r>
          </w:p>
        </w:tc>
        <w:tc>
          <w:tcPr>
            <w:tcW w:w="313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社会保障和就业支出</w:t>
            </w:r>
          </w:p>
        </w:tc>
        <w:tc>
          <w:tcPr>
            <w:tcW w:w="1289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13.63</w:t>
            </w:r>
          </w:p>
        </w:tc>
        <w:tc>
          <w:tcPr>
            <w:tcW w:w="129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13.63</w:t>
            </w:r>
          </w:p>
        </w:tc>
        <w:tc>
          <w:tcPr>
            <w:tcW w:w="129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9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9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9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9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154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20805</w:t>
            </w:r>
          </w:p>
        </w:tc>
        <w:tc>
          <w:tcPr>
            <w:tcW w:w="313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行政事业单位离退休</w:t>
            </w:r>
          </w:p>
        </w:tc>
        <w:tc>
          <w:tcPr>
            <w:tcW w:w="1289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13.63</w:t>
            </w:r>
          </w:p>
        </w:tc>
        <w:tc>
          <w:tcPr>
            <w:tcW w:w="129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13.63</w:t>
            </w:r>
          </w:p>
        </w:tc>
        <w:tc>
          <w:tcPr>
            <w:tcW w:w="129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9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9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9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9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154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2080502</w:t>
            </w:r>
          </w:p>
        </w:tc>
        <w:tc>
          <w:tcPr>
            <w:tcW w:w="313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 xml:space="preserve">  事业单位离退休</w:t>
            </w:r>
          </w:p>
        </w:tc>
        <w:tc>
          <w:tcPr>
            <w:tcW w:w="1289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9.11</w:t>
            </w:r>
          </w:p>
        </w:tc>
        <w:tc>
          <w:tcPr>
            <w:tcW w:w="129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9.11</w:t>
            </w:r>
          </w:p>
        </w:tc>
        <w:tc>
          <w:tcPr>
            <w:tcW w:w="129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9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9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9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9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154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2080506</w:t>
            </w:r>
          </w:p>
        </w:tc>
        <w:tc>
          <w:tcPr>
            <w:tcW w:w="313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 xml:space="preserve">  机关事业单位职业年金缴费支出</w:t>
            </w:r>
          </w:p>
        </w:tc>
        <w:tc>
          <w:tcPr>
            <w:tcW w:w="1289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4.52</w:t>
            </w:r>
          </w:p>
        </w:tc>
        <w:tc>
          <w:tcPr>
            <w:tcW w:w="129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4.52</w:t>
            </w:r>
          </w:p>
        </w:tc>
        <w:tc>
          <w:tcPr>
            <w:tcW w:w="129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9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9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9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9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154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210</w:t>
            </w:r>
          </w:p>
        </w:tc>
        <w:tc>
          <w:tcPr>
            <w:tcW w:w="313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卫生健康支出</w:t>
            </w:r>
          </w:p>
        </w:tc>
        <w:tc>
          <w:tcPr>
            <w:tcW w:w="1289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439.34</w:t>
            </w:r>
          </w:p>
        </w:tc>
        <w:tc>
          <w:tcPr>
            <w:tcW w:w="129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439.34</w:t>
            </w:r>
          </w:p>
        </w:tc>
        <w:tc>
          <w:tcPr>
            <w:tcW w:w="129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9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9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9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9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154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21004</w:t>
            </w:r>
          </w:p>
        </w:tc>
        <w:tc>
          <w:tcPr>
            <w:tcW w:w="313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公共卫生</w:t>
            </w:r>
          </w:p>
        </w:tc>
        <w:tc>
          <w:tcPr>
            <w:tcW w:w="1289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439.34</w:t>
            </w:r>
          </w:p>
        </w:tc>
        <w:tc>
          <w:tcPr>
            <w:tcW w:w="129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439.34</w:t>
            </w:r>
          </w:p>
        </w:tc>
        <w:tc>
          <w:tcPr>
            <w:tcW w:w="129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9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9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9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9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154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2100402</w:t>
            </w:r>
          </w:p>
        </w:tc>
        <w:tc>
          <w:tcPr>
            <w:tcW w:w="3131" w:type="dxa"/>
            <w:noWrap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卫生监督机构</w:t>
            </w:r>
          </w:p>
        </w:tc>
        <w:tc>
          <w:tcPr>
            <w:tcW w:w="1289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380.00</w:t>
            </w:r>
          </w:p>
        </w:tc>
        <w:tc>
          <w:tcPr>
            <w:tcW w:w="129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380.00</w:t>
            </w:r>
          </w:p>
        </w:tc>
        <w:tc>
          <w:tcPr>
            <w:tcW w:w="129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9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9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9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9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54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2100408</w:t>
            </w:r>
          </w:p>
        </w:tc>
        <w:tc>
          <w:tcPr>
            <w:tcW w:w="313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 xml:space="preserve">  基本公共卫生服务</w:t>
            </w:r>
          </w:p>
        </w:tc>
        <w:tc>
          <w:tcPr>
            <w:tcW w:w="1289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59.34</w:t>
            </w:r>
          </w:p>
        </w:tc>
        <w:tc>
          <w:tcPr>
            <w:tcW w:w="129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59.34</w:t>
            </w:r>
          </w:p>
        </w:tc>
        <w:tc>
          <w:tcPr>
            <w:tcW w:w="129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9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9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9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290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</w:tbl>
    <w:p>
      <w:pPr>
        <w:widowControl/>
        <w:spacing w:before="156" w:beforeLines="50"/>
        <w:jc w:val="left"/>
      </w:pPr>
      <w:r>
        <w:rPr>
          <w:rFonts w:hint="eastAsia" w:ascii="Times New Roman" w:hAnsi="Times New Roman" w:eastAsia="楷体_GB2312"/>
          <w:kern w:val="0"/>
          <w:sz w:val="24"/>
          <w:szCs w:val="24"/>
        </w:rPr>
        <w:t>注：本表反映部门本年度取得的各项收入情况。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462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qFormat/>
    <w:uiPriority w:val="99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2021-05-25T04:51:06Z</dcterms:created>
  <dc:creator>Administrator</dc:creator>
  <cp:lastModifiedBy>长长</cp:lastModifiedBy>
  <dcterms:modified xsi:type="dcterms:W3CDTF">2021-05-25T04:53:55Z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