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beforeLines="50" w:after="156" w:afterLines="50" w:line="600" w:lineRule="exact"/>
        <w:jc w:val="center"/>
        <w:rPr>
          <w:rFonts w:cs="Times New Roman" w:asciiTheme="majorEastAsia" w:hAnsiTheme="majorEastAsia" w:eastAsiaTheme="majorEastAsia"/>
          <w:b/>
          <w:bCs/>
          <w:color w:val="auto"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color w:val="auto"/>
          <w:sz w:val="44"/>
          <w:szCs w:val="44"/>
        </w:rPr>
        <w:t>一般公共预算财政拨款支出决算表</w:t>
      </w:r>
    </w:p>
    <w:p>
      <w:pPr>
        <w:widowControl/>
        <w:jc w:val="left"/>
        <w:rPr>
          <w:rFonts w:ascii="Times New Roman" w:hAnsi="Times New Roman" w:eastAsia="楷体_GB2312"/>
          <w:b/>
          <w:bCs/>
          <w:kern w:val="0"/>
          <w:szCs w:val="21"/>
        </w:rPr>
      </w:pPr>
      <w:r>
        <w:rPr>
          <w:rFonts w:hint="eastAsia" w:ascii="Times New Roman" w:hAnsi="Times New Roman" w:eastAsia="楷体_GB2312"/>
          <w:b/>
          <w:bCs/>
          <w:kern w:val="0"/>
          <w:szCs w:val="21"/>
        </w:rPr>
        <w:t>部门：浏阳市卫生计生综合监督执法局</w:t>
      </w:r>
      <w:r>
        <w:rPr>
          <w:rFonts w:ascii="Times New Roman" w:hAnsi="Times New Roman" w:eastAsia="楷体_GB2312"/>
          <w:b/>
          <w:bCs/>
          <w:kern w:val="0"/>
          <w:szCs w:val="21"/>
        </w:rPr>
        <w:t xml:space="preserve">                                                                                    </w:t>
      </w:r>
      <w:r>
        <w:rPr>
          <w:rFonts w:hint="eastAsia" w:ascii="Times New Roman" w:hAnsi="Times New Roman" w:eastAsia="楷体_GB2312"/>
          <w:b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b/>
          <w:bCs/>
          <w:kern w:val="0"/>
          <w:szCs w:val="21"/>
        </w:rPr>
        <w:t>公开</w:t>
      </w:r>
      <w:r>
        <w:rPr>
          <w:rFonts w:ascii="Times New Roman" w:hAnsi="Times New Roman" w:eastAsia="楷体_GB2312"/>
          <w:b/>
          <w:bCs/>
          <w:kern w:val="0"/>
          <w:szCs w:val="21"/>
        </w:rPr>
        <w:t>05</w:t>
      </w:r>
      <w:r>
        <w:rPr>
          <w:rFonts w:hint="eastAsia" w:ascii="Times New Roman" w:hAnsi="Times New Roman" w:eastAsia="楷体_GB2312"/>
          <w:b/>
          <w:bCs/>
          <w:kern w:val="0"/>
          <w:szCs w:val="21"/>
        </w:rPr>
        <w:t>表</w:t>
      </w:r>
    </w:p>
    <w:p>
      <w:pPr>
        <w:widowControl/>
        <w:jc w:val="center"/>
        <w:rPr>
          <w:rFonts w:ascii="Times New Roman" w:hAnsi="Times New Roman" w:eastAsia="楷体_GB2312"/>
          <w:b/>
          <w:bCs/>
          <w:kern w:val="0"/>
          <w:szCs w:val="21"/>
        </w:rPr>
      </w:pPr>
      <w:r>
        <w:rPr>
          <w:rFonts w:hint="eastAsia" w:ascii="Times New Roman" w:hAnsi="Times New Roman" w:eastAsia="楷体_GB2312"/>
          <w:b/>
          <w:bCs/>
          <w:kern w:val="0"/>
          <w:szCs w:val="21"/>
          <w:lang w:val="en-US" w:eastAsia="zh-CN"/>
        </w:rPr>
        <w:t xml:space="preserve">                                                                                                                  </w:t>
      </w:r>
      <w:r>
        <w:rPr>
          <w:rFonts w:hint="eastAsia" w:ascii="Times New Roman" w:hAnsi="Times New Roman" w:eastAsia="楷体_GB2312"/>
          <w:b/>
          <w:bCs/>
          <w:kern w:val="0"/>
          <w:szCs w:val="21"/>
        </w:rPr>
        <w:t>单位：万元</w:t>
      </w:r>
    </w:p>
    <w:tbl>
      <w:tblPr>
        <w:tblStyle w:val="2"/>
        <w:tblW w:w="13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3494"/>
        <w:gridCol w:w="2881"/>
        <w:gridCol w:w="2881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61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项</w:t>
            </w: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目</w:t>
            </w:r>
          </w:p>
        </w:tc>
        <w:tc>
          <w:tcPr>
            <w:tcW w:w="864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本年支出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1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功能分类科目编码</w:t>
            </w:r>
          </w:p>
        </w:tc>
        <w:tc>
          <w:tcPr>
            <w:tcW w:w="34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科目名称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小计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基本支出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61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Cs w:val="21"/>
              </w:rPr>
              <w:t>栏次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61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Cs w:val="21"/>
              </w:rPr>
              <w:t>合计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452.97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393.63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59.34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208</w:t>
            </w:r>
          </w:p>
        </w:tc>
        <w:tc>
          <w:tcPr>
            <w:tcW w:w="34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社会保障和就业支出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13.63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13.63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20805</w:t>
            </w:r>
          </w:p>
        </w:tc>
        <w:tc>
          <w:tcPr>
            <w:tcW w:w="34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行政事业单位离退休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13.63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13.63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2080502</w:t>
            </w:r>
          </w:p>
        </w:tc>
        <w:tc>
          <w:tcPr>
            <w:tcW w:w="34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事业单位离退休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9.11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9.11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2080506</w:t>
            </w:r>
          </w:p>
        </w:tc>
        <w:tc>
          <w:tcPr>
            <w:tcW w:w="34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机关事业单位职业年金缴费支出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4.52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4.52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210</w:t>
            </w:r>
          </w:p>
        </w:tc>
        <w:tc>
          <w:tcPr>
            <w:tcW w:w="34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卫生健康支出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439.34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380.00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59.34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21004</w:t>
            </w:r>
          </w:p>
        </w:tc>
        <w:tc>
          <w:tcPr>
            <w:tcW w:w="34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439.34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380.00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59.34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2100402</w:t>
            </w:r>
          </w:p>
        </w:tc>
        <w:tc>
          <w:tcPr>
            <w:tcW w:w="3494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卫生监督机构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380.00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380.00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1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2100408</w:t>
            </w:r>
          </w:p>
        </w:tc>
        <w:tc>
          <w:tcPr>
            <w:tcW w:w="34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基本公共卫生服务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59.34</w:t>
            </w:r>
          </w:p>
        </w:tc>
        <w:tc>
          <w:tcPr>
            <w:tcW w:w="28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59.34</w:t>
            </w:r>
          </w:p>
        </w:tc>
      </w:tr>
    </w:tbl>
    <w:p>
      <w:pPr>
        <w:widowControl/>
        <w:spacing w:before="156" w:beforeLines="50"/>
        <w:jc w:val="left"/>
      </w:pPr>
      <w:r>
        <w:rPr>
          <w:rFonts w:hint="eastAsia" w:ascii="Times New Roman" w:hAnsi="Times New Roman" w:eastAsia="楷体_GB2312"/>
          <w:kern w:val="0"/>
          <w:sz w:val="24"/>
          <w:szCs w:val="24"/>
        </w:rPr>
        <w:t>注：本表反映部门本年度一般公共预算财政拨款支出情况。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4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2021-05-25T04:51:13Z</dcterms:created>
  <dc:creator>Administrator</dc:creator>
  <cp:lastModifiedBy>长长</cp:lastModifiedBy>
  <dcterms:modified xsi:type="dcterms:W3CDTF">2021-05-25T04:57:24Z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