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1</w:t>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部门整体支出绩效评价基础数据表</w:t>
      </w:r>
    </w:p>
    <w:p>
      <w:pPr>
        <w:tabs>
          <w:tab w:val="left" w:pos="3611"/>
          <w:tab w:val="left" w:pos="4791"/>
          <w:tab w:val="left" w:pos="5951"/>
          <w:tab w:val="left" w:pos="7071"/>
          <w:tab w:val="left" w:pos="8191"/>
          <w:tab w:val="left" w:pos="9311"/>
        </w:tabs>
        <w:spacing w:line="360" w:lineRule="exact"/>
        <w:rPr>
          <w:rFonts w:ascii="Times New Roman" w:hAnsi="Times New Roman" w:eastAsia="仿宋_GB2312"/>
          <w:color w:val="000000"/>
          <w:kern w:val="0"/>
          <w:sz w:val="24"/>
        </w:rPr>
      </w:pP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lang w:eastAsia="zh-CN"/>
        </w:rPr>
        <w:t>浏阳市总工会</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4"/>
        <w:tblW w:w="0" w:type="auto"/>
        <w:jc w:val="center"/>
        <w:tblLayout w:type="fixed"/>
        <w:tblCellMar>
          <w:top w:w="0" w:type="dxa"/>
          <w:left w:w="108" w:type="dxa"/>
          <w:bottom w:w="0" w:type="dxa"/>
          <w:right w:w="108" w:type="dxa"/>
        </w:tblCellMar>
      </w:tblPr>
      <w:tblGrid>
        <w:gridCol w:w="3504"/>
        <w:gridCol w:w="1720"/>
        <w:gridCol w:w="2061"/>
        <w:gridCol w:w="1748"/>
      </w:tblGrid>
      <w:tr>
        <w:tblPrEx>
          <w:tblCellMar>
            <w:top w:w="0" w:type="dxa"/>
            <w:left w:w="108" w:type="dxa"/>
            <w:bottom w:w="0" w:type="dxa"/>
            <w:right w:w="108" w:type="dxa"/>
          </w:tblCellMar>
        </w:tblPrEx>
        <w:trPr>
          <w:trHeight w:val="388" w:hRule="atLeast"/>
          <w:jc w:val="center"/>
        </w:trPr>
        <w:tc>
          <w:tcPr>
            <w:tcW w:w="35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0"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ascii="Times New Roman" w:hAnsi="Times New Roman" w:eastAsia="仿宋_GB2312"/>
                <w:bCs/>
                <w:color w:val="000000"/>
                <w:kern w:val="0"/>
                <w:sz w:val="24"/>
              </w:rPr>
              <w:t>编制数</w:t>
            </w:r>
            <w:r>
              <w:rPr>
                <w:rFonts w:hint="eastAsia" w:ascii="Times New Roman" w:hAnsi="Times New Roman" w:eastAsia="仿宋_GB2312"/>
                <w:bCs/>
                <w:color w:val="000000"/>
                <w:kern w:val="0"/>
                <w:sz w:val="24"/>
                <w:lang w:val="en-US" w:eastAsia="zh-CN"/>
              </w:rPr>
              <w:t>12</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lang w:val="en-US" w:eastAsia="zh-CN"/>
              </w:rPr>
              <w:t>9</w:t>
            </w:r>
            <w:r>
              <w:rPr>
                <w:rFonts w:ascii="Times New Roman" w:hAnsi="Times New Roman" w:eastAsia="仿宋_GB2312"/>
                <w:bCs/>
                <w:color w:val="000000"/>
                <w:kern w:val="0"/>
                <w:sz w:val="24"/>
              </w:rPr>
              <w:t>年实际在职</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455" w:hRule="atLeast"/>
          <w:jc w:val="center"/>
        </w:trPr>
        <w:tc>
          <w:tcPr>
            <w:tcW w:w="350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0"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12</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100</w:t>
            </w:r>
            <w:r>
              <w:rPr>
                <w:rFonts w:hint="eastAsia" w:eastAsia="仿宋_GB2312"/>
                <w:color w:val="000000"/>
                <w:sz w:val="32"/>
                <w:szCs w:val="32"/>
                <w:lang w:val="en-US" w:eastAsia="zh-CN"/>
              </w:rPr>
              <w:t>％</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8</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eastAsia="仿宋_GB2312"/>
                <w:kern w:val="0"/>
                <w:sz w:val="24"/>
              </w:rPr>
              <w:t>163.4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40</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r>
              <w:rPr>
                <w:rFonts w:hint="eastAsia" w:eastAsia="仿宋_GB2312"/>
                <w:kern w:val="0"/>
                <w:sz w:val="24"/>
              </w:rPr>
              <w:t>163.4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40</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5.82</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5.82</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1693"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29"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说明：“项目支出”需要填报除专项资金和基本支出以外的所有项目情况，包括业务工作项目、运行维护项目等；“公用经费”填报基本支出中的一般商品和服务支出。</w:t>
      </w:r>
    </w:p>
    <w:p>
      <w:pPr>
        <w:spacing w:line="576" w:lineRule="exact"/>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2</w:t>
      </w:r>
    </w:p>
    <w:p>
      <w:pPr>
        <w:spacing w:line="5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财政</w:t>
      </w:r>
      <w:r>
        <w:rPr>
          <w:rFonts w:hint="eastAsia" w:ascii="Times New Roman" w:hAnsi="Times New Roman" w:eastAsia="方正小标宋简体"/>
          <w:color w:val="000000"/>
          <w:kern w:val="0"/>
          <w:sz w:val="44"/>
          <w:szCs w:val="44"/>
        </w:rPr>
        <w:t>项目</w:t>
      </w:r>
      <w:r>
        <w:rPr>
          <w:rFonts w:ascii="Times New Roman" w:hAnsi="Times New Roman" w:eastAsia="方正小标宋简体"/>
          <w:color w:val="000000"/>
          <w:kern w:val="0"/>
          <w:sz w:val="44"/>
          <w:szCs w:val="44"/>
        </w:rPr>
        <w:t>支出绩效评价共性指标</w:t>
      </w:r>
    </w:p>
    <w:p>
      <w:pPr>
        <w:tabs>
          <w:tab w:val="left" w:pos="833"/>
          <w:tab w:val="left" w:pos="1533"/>
          <w:tab w:val="left" w:pos="2533"/>
          <w:tab w:val="left" w:pos="4833"/>
        </w:tabs>
        <w:spacing w:line="240" w:lineRule="exact"/>
        <w:rPr>
          <w:rFonts w:ascii="Times New Roman" w:hAnsi="Times New Roman"/>
          <w:color w:val="000000"/>
          <w:kern w:val="0"/>
          <w:sz w:val="24"/>
        </w:rPr>
      </w:pPr>
    </w:p>
    <w:tbl>
      <w:tblPr>
        <w:tblStyle w:val="4"/>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44"/>
        <w:gridCol w:w="1254"/>
        <w:gridCol w:w="560"/>
        <w:gridCol w:w="2516"/>
        <w:gridCol w:w="3528"/>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83"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一级指标</w:t>
            </w:r>
          </w:p>
        </w:tc>
        <w:tc>
          <w:tcPr>
            <w:tcW w:w="844"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二级指标</w:t>
            </w:r>
          </w:p>
        </w:tc>
        <w:tc>
          <w:tcPr>
            <w:tcW w:w="1254"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三级指标</w:t>
            </w:r>
          </w:p>
        </w:tc>
        <w:tc>
          <w:tcPr>
            <w:tcW w:w="560" w:type="dxa"/>
            <w:noWrap w:val="0"/>
            <w:vAlign w:val="top"/>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分值</w:t>
            </w:r>
          </w:p>
        </w:tc>
        <w:tc>
          <w:tcPr>
            <w:tcW w:w="2516"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指标解释</w:t>
            </w:r>
          </w:p>
        </w:tc>
        <w:tc>
          <w:tcPr>
            <w:tcW w:w="3528"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指标说明</w:t>
            </w:r>
          </w:p>
        </w:tc>
        <w:tc>
          <w:tcPr>
            <w:tcW w:w="528"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投</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入</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规范性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项目的申请、设立过程是否符合相关要求，用以反映和考核项目立项的规范情况。</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①项目是否按照规定的程序申请设立。</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②所提交的文件、材料是否符合相关要求。</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③事前是否已经过必要的可行性研究、专家论证、风险评估、集体决策等。</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绩效目标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合理性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项目所设定的绩效目标是否依据充分，是否符合客观实际，用以反映和考核项目绩效目标与项目实施的相符情况。</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①是否符合国家相关法律法规，国民经济发展规划和党委政府决策。</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②是否与项目实施单位或委托单位职责密切相关。</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③项目是否为促进事业发展所必需。</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④项目预期产出效益和效果是否符合正常的业绩水平。</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绩效指标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明确性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依据绩效目标设定的绩效指标是否清晰、细化、可衡量等，用以反映和考核项目绩效目标的明细化情况。</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①是否将项目绩效目标细化分解为具体的绩效指标。</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②是否通过清晰、可衡量的指标值予以体现。</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③是否与项目年度任务数或计划数相对应。</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④是否与预期确定的项目投资额或资金量相匹配。</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部门本年度预算完成数与预算数的比率，用以反映和考核部门预算完成程度。</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预算完成率=（预算完成数/预算数）×100%。预算完成数：部门本年度实际完成的预算数。预算数：财政部门批复的本年度部门预算数。</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调整率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部门本年度预算调整数与预算数的比率，用以反映和考核部门预算的调整程度。</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预算调整率=（预算调整数/预算数）×100%。预算调整数：部门在本年度内涉及预算的追加、</w:t>
            </w:r>
            <w:r>
              <w:rPr>
                <w:rFonts w:hint="eastAsia" w:ascii="Times New Roman" w:hAnsi="Times New Roman" w:eastAsia="仿宋_GB2312"/>
                <w:color w:val="000000"/>
                <w:kern w:val="0"/>
                <w:sz w:val="24"/>
                <w:szCs w:val="24"/>
              </w:rPr>
              <w:t>调</w:t>
            </w:r>
            <w:r>
              <w:rPr>
                <w:rFonts w:ascii="Times New Roman" w:hAnsi="Times New Roman" w:eastAsia="仿宋_GB2312"/>
                <w:color w:val="000000"/>
                <w:kern w:val="0"/>
                <w:sz w:val="24"/>
                <w:szCs w:val="24"/>
              </w:rPr>
              <w:t>减或结构调整的资金总和（因落实国家政策、发生不可抗力、上级部门或同级党委政府临时交办而产生的调整除外）。</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shd w:val="clear" w:color="auto" w:fill="auto"/>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进度率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部门实际支付进度与既定支付进度的比率，用以反映和考核部门预算执行的及时性和均衡性程度。</w:t>
            </w:r>
          </w:p>
        </w:tc>
        <w:tc>
          <w:tcPr>
            <w:tcW w:w="3528" w:type="dxa"/>
            <w:noWrap w:val="0"/>
            <w:vAlign w:val="center"/>
          </w:tcPr>
          <w:p>
            <w:pPr>
              <w:spacing w:line="28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支付进度率=（实际支付进度/既定支付进度）×100%。</w:t>
            </w:r>
          </w:p>
          <w:p>
            <w:pPr>
              <w:spacing w:line="28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实际支付进度：部门在某一时点的支出预算执行总数与年度支出预算数的比率。</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部门本年度结转结余总额与支出预算数的比率，用以反映和考核部门对本年度结转结余资金的实际控制程度。</w:t>
            </w:r>
          </w:p>
        </w:tc>
        <w:tc>
          <w:tcPr>
            <w:tcW w:w="3528" w:type="dxa"/>
            <w:noWrap w:val="0"/>
            <w:vAlign w:val="center"/>
          </w:tcPr>
          <w:p>
            <w:pPr>
              <w:spacing w:line="30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结转结余率=</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结转结余总额/支出预算数</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结转结余总额：部门本年度的结转资金与结余资金之和（以决算数为准）。</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变动率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部门本年度结转结余资金总额与上年度结转结余资金总额的变动比率，用以反映和考核部门对控制结转结余资金的努力程度。</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结转结余变动率=[（本年度累计结转结余资金总额-上年度累计结转结余资金总额）/上年度累计结转结余资金总额]×100%。</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健全性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项目实施单位的业务管理制度是否健全，用以反映和考核业务管</w:t>
            </w:r>
            <w:r>
              <w:rPr>
                <w:rFonts w:hint="eastAsia" w:ascii="Times New Roman" w:hAnsi="Times New Roman" w:eastAsia="仿宋_GB2312"/>
                <w:color w:val="000000"/>
                <w:kern w:val="0"/>
                <w:sz w:val="24"/>
                <w:szCs w:val="24"/>
              </w:rPr>
              <w:t>理</w:t>
            </w:r>
            <w:r>
              <w:rPr>
                <w:rFonts w:ascii="Times New Roman" w:hAnsi="Times New Roman" w:eastAsia="仿宋_GB2312"/>
                <w:color w:val="000000"/>
                <w:kern w:val="0"/>
                <w:sz w:val="24"/>
                <w:szCs w:val="24"/>
              </w:rPr>
              <w:t>制度对项目顺利实施的保障情况。</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是否已制定或具有相应的业务管理制度。</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业务管理制度是否合法、合规、完整。</w:t>
            </w:r>
          </w:p>
        </w:tc>
        <w:tc>
          <w:tcPr>
            <w:tcW w:w="528" w:type="dxa"/>
            <w:noWrap w:val="0"/>
            <w:vAlign w:val="center"/>
          </w:tcPr>
          <w:p>
            <w:pPr>
              <w:spacing w:line="300" w:lineRule="exact"/>
              <w:jc w:val="center"/>
              <w:rPr>
                <w:rFonts w:ascii="Times New Roman" w:hAnsi="Times New Roman" w:eastAsia="仿宋_GB2312"/>
                <w:color w:val="000000"/>
                <w:kern w:val="0"/>
                <w:sz w:val="24"/>
                <w:szCs w:val="24"/>
              </w:rPr>
            </w:pPr>
          </w:p>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制度执行</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有效性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项目实施是否符合相关业务管理规定，用以反映和考核业务管理制度的有效执行情况。</w:t>
            </w:r>
          </w:p>
        </w:tc>
        <w:tc>
          <w:tcPr>
            <w:tcW w:w="3528"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是否遵守相关法律法规和业务管理规定。</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项目调整及支出调整手续是否完备。</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项目合同书、验收报告、技术鉴定等资料是否齐全并及时归档。</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项目实施的人员条件、场地设备，信息支撑等是否落实到位。</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可控性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项目实施到位是否为达到项目质量要求而采取了必需的措施，用以反映和考核项目实施单位对项目质量的控制情况。</w:t>
            </w:r>
          </w:p>
        </w:tc>
        <w:tc>
          <w:tcPr>
            <w:tcW w:w="3528"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是否已制定或其有相应的项目质量要求</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或标准。</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是否采取了相应的项目质量检查、验收等</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必需的控制措施或手段。</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shd w:val="clear" w:color="auto" w:fill="auto"/>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管理制度健全性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项目实施单位的财务制度是否健全，用以反映和考核财务管理制度对资金规范安全运行的保障情况。</w:t>
            </w:r>
          </w:p>
        </w:tc>
        <w:tc>
          <w:tcPr>
            <w:tcW w:w="3528"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是否已制定或具有相应的项目资金管理办法。</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项目资金管理办法是否符合相关财务会计制度的规定。</w:t>
            </w:r>
          </w:p>
        </w:tc>
        <w:tc>
          <w:tcPr>
            <w:tcW w:w="528" w:type="dxa"/>
            <w:noWrap w:val="0"/>
            <w:vAlign w:val="center"/>
          </w:tcPr>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shd w:val="clear" w:color="auto" w:fill="auto"/>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资金使用合规性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项目资金使用是否符合相关的财务管理制度规定，用以反映和考核项目资金的规范运行情况。</w:t>
            </w:r>
          </w:p>
        </w:tc>
        <w:tc>
          <w:tcPr>
            <w:tcW w:w="3528"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是否符合国家财经法规和财务管理以及有关专项资金管理办法的规定。</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资金的拨付是否有完整的审批程序和手续。</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项目的重大开支是否经过评估认证。</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是否符合项目预算批复或合同规定的用途。</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⑤</w:t>
            </w:r>
            <w:r>
              <w:rPr>
                <w:rFonts w:ascii="Times New Roman" w:hAnsi="Times New Roman" w:eastAsia="仿宋_GB2312"/>
                <w:color w:val="000000"/>
                <w:kern w:val="0"/>
                <w:sz w:val="24"/>
                <w:szCs w:val="24"/>
              </w:rPr>
              <w:t>是否存在截留、挤占、挪用、虚列支出等情况。</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财务监控有效性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项目实施单位是否为保障资金的安全、规范运行而采取了必要的监控措施，用以反映和考核项目实施单位对资金运行的控制情况。</w:t>
            </w:r>
          </w:p>
        </w:tc>
        <w:tc>
          <w:tcPr>
            <w:tcW w:w="3528"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是否已制定或具有相应的监控机制。</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是否采取了相应的财务检查等必要的监控措施或手段。</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eastAsia="zh-CN"/>
              </w:rPr>
            </w:pPr>
            <w:r>
              <w:rPr>
                <w:rFonts w:hint="eastAsia" w:ascii="Times New Roman" w:hAnsi="Times New Roman" w:eastAsia="仿宋_GB2312"/>
                <w:color w:val="000000"/>
                <w:kern w:val="0"/>
                <w:sz w:val="24"/>
                <w:szCs w:val="24"/>
                <w:lang w:val="en-US" w:eastAsia="zh-CN"/>
              </w:rPr>
              <w:t>4</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产</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出</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项目产出</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项目实施的实际产出数与计划产出数的比率，用以反映和考核项目产出数量目标的实现程度。</w:t>
            </w:r>
          </w:p>
        </w:tc>
        <w:tc>
          <w:tcPr>
            <w:tcW w:w="3528"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实际完成率＝（实际产出数/计划产出数）×100%。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实际产出数：一定时期（本年度或项目期）内项目实际产出的产品或提供的服务数。</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计划产出数：项目绩效目标确定的在一定时期（本年度或项目期）内计划产出的产品或提供的服务数量。</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及时率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项目实际提前完成时间与计划完成时间的比率，用以反映和考核项目产出时效目标的实现程度。</w:t>
            </w:r>
          </w:p>
        </w:tc>
        <w:tc>
          <w:tcPr>
            <w:tcW w:w="3528"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完成及时率=[ （计划完成时间-实际完成时间）/计划完成时间] ×100%。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实际完成时间：项目实施单位完成该项目实际所耗用的时间。</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计划完成时间：按照项目实施计划或相关规定完成该项目所需的时间。</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shd w:val="clear" w:color="auto" w:fill="auto"/>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达标率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项目完成的质量达标产出数与实际产出数的比率，用以反映和考核项目产出质量目标的实现程度。</w:t>
            </w:r>
          </w:p>
        </w:tc>
        <w:tc>
          <w:tcPr>
            <w:tcW w:w="3528"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质量达标率＝（质量达标产出数/实际产出数）×100%。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质量达标产出数：一定时期（本年度或项目期）内实际达到既定质量标准的产品或服务数量。</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既定质量标准是指项目实施单位设立绩效目标时依据计划标准、行业标准、历史标准或其他标准而设定的绩效指标值。</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shd w:val="clear" w:color="auto" w:fill="auto"/>
            <w:noWrap w:val="0"/>
            <w:vAlign w:val="center"/>
          </w:tcPr>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产</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出</w:t>
            </w: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节约率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完成项目计划工作目标的实际节约成本与计划成本的比率，用以反映和考核项目的成本节约程度。</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成本节约率＝[（计划成本-实际成本） /计划成本]×100%。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实际成本：项目实施单位如期、保质、保量完成既定工作目标实际所耗费的支出。</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计划成本：项目实施单位为完成工作目标计划安排的支出，一般以项目预算为参考。</w:t>
            </w:r>
          </w:p>
        </w:tc>
        <w:tc>
          <w:tcPr>
            <w:tcW w:w="528"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效</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项目效益</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经济效益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项目实施对经济发展所带来的直接或间接影响情况。</w:t>
            </w:r>
          </w:p>
        </w:tc>
        <w:tc>
          <w:tcPr>
            <w:tcW w:w="3528" w:type="dxa"/>
            <w:vMerge w:val="restart"/>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此四项指标为设置项目支出</w:t>
            </w:r>
            <w:r>
              <w:rPr>
                <w:rFonts w:ascii="Times New Roman" w:hAnsi="Times New Roman"/>
                <w:color w:val="000000"/>
                <w:kern w:val="0"/>
                <w:sz w:val="24"/>
                <w:szCs w:val="24"/>
              </w:rPr>
              <w:t>绩</w:t>
            </w:r>
            <w:r>
              <w:rPr>
                <w:rFonts w:ascii="Times New Roman" w:hAnsi="Times New Roman" w:eastAsia="仿宋_GB2312"/>
                <w:color w:val="000000"/>
                <w:kern w:val="0"/>
                <w:sz w:val="24"/>
                <w:szCs w:val="24"/>
              </w:rPr>
              <w:t>效评价指标时必须考虑的共性要素，可根据项目实际并结合绩效目标设立情况有选择的</w:t>
            </w:r>
            <w:r>
              <w:rPr>
                <w:rFonts w:ascii="Times New Roman" w:hAnsi="Times New Roman"/>
                <w:color w:val="000000"/>
                <w:kern w:val="0"/>
                <w:sz w:val="24"/>
                <w:szCs w:val="24"/>
              </w:rPr>
              <w:t>进</w:t>
            </w:r>
            <w:r>
              <w:rPr>
                <w:rFonts w:ascii="Times New Roman" w:hAnsi="Times New Roman" w:eastAsia="仿宋_GB2312"/>
                <w:color w:val="000000"/>
                <w:kern w:val="0"/>
                <w:sz w:val="24"/>
                <w:szCs w:val="24"/>
              </w:rPr>
              <w:t>行设置，并将其细化为相应的个性化指标。</w:t>
            </w:r>
          </w:p>
        </w:tc>
        <w:tc>
          <w:tcPr>
            <w:tcW w:w="528" w:type="dxa"/>
            <w:vMerge w:val="restart"/>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项目实施对社会发展所带来的直接或间接影响情况。</w:t>
            </w:r>
          </w:p>
        </w:tc>
        <w:tc>
          <w:tcPr>
            <w:tcW w:w="3528"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28"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生态效益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项目实施对生态环境所带来的直接或间接影响情况。</w:t>
            </w:r>
          </w:p>
        </w:tc>
        <w:tc>
          <w:tcPr>
            <w:tcW w:w="3528"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28"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可持续</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影响</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项目后续运行及成效发挥的可持续影响情况。</w:t>
            </w:r>
          </w:p>
        </w:tc>
        <w:tc>
          <w:tcPr>
            <w:tcW w:w="3528"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28"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社会公众或服务对象满意度</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社会公众或服务对象对项目实施效果的满意程度。</w:t>
            </w:r>
          </w:p>
        </w:tc>
        <w:tc>
          <w:tcPr>
            <w:tcW w:w="3528"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社会公众或服务对象是指因该项目实施而受到影响的部门（单位）、群体或个人。一般采取社会调查的方式。</w:t>
            </w:r>
          </w:p>
        </w:tc>
        <w:tc>
          <w:tcPr>
            <w:tcW w:w="528" w:type="dxa"/>
            <w:noWrap w:val="0"/>
            <w:vAlign w:val="center"/>
          </w:tcPr>
          <w:p>
            <w:pPr>
              <w:spacing w:line="300" w:lineRule="exact"/>
              <w:jc w:val="center"/>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noWrap w:val="0"/>
            <w:vAlign w:val="center"/>
          </w:tcPr>
          <w:p>
            <w:pPr>
              <w:spacing w:line="300" w:lineRule="exact"/>
              <w:jc w:val="center"/>
              <w:rPr>
                <w:rFonts w:ascii="Times New Roman" w:hAnsi="Times New Roman" w:eastAsia="仿宋_GB2312"/>
                <w:color w:val="000000"/>
                <w:kern w:val="0"/>
                <w:sz w:val="24"/>
                <w:szCs w:val="24"/>
              </w:rPr>
            </w:pPr>
          </w:p>
        </w:tc>
        <w:tc>
          <w:tcPr>
            <w:tcW w:w="844" w:type="dxa"/>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p>
        </w:tc>
        <w:tc>
          <w:tcPr>
            <w:tcW w:w="560" w:type="dxa"/>
            <w:noWrap w:val="0"/>
            <w:vAlign w:val="center"/>
          </w:tcPr>
          <w:p>
            <w:pPr>
              <w:spacing w:line="300" w:lineRule="exact"/>
              <w:jc w:val="center"/>
              <w:rPr>
                <w:rFonts w:ascii="Times New Roman" w:hAnsi="Times New Roman" w:eastAsia="仿宋_GB2312"/>
                <w:color w:val="000000"/>
                <w:spacing w:val="-8"/>
                <w:kern w:val="0"/>
                <w:sz w:val="24"/>
                <w:szCs w:val="24"/>
              </w:rPr>
            </w:pPr>
            <w:r>
              <w:rPr>
                <w:rFonts w:ascii="Times New Roman" w:hAnsi="Times New Roman" w:eastAsia="仿宋_GB2312"/>
                <w:color w:val="000000"/>
                <w:spacing w:val="-8"/>
                <w:kern w:val="0"/>
                <w:sz w:val="24"/>
                <w:szCs w:val="24"/>
              </w:rPr>
              <w:t>100</w:t>
            </w:r>
          </w:p>
        </w:tc>
        <w:tc>
          <w:tcPr>
            <w:tcW w:w="2516" w:type="dxa"/>
            <w:noWrap w:val="0"/>
            <w:vAlign w:val="center"/>
          </w:tcPr>
          <w:p>
            <w:pPr>
              <w:spacing w:line="300" w:lineRule="exact"/>
              <w:rPr>
                <w:rFonts w:ascii="Times New Roman" w:hAnsi="Times New Roman" w:eastAsia="仿宋_GB2312"/>
                <w:color w:val="000000"/>
                <w:kern w:val="0"/>
                <w:sz w:val="24"/>
                <w:szCs w:val="24"/>
              </w:rPr>
            </w:pPr>
          </w:p>
        </w:tc>
        <w:tc>
          <w:tcPr>
            <w:tcW w:w="3528" w:type="dxa"/>
            <w:noWrap w:val="0"/>
            <w:vAlign w:val="center"/>
          </w:tcPr>
          <w:p>
            <w:pPr>
              <w:spacing w:line="300" w:lineRule="exact"/>
              <w:rPr>
                <w:rFonts w:ascii="Times New Roman" w:hAnsi="Times New Roman" w:eastAsia="仿宋_GB2312"/>
                <w:color w:val="000000"/>
                <w:kern w:val="0"/>
                <w:sz w:val="24"/>
                <w:szCs w:val="24"/>
              </w:rPr>
            </w:pPr>
          </w:p>
        </w:tc>
        <w:tc>
          <w:tcPr>
            <w:tcW w:w="528" w:type="dxa"/>
            <w:noWrap w:val="0"/>
            <w:vAlign w:val="center"/>
          </w:tcPr>
          <w:p>
            <w:pPr>
              <w:spacing w:line="300" w:lineRule="exact"/>
              <w:jc w:val="center"/>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95</w:t>
            </w:r>
          </w:p>
        </w:tc>
      </w:tr>
    </w:tbl>
    <w:p>
      <w:pPr>
        <w:spacing w:line="596" w:lineRule="exact"/>
        <w:rPr>
          <w:rFonts w:hint="eastAsia" w:ascii="Times New Roman" w:hAnsi="Times New Roman" w:eastAsia="黑体"/>
          <w:color w:val="000000"/>
          <w:sz w:val="32"/>
          <w:szCs w:val="32"/>
        </w:rPr>
      </w:pPr>
    </w:p>
    <w:p>
      <w:pPr>
        <w:spacing w:line="596" w:lineRule="exact"/>
        <w:rPr>
          <w:rFonts w:hint="eastAsia" w:ascii="Times New Roman" w:hAnsi="Times New Roman" w:eastAsia="黑体"/>
          <w:color w:val="000000"/>
          <w:sz w:val="32"/>
          <w:szCs w:val="32"/>
        </w:rPr>
      </w:pPr>
    </w:p>
    <w:p>
      <w:pPr>
        <w:spacing w:line="576" w:lineRule="exact"/>
        <w:rPr>
          <w:rFonts w:hint="eastAsia" w:ascii="Times New Roman" w:hAnsi="Times New Roman"/>
          <w:color w:val="000000"/>
        </w:rPr>
      </w:pPr>
    </w:p>
    <w:p>
      <w:pPr>
        <w:spacing w:line="576" w:lineRule="exact"/>
        <w:ind w:firstLine="420" w:firstLineChars="200"/>
        <w:rPr>
          <w:rFonts w:hint="eastAsia" w:ascii="Times New Roman" w:hAnsi="Times New Roman"/>
          <w:color w:val="000000"/>
        </w:rPr>
      </w:pPr>
    </w:p>
    <w:p>
      <w:pPr>
        <w:spacing w:line="576" w:lineRule="exact"/>
        <w:ind w:firstLine="420" w:firstLineChars="200"/>
        <w:rPr>
          <w:rFonts w:hint="eastAsia" w:ascii="Times New Roman" w:hAnsi="Times New Roman"/>
          <w:color w:val="000000"/>
        </w:rPr>
      </w:pPr>
    </w:p>
    <w:p>
      <w:pPr>
        <w:spacing w:line="576" w:lineRule="exact"/>
        <w:ind w:firstLine="420" w:firstLineChars="200"/>
        <w:rPr>
          <w:rFonts w:hint="eastAsia" w:ascii="Times New Roman" w:hAnsi="Times New Roman"/>
          <w:color w:val="000000"/>
        </w:rPr>
      </w:pPr>
    </w:p>
    <w:p>
      <w:pPr>
        <w:spacing w:line="576" w:lineRule="exact"/>
        <w:ind w:firstLine="420" w:firstLineChars="200"/>
        <w:rPr>
          <w:rFonts w:hint="eastAsia" w:ascii="Times New Roman" w:hAnsi="Times New Roman"/>
          <w:color w:val="000000"/>
        </w:rPr>
      </w:pPr>
    </w:p>
    <w:p>
      <w:pPr>
        <w:spacing w:line="640" w:lineRule="exact"/>
        <w:ind w:right="840" w:rightChars="400"/>
        <w:jc w:val="both"/>
        <w:rPr>
          <w:rFonts w:hint="eastAsia"/>
          <w:color w:val="000000"/>
          <w:kern w:val="0"/>
        </w:rPr>
      </w:pPr>
    </w:p>
    <w:p>
      <w:bookmarkStart w:id="0" w:name="_GoBack"/>
      <w:bookmarkEnd w:id="0"/>
    </w:p>
    <w:sectPr>
      <w:headerReference r:id="rId4" w:type="first"/>
      <w:footerReference r:id="rId7" w:type="first"/>
      <w:headerReference r:id="rId3" w:type="default"/>
      <w:footerReference r:id="rId5" w:type="default"/>
      <w:footerReference r:id="rId6" w:type="even"/>
      <w:pgSz w:w="11906" w:h="16838"/>
      <w:pgMar w:top="1701" w:right="1474" w:bottom="1418" w:left="1588"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640" w:firstLineChars="4800"/>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625EF"/>
    <w:rsid w:val="72A6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2020-11-19T05:15:00Z</dcterms:created>
  <dc:creator>你知道的呀</dc:creator>
  <cp:lastModifiedBy>你知道的呀</cp:lastModifiedBy>
  <dcterms:modified xsi:type="dcterms:W3CDTF">2020-11-19T05:17:32Z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