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rPr>
          <w:color w:val="000000"/>
        </w:rPr>
      </w:pPr>
      <w:r>
        <w:rPr>
          <w:rFonts w:hint="eastAsia" w:ascii="宋体" w:hAnsi="宋体" w:eastAsia="宋体"/>
          <w:color w:val="000000"/>
          <w:sz w:val="44"/>
          <w:szCs w:val="44"/>
        </w:rPr>
        <w:t>2021年度浏阳市总工会部门决算</w:t>
      </w:r>
      <w:r>
        <w:rPr>
          <w:rFonts w:hint="eastAsia"/>
          <w:color w:val="000000"/>
        </w:rPr>
        <w:t xml:space="preserve"> </w:t>
      </w:r>
    </w:p>
    <w:p>
      <w:pPr>
        <w:spacing w:after="2"/>
        <w:jc w:val="center"/>
        <w:rPr>
          <w:color w:val="000000"/>
          <w:szCs w:val="21"/>
        </w:rPr>
      </w:pPr>
      <w:r>
        <w:rPr>
          <w:rFonts w:hint="eastAsia"/>
          <w:color w:val="000000"/>
          <w:sz w:val="32"/>
          <w:szCs w:val="32"/>
        </w:rPr>
        <w:t> </w:t>
      </w:r>
      <w:r>
        <w:rPr>
          <w:rFonts w:hint="eastAsia"/>
          <w:color w:val="000000"/>
          <w:szCs w:val="21"/>
        </w:rPr>
        <w:t xml:space="preserve"> </w:t>
      </w:r>
    </w:p>
    <w:p>
      <w:pPr>
        <w:spacing w:after="2"/>
        <w:jc w:val="center"/>
        <w:rPr>
          <w:rFonts w:ascii="宋体" w:hAnsi="宋体" w:eastAsia="宋体"/>
          <w:color w:val="000000"/>
          <w:szCs w:val="21"/>
        </w:rPr>
      </w:pPr>
      <w:r>
        <w:rPr>
          <w:rFonts w:hint="eastAsia" w:ascii="宋体" w:hAnsi="宋体" w:eastAsia="宋体"/>
          <w:color w:val="000000"/>
          <w:sz w:val="32"/>
          <w:szCs w:val="32"/>
        </w:rPr>
        <w:t>目 录</w:t>
      </w:r>
      <w:r>
        <w:rPr>
          <w:rFonts w:hint="eastAsia" w:ascii="宋体" w:hAnsi="宋体" w:eastAsia="宋体"/>
          <w:color w:val="000000"/>
          <w:szCs w:val="21"/>
        </w:rPr>
        <w:t xml:space="preserve"> </w:t>
      </w:r>
    </w:p>
    <w:p>
      <w:pPr>
        <w:spacing w:after="2"/>
        <w:jc w:val="center"/>
        <w:rPr>
          <w:color w:val="000000"/>
          <w:szCs w:val="21"/>
        </w:rPr>
      </w:pPr>
    </w:p>
    <w:p>
      <w:pPr>
        <w:pStyle w:val="9"/>
        <w:spacing w:after="2"/>
        <w:ind w:firstLine="641"/>
        <w:rPr>
          <w:color w:val="000000"/>
          <w:sz w:val="27"/>
          <w:szCs w:val="27"/>
        </w:rPr>
      </w:pPr>
      <w:r>
        <w:rPr>
          <w:rFonts w:hint="eastAsia" w:ascii="宋体" w:hAnsi="宋体" w:eastAsia="宋体"/>
          <w:b/>
          <w:bCs/>
          <w:color w:val="000000"/>
          <w:sz w:val="32"/>
          <w:szCs w:val="32"/>
        </w:rPr>
        <w:t>第一部分 浏阳市总工会概况</w:t>
      </w:r>
      <w:r>
        <w:rPr>
          <w:rFonts w:hint="eastAsia"/>
          <w:color w:val="000000"/>
          <w:sz w:val="27"/>
          <w:szCs w:val="27"/>
        </w:rPr>
        <w:t xml:space="preserve"> </w:t>
      </w:r>
    </w:p>
    <w:p>
      <w:pPr>
        <w:pStyle w:val="9"/>
        <w:spacing w:after="2"/>
        <w:ind w:firstLine="700"/>
        <w:rPr>
          <w:color w:val="000000"/>
        </w:rPr>
      </w:pPr>
      <w:r>
        <w:rPr>
          <w:rFonts w:hint="eastAsia" w:ascii="宋体" w:hAnsi="宋体" w:eastAsia="宋体"/>
          <w:color w:val="000000"/>
          <w:sz w:val="28"/>
          <w:szCs w:val="28"/>
        </w:rPr>
        <w:t>一、部门职责</w:t>
      </w:r>
      <w:r>
        <w:rPr>
          <w:rFonts w:hint="eastAsia"/>
          <w:color w:val="000000"/>
        </w:rPr>
        <w:t xml:space="preserve"> </w:t>
      </w:r>
    </w:p>
    <w:p>
      <w:pPr>
        <w:pStyle w:val="9"/>
        <w:spacing w:after="2"/>
        <w:ind w:firstLine="700"/>
        <w:rPr>
          <w:rFonts w:ascii="宋体" w:hAnsi="宋体" w:eastAsia="宋体"/>
          <w:color w:val="000000"/>
          <w:sz w:val="28"/>
          <w:szCs w:val="28"/>
        </w:rPr>
      </w:pPr>
      <w:r>
        <w:rPr>
          <w:rFonts w:hint="eastAsia" w:ascii="宋体" w:hAnsi="宋体" w:eastAsia="宋体"/>
          <w:color w:val="000000"/>
          <w:sz w:val="28"/>
          <w:szCs w:val="28"/>
        </w:rPr>
        <w:t>二、机构设置及决算单位构成</w:t>
      </w:r>
    </w:p>
    <w:p>
      <w:pPr>
        <w:pStyle w:val="9"/>
        <w:spacing w:after="2"/>
        <w:ind w:firstLine="641"/>
        <w:rPr>
          <w:color w:val="000000"/>
          <w:sz w:val="27"/>
          <w:szCs w:val="27"/>
        </w:rPr>
      </w:pPr>
      <w:r>
        <w:rPr>
          <w:rFonts w:hint="eastAsia" w:ascii="宋体" w:hAnsi="宋体" w:eastAsia="宋体"/>
          <w:b/>
          <w:bCs/>
          <w:color w:val="000000"/>
          <w:sz w:val="32"/>
          <w:szCs w:val="32"/>
        </w:rPr>
        <w:t>第二部分 2021年度部门决算表</w:t>
      </w:r>
      <w:r>
        <w:rPr>
          <w:rFonts w:hint="eastAsia"/>
          <w:color w:val="000000"/>
          <w:sz w:val="27"/>
          <w:szCs w:val="27"/>
        </w:rPr>
        <w:t xml:space="preserve"> </w:t>
      </w:r>
    </w:p>
    <w:p>
      <w:pPr>
        <w:pStyle w:val="9"/>
        <w:spacing w:after="2"/>
        <w:ind w:firstLine="700"/>
        <w:rPr>
          <w:color w:val="000000"/>
        </w:rPr>
      </w:pPr>
      <w:r>
        <w:rPr>
          <w:rFonts w:hint="eastAsia" w:ascii="宋体" w:hAnsi="宋体" w:eastAsia="宋体"/>
          <w:color w:val="000000"/>
          <w:sz w:val="28"/>
          <w:szCs w:val="28"/>
        </w:rPr>
        <w:t>一、收入支出决算总表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二、收入决算表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三、支出决算表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四、财政拨款收入支出决算总表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五、一般公共预算财政拨款支出决算表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六、一般公共预算财政拨款基本支出决算明细表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七、一般公共预算财政拨款“三公”经费支出决算表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八、政府性基金预算财政拨款收入支出决算表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九、国有资本经营预算财政拨款支出决算表</w:t>
      </w:r>
      <w:r>
        <w:rPr>
          <w:rFonts w:hint="eastAsia"/>
          <w:color w:val="000000"/>
        </w:rPr>
        <w:t xml:space="preserve"> </w:t>
      </w:r>
    </w:p>
    <w:p>
      <w:pPr>
        <w:pStyle w:val="9"/>
        <w:spacing w:after="2"/>
        <w:ind w:firstLine="700"/>
        <w:rPr>
          <w:color w:val="000000"/>
        </w:rPr>
      </w:pPr>
      <w:r>
        <w:rPr>
          <w:rFonts w:hint="eastAsia" w:ascii="宋体" w:hAnsi="宋体" w:eastAsia="宋体"/>
          <w:b/>
          <w:bCs/>
          <w:color w:val="000000"/>
          <w:sz w:val="32"/>
          <w:szCs w:val="32"/>
        </w:rPr>
        <w:t>第三部分 2021年度部门决算情况说明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一、收入支出决算总体情况说明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二、收入决算情况说明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三、支出决算情况说明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四、财政拨款收入支出决算总体情况说明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五、一般公共预算财政拨款支出决算情况说明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六、一般公共预算财政拨款基本支出决算情况说明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七、一般公共预算财政拨款三公经费支出决算情况说明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八、政府性基金预算收入支出决算情况</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九、国有资本经营预算收入支出决算情况说明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十、关于机关运行经费支出说明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十一、一般性支出情况</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十二、关于政府采购支出说明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十三、关于国有资产占用情况说明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十四、关于2021年度预算绩效情况的说明</w:t>
      </w:r>
      <w:r>
        <w:rPr>
          <w:rFonts w:hint="eastAsia"/>
          <w:color w:val="000000"/>
        </w:rPr>
        <w:t xml:space="preserve"> </w:t>
      </w:r>
    </w:p>
    <w:p>
      <w:pPr>
        <w:pStyle w:val="9"/>
        <w:spacing w:after="2"/>
        <w:ind w:firstLine="641"/>
        <w:rPr>
          <w:color w:val="000000"/>
          <w:sz w:val="27"/>
          <w:szCs w:val="27"/>
        </w:rPr>
      </w:pPr>
      <w:r>
        <w:rPr>
          <w:rFonts w:hint="eastAsia" w:ascii="宋体" w:hAnsi="宋体" w:eastAsia="宋体"/>
          <w:b/>
          <w:bCs/>
          <w:color w:val="000000"/>
          <w:sz w:val="32"/>
          <w:szCs w:val="32"/>
        </w:rPr>
        <w:t>第四部分 名词解释</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第五部分 附件</w:t>
      </w:r>
      <w:r>
        <w:rPr>
          <w:rFonts w:hint="eastAsia"/>
          <w:color w:val="000000"/>
          <w:sz w:val="27"/>
          <w:szCs w:val="27"/>
        </w:rPr>
        <w:t xml:space="preserve"> </w:t>
      </w:r>
    </w:p>
    <w:p>
      <w:pPr>
        <w:widowControl/>
        <w:jc w:val="left"/>
        <w:rPr>
          <w:rFonts w:ascii="宋体" w:hAnsi="宋体" w:eastAsia="宋体" w:cs="宋体"/>
          <w:color w:val="000000"/>
          <w:kern w:val="0"/>
          <w:sz w:val="24"/>
          <w:szCs w:val="24"/>
        </w:rPr>
      </w:pPr>
    </w:p>
    <w:p>
      <w:pPr>
        <w:rPr>
          <w:color w:val="000000"/>
        </w:rPr>
      </w:pPr>
    </w:p>
    <w:p>
      <w:pPr>
        <w:rPr>
          <w:color w:val="000000"/>
        </w:rPr>
      </w:pPr>
    </w:p>
    <w:p>
      <w:pPr>
        <w:spacing w:after="2" w:line="600" w:lineRule="atLeast"/>
        <w:jc w:val="center"/>
        <w:rPr>
          <w:color w:val="000000"/>
          <w:szCs w:val="21"/>
        </w:rPr>
      </w:pPr>
      <w:r>
        <w:rPr>
          <w:rFonts w:hint="eastAsia" w:ascii="宋体" w:hAnsi="宋体" w:eastAsia="宋体"/>
          <w:b/>
          <w:bCs/>
          <w:color w:val="000000"/>
          <w:sz w:val="36"/>
          <w:szCs w:val="36"/>
        </w:rPr>
        <w:t>第一部分 浏阳市总工会概况</w:t>
      </w:r>
      <w:r>
        <w:rPr>
          <w:rFonts w:hint="eastAsia"/>
          <w:b/>
          <w:bCs/>
          <w:color w:val="000000"/>
          <w:szCs w:val="21"/>
        </w:rPr>
        <w:t xml:space="preserve"> </w:t>
      </w:r>
    </w:p>
    <w:p>
      <w:pPr>
        <w:pStyle w:val="5"/>
        <w:spacing w:before="0" w:beforeAutospacing="0" w:after="2" w:afterAutospacing="0"/>
        <w:rPr>
          <w:color w:val="000000"/>
        </w:rPr>
      </w:pPr>
    </w:p>
    <w:p>
      <w:pPr>
        <w:pStyle w:val="10"/>
        <w:spacing w:before="0" w:beforeAutospacing="0" w:after="2" w:afterAutospacing="0"/>
        <w:rPr>
          <w:color w:val="000000"/>
        </w:rPr>
      </w:pPr>
      <w:r>
        <w:rPr>
          <w:rFonts w:hint="eastAsia"/>
          <w:color w:val="000000"/>
          <w:sz w:val="32"/>
          <w:szCs w:val="32"/>
        </w:rPr>
        <w:t> </w:t>
      </w:r>
      <w:r>
        <w:rPr>
          <w:color w:val="000000"/>
        </w:rPr>
        <w:t xml:space="preserve"> </w:t>
      </w:r>
    </w:p>
    <w:p>
      <w:pPr>
        <w:pStyle w:val="9"/>
        <w:spacing w:after="2"/>
        <w:ind w:firstLine="641"/>
        <w:jc w:val="left"/>
        <w:rPr>
          <w:sz w:val="27"/>
          <w:szCs w:val="27"/>
        </w:rPr>
      </w:pPr>
      <w:r>
        <w:rPr>
          <w:rFonts w:hint="eastAsia" w:ascii="宋体" w:hAnsi="宋体" w:eastAsia="宋体"/>
          <w:b/>
          <w:bCs/>
          <w:color w:val="000000"/>
          <w:sz w:val="32"/>
          <w:szCs w:val="32"/>
        </w:rPr>
        <w:t>一、部门职责</w:t>
      </w:r>
      <w:r>
        <w:rPr>
          <w:rFonts w:hint="eastAsia"/>
          <w:color w:val="000000"/>
          <w:sz w:val="27"/>
          <w:szCs w:val="27"/>
        </w:rPr>
        <w:t xml:space="preserve"> </w:t>
      </w:r>
      <w:r>
        <w:rPr>
          <w:rFonts w:hint="eastAsia"/>
          <w:color w:val="000000"/>
          <w:sz w:val="27"/>
          <w:szCs w:val="27"/>
        </w:rPr>
        <w:br w:type="textWrapping"/>
      </w:r>
      <w:r>
        <w:rPr>
          <w:rFonts w:hint="eastAsia"/>
          <w:color w:val="000000"/>
          <w:sz w:val="27"/>
          <w:szCs w:val="27"/>
          <w:lang w:val="en-US" w:eastAsia="zh-CN"/>
        </w:rPr>
        <w:t xml:space="preserve">          </w:t>
      </w:r>
      <w:r>
        <w:rPr>
          <w:rFonts w:hint="eastAsia" w:ascii="宋体" w:hAnsi="宋体"/>
          <w:color w:val="000000"/>
          <w:sz w:val="32"/>
          <w:szCs w:val="32"/>
        </w:rPr>
        <w:t>（一）贯彻党和上级工会组织的方针、政策以及国家关于工会工作的法律、法规；建立和发展基层工会组织，协调各级党组织对工会干部进行管理</w:t>
      </w:r>
    </w:p>
    <w:p>
      <w:pPr>
        <w:pStyle w:val="9"/>
        <w:spacing w:after="2"/>
        <w:ind w:firstLine="641"/>
        <w:jc w:val="left"/>
        <w:rPr>
          <w:sz w:val="27"/>
          <w:szCs w:val="27"/>
        </w:rPr>
      </w:pPr>
      <w:r>
        <w:rPr>
          <w:rFonts w:hint="eastAsia" w:ascii="宋体" w:hAnsi="宋体"/>
          <w:color w:val="000000"/>
          <w:sz w:val="32"/>
          <w:szCs w:val="32"/>
        </w:rPr>
        <w:t>（二）负责发动和组织基层工会开展群众性的社会主义劳动竞赛、技术革新和合理化建议活动</w:t>
      </w:r>
    </w:p>
    <w:p>
      <w:pPr>
        <w:pStyle w:val="9"/>
        <w:spacing w:after="2"/>
        <w:ind w:firstLine="641"/>
        <w:jc w:val="left"/>
        <w:rPr>
          <w:sz w:val="27"/>
          <w:szCs w:val="27"/>
        </w:rPr>
      </w:pPr>
      <w:r>
        <w:rPr>
          <w:rFonts w:hint="eastAsia" w:ascii="宋体" w:hAnsi="宋体"/>
          <w:color w:val="000000"/>
          <w:sz w:val="32"/>
          <w:szCs w:val="32"/>
        </w:rPr>
        <w:t>（三）组织基层工会开展文娱体育活动，搞好工会干部和职工专业技术培训和工会积极分子队伍的建设</w:t>
      </w:r>
    </w:p>
    <w:p>
      <w:pPr>
        <w:pStyle w:val="9"/>
        <w:spacing w:after="2"/>
        <w:ind w:firstLine="641"/>
        <w:jc w:val="left"/>
        <w:rPr>
          <w:sz w:val="27"/>
          <w:szCs w:val="27"/>
        </w:rPr>
      </w:pPr>
      <w:r>
        <w:rPr>
          <w:rFonts w:hint="eastAsia" w:ascii="宋体" w:hAnsi="宋体"/>
          <w:color w:val="000000"/>
          <w:sz w:val="32"/>
          <w:szCs w:val="32"/>
        </w:rPr>
        <w:t>（四）维护职工的合法权益，引导群众参加改革，参与国家社会事务的管理，参与企业和事业单位的民主管理，提高职工队伍的素质</w:t>
      </w:r>
    </w:p>
    <w:p>
      <w:pPr>
        <w:pStyle w:val="9"/>
        <w:spacing w:after="2"/>
        <w:ind w:firstLine="641"/>
        <w:jc w:val="left"/>
        <w:rPr>
          <w:sz w:val="27"/>
          <w:szCs w:val="27"/>
        </w:rPr>
      </w:pPr>
      <w:r>
        <w:rPr>
          <w:rFonts w:hint="eastAsia" w:ascii="宋体" w:hAnsi="宋体"/>
          <w:color w:val="000000"/>
          <w:sz w:val="32"/>
          <w:szCs w:val="32"/>
        </w:rPr>
        <w:t>（五）法按章收缴和管理工会经费；承办市委、市人民政府交办的其他事项</w:t>
      </w:r>
    </w:p>
    <w:p>
      <w:pPr>
        <w:pStyle w:val="9"/>
        <w:spacing w:after="2"/>
        <w:jc w:val="left"/>
        <w:rPr>
          <w:color w:val="000000"/>
          <w:sz w:val="27"/>
          <w:szCs w:val="27"/>
        </w:rPr>
      </w:pPr>
    </w:p>
    <w:p>
      <w:pPr>
        <w:pStyle w:val="9"/>
        <w:spacing w:after="2"/>
        <w:ind w:firstLine="641"/>
        <w:rPr>
          <w:color w:val="000000"/>
          <w:sz w:val="27"/>
          <w:szCs w:val="27"/>
        </w:rPr>
      </w:pPr>
      <w:r>
        <w:rPr>
          <w:rFonts w:hint="eastAsia" w:ascii="宋体" w:hAnsi="宋体" w:eastAsia="宋体"/>
          <w:b/>
          <w:bCs/>
          <w:color w:val="000000"/>
          <w:sz w:val="32"/>
          <w:szCs w:val="32"/>
        </w:rPr>
        <w:t>二、机构设置及决算单位构成</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（一）内设机构设置</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浏阳市总工会内设部室4个，包括：办公室、基层工作部、权益保障部、经济服务部；内设机构为浏阳市职工服务中心、浏阳市工人文化宫。本部门共有编制人数13人,实有人数13人。</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（二）决算单位构成</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浏阳市总工会只有本级，没有其他二级决算单位，因此，纳入2021年部门决算编制范围的只有浏阳市总工会本级。</w:t>
      </w:r>
      <w:r>
        <w:rPr>
          <w:rFonts w:hint="eastAsia"/>
          <w:color w:val="000000"/>
          <w:sz w:val="27"/>
          <w:szCs w:val="27"/>
        </w:rPr>
        <w:t xml:space="preserve"> </w:t>
      </w:r>
    </w:p>
    <w:p>
      <w:pPr>
        <w:pStyle w:val="5"/>
        <w:rPr>
          <w:color w:val="000000"/>
        </w:rPr>
      </w:pPr>
    </w:p>
    <w:p>
      <w:pPr>
        <w:widowControl/>
        <w:jc w:val="left"/>
        <w:rPr>
          <w:rFonts w:ascii="宋体" w:hAnsi="宋体" w:eastAsia="宋体" w:cs="宋体"/>
          <w:color w:val="000000"/>
          <w:kern w:val="0"/>
          <w:sz w:val="24"/>
          <w:szCs w:val="24"/>
        </w:rPr>
        <w:sectPr>
          <w:pgSz w:w="11906" w:h="16838" w:orient="landscape"/>
          <w:pgMar w:top="1440" w:right="1080" w:bottom="1440" w:left="1080" w:header="851" w:footer="992" w:gutter="0"/>
          <w:cols w:space="425" w:num="1"/>
          <w:docGrid w:type="lines" w:linePitch="160" w:charSpace="0"/>
        </w:sectPr>
      </w:pPr>
    </w:p>
    <w:p>
      <w:pPr>
        <w:pStyle w:val="5"/>
        <w:rPr>
          <w:color w:val="000000"/>
        </w:rPr>
      </w:pPr>
    </w:p>
    <w:p>
      <w:pPr>
        <w:pStyle w:val="5"/>
        <w:spacing w:before="0" w:beforeAutospacing="0" w:after="2" w:afterAutospacing="0"/>
        <w:jc w:val="center"/>
        <w:rPr>
          <w:color w:val="000000"/>
        </w:rPr>
      </w:pPr>
      <w:r>
        <w:rPr>
          <w:rFonts w:hint="eastAsia"/>
          <w:b/>
          <w:bCs/>
          <w:color w:val="000000"/>
          <w:sz w:val="36"/>
          <w:szCs w:val="36"/>
        </w:rPr>
        <w:t>第二部分 2021年度部门决算表</w:t>
      </w:r>
    </w:p>
    <w:p>
      <w:pPr>
        <w:pStyle w:val="5"/>
        <w:spacing w:before="0" w:beforeAutospacing="0" w:after="2" w:afterAutospacing="0"/>
        <w:jc w:val="center"/>
        <w:rPr>
          <w:color w:val="000000"/>
        </w:rPr>
      </w:pPr>
    </w:p>
    <w:p>
      <w:pPr>
        <w:pStyle w:val="5"/>
        <w:spacing w:before="0" w:beforeAutospacing="0" w:after="2" w:afterAutospacing="0"/>
        <w:jc w:val="center"/>
        <w:rPr>
          <w:color w:val="000000"/>
        </w:rPr>
      </w:pPr>
    </w:p>
    <w:p>
      <w:pPr>
        <w:pStyle w:val="5"/>
        <w:spacing w:before="0" w:beforeAutospacing="0" w:after="2" w:afterAutospacing="0"/>
        <w:rPr>
          <w:color w:val="000000"/>
        </w:rPr>
      </w:pPr>
    </w:p>
    <w:tbl>
      <w:tblPr>
        <w:tblStyle w:val="6"/>
        <w:tblW w:w="5000" w:type="pct"/>
        <w:jc w:val="center"/>
        <w:tblCellSpacing w:w="0" w:type="dxa"/>
        <w:tblLayout w:type="autofit"/>
        <w:tblCellMar>
          <w:top w:w="0" w:type="dxa"/>
          <w:left w:w="0" w:type="dxa"/>
          <w:bottom w:w="0" w:type="dxa"/>
          <w:right w:w="0" w:type="dxa"/>
        </w:tblCellMar>
      </w:tblPr>
      <w:tblGrid>
        <w:gridCol w:w="4802"/>
        <w:gridCol w:w="648"/>
        <w:gridCol w:w="2569"/>
        <w:gridCol w:w="4802"/>
        <w:gridCol w:w="648"/>
        <w:gridCol w:w="2569"/>
      </w:tblGrid>
      <w:tr>
        <w:trPr>
          <w:tblCellSpacing w:w="0" w:type="dxa"/>
          <w:jc w:val="center"/>
        </w:trPr>
        <w:tc>
          <w:tcPr>
            <w:tcW w:w="5000" w:type="pct"/>
            <w:gridSpan w:val="6"/>
            <w:vAlign w:val="center"/>
          </w:tcPr>
          <w:p>
            <w:pPr>
              <w:pStyle w:val="5"/>
              <w:jc w:val="center"/>
              <w:rPr>
                <w:sz w:val="40"/>
                <w:szCs w:val="40"/>
              </w:rPr>
            </w:pPr>
            <w:r>
              <w:rPr>
                <w:rFonts w:hint="eastAsia"/>
                <w:sz w:val="40"/>
                <w:szCs w:val="40"/>
              </w:rPr>
              <w:t xml:space="preserve">收入支出决算总表 </w:t>
            </w:r>
          </w:p>
        </w:tc>
      </w:tr>
      <w:tr>
        <w:tblPrEx>
          <w:tblCellMar>
            <w:top w:w="0" w:type="dxa"/>
            <w:left w:w="0" w:type="dxa"/>
            <w:bottom w:w="0" w:type="dxa"/>
            <w:right w:w="0" w:type="dxa"/>
          </w:tblCellMar>
        </w:tblPrEx>
        <w:trPr>
          <w:tblCellSpacing w:w="0" w:type="dxa"/>
          <w:jc w:val="center"/>
        </w:trPr>
        <w:tc>
          <w:tcPr>
            <w:tcW w:w="1497" w:type="pct"/>
            <w:vAlign w:val="center"/>
          </w:tcPr>
          <w:p>
            <w:pPr>
              <w:pStyle w:val="5"/>
              <w:rPr>
                <w:sz w:val="22"/>
                <w:szCs w:val="22"/>
              </w:rPr>
            </w:pPr>
          </w:p>
        </w:tc>
        <w:tc>
          <w:tcPr>
            <w:tcW w:w="202" w:type="pct"/>
            <w:vAlign w:val="center"/>
          </w:tcPr>
          <w:p>
            <w:pPr>
              <w:pStyle w:val="5"/>
              <w:rPr>
                <w:sz w:val="22"/>
                <w:szCs w:val="22"/>
              </w:rPr>
            </w:pPr>
          </w:p>
        </w:tc>
        <w:tc>
          <w:tcPr>
            <w:tcW w:w="799" w:type="pct"/>
            <w:vAlign w:val="center"/>
          </w:tcPr>
          <w:p>
            <w:pPr>
              <w:pStyle w:val="5"/>
              <w:rPr>
                <w:sz w:val="22"/>
                <w:szCs w:val="22"/>
              </w:rPr>
            </w:pPr>
          </w:p>
        </w:tc>
        <w:tc>
          <w:tcPr>
            <w:tcW w:w="1497" w:type="pct"/>
            <w:vAlign w:val="center"/>
          </w:tcPr>
          <w:p>
            <w:pPr>
              <w:pStyle w:val="5"/>
              <w:rPr>
                <w:sz w:val="22"/>
                <w:szCs w:val="22"/>
              </w:rPr>
            </w:pPr>
          </w:p>
        </w:tc>
        <w:tc>
          <w:tcPr>
            <w:tcW w:w="1002" w:type="pct"/>
            <w:gridSpan w:val="2"/>
            <w:vAlign w:val="center"/>
          </w:tcPr>
          <w:p>
            <w:pPr>
              <w:pStyle w:val="5"/>
              <w:jc w:val="right"/>
              <w:rPr>
                <w:sz w:val="20"/>
                <w:szCs w:val="20"/>
              </w:rPr>
            </w:pPr>
            <w:r>
              <w:rPr>
                <w:rFonts w:hint="eastAsia"/>
                <w:sz w:val="20"/>
                <w:szCs w:val="20"/>
              </w:rPr>
              <w:t xml:space="preserve">公开01表 </w:t>
            </w:r>
          </w:p>
        </w:tc>
      </w:tr>
      <w:tr>
        <w:trPr>
          <w:tblCellSpacing w:w="0" w:type="dxa"/>
          <w:jc w:val="center"/>
        </w:trPr>
        <w:tc>
          <w:tcPr>
            <w:tcW w:w="3997" w:type="pct"/>
            <w:gridSpan w:val="4"/>
            <w:vAlign w:val="center"/>
          </w:tcPr>
          <w:p>
            <w:pPr>
              <w:pStyle w:val="5"/>
              <w:rPr>
                <w:sz w:val="22"/>
                <w:szCs w:val="22"/>
              </w:rPr>
            </w:pPr>
            <w:r>
              <w:rPr>
                <w:rFonts w:hint="eastAsia"/>
                <w:sz w:val="22"/>
                <w:szCs w:val="22"/>
              </w:rPr>
              <w:t xml:space="preserve">部门：浏阳市总工会 </w:t>
            </w:r>
          </w:p>
        </w:tc>
        <w:tc>
          <w:tcPr>
            <w:tcW w:w="1002" w:type="pct"/>
            <w:gridSpan w:val="2"/>
            <w:vAlign w:val="center"/>
          </w:tcPr>
          <w:p>
            <w:pPr>
              <w:pStyle w:val="5"/>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收入 </w:t>
            </w:r>
          </w:p>
        </w:tc>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支出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金额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金额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 </w:t>
            </w: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一、一般公共预算财政拨款收入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288.19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一、一般公共服务支出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255.27 </w:t>
            </w: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二、政府性基金预算财政拨款收入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二、外交支出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三、国有资本经营预算财政拨款收入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三、国防支出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四、上级补助收入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四、公共安全支出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五、事业收入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五、教育支出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六、经营收入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六、科学技术支出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七、附属单位上缴收入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七、文化旅游体育与传媒支出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八、其他收入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4.80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八、社会保障和就业支出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九、卫生健康支出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十、节能环保支出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十一、城乡社区支出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十二、农林水支出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十三、交通运输支出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十四、资源勘探工业信息等支出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十五、商业服务业等支出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十六、金融支出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十七、援助其他地区支出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十八、自然资源海洋气象等支出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十九、住房保障支出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二十、粮油物资储备支出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二十一、国有资本经营预算支出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二十二、灾害防治及应急管理支出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二十三、其他支出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0"/>
                <w:szCs w:val="20"/>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0"/>
                <w:szCs w:val="20"/>
              </w:rPr>
            </w:pPr>
            <w:r>
              <w:rPr>
                <w:rFonts w:hint="eastAsia"/>
                <w:sz w:val="20"/>
                <w:szCs w:val="20"/>
              </w:rPr>
              <w:t xml:space="preserve">24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0"/>
                <w:szCs w:val="20"/>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二十四、债务还本支出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0"/>
                <w:szCs w:val="20"/>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0"/>
                <w:szCs w:val="20"/>
              </w:rPr>
            </w:pPr>
            <w:r>
              <w:rPr>
                <w:rFonts w:hint="eastAsia"/>
                <w:sz w:val="20"/>
                <w:szCs w:val="20"/>
              </w:rPr>
              <w:t xml:space="preserve">25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0"/>
                <w:szCs w:val="20"/>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二十五、债务付息支出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0"/>
                <w:szCs w:val="20"/>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0"/>
                <w:szCs w:val="20"/>
              </w:rPr>
            </w:pPr>
            <w:r>
              <w:rPr>
                <w:rFonts w:hint="eastAsia"/>
                <w:sz w:val="20"/>
                <w:szCs w:val="20"/>
              </w:rPr>
              <w:t xml:space="preserve">26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0"/>
                <w:szCs w:val="20"/>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二十六、抗疫特别国债安排的支出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2"/>
                <w:szCs w:val="22"/>
              </w:rPr>
            </w:pPr>
            <w:r>
              <w:rPr>
                <w:rFonts w:hint="eastAsia"/>
                <w:b/>
                <w:bCs/>
                <w:sz w:val="22"/>
                <w:szCs w:val="22"/>
              </w:rPr>
              <w:t xml:space="preserve">本年收入合计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292.99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2"/>
                <w:szCs w:val="22"/>
              </w:rPr>
            </w:pPr>
            <w:r>
              <w:rPr>
                <w:rFonts w:hint="eastAsia"/>
                <w:b/>
                <w:bCs/>
                <w:sz w:val="22"/>
                <w:szCs w:val="22"/>
              </w:rPr>
              <w:t xml:space="preserve">本年支出合计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292.99 </w:t>
            </w: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使用非财政拨款结余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结余分配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年初结转和结余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年末结转和结余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r>
      <w:tr>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2"/>
                <w:szCs w:val="22"/>
              </w:rPr>
            </w:pPr>
            <w:r>
              <w:rPr>
                <w:rFonts w:hint="eastAsia"/>
                <w:b/>
                <w:bCs/>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292.99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2"/>
                <w:szCs w:val="22"/>
              </w:rPr>
            </w:pPr>
            <w:r>
              <w:rPr>
                <w:rFonts w:hint="eastAsia"/>
                <w:b/>
                <w:bCs/>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292.99 </w:t>
            </w:r>
          </w:p>
        </w:tc>
      </w:tr>
      <w:tr>
        <w:trPr>
          <w:tblCellSpacing w:w="0" w:type="dxa"/>
          <w:jc w:val="center"/>
        </w:trPr>
        <w:tc>
          <w:tcPr>
            <w:tcW w:w="5000" w:type="pct"/>
            <w:gridSpan w:val="6"/>
            <w:vAlign w:val="center"/>
          </w:tcPr>
          <w:p>
            <w:pPr>
              <w:pStyle w:val="5"/>
              <w:rPr>
                <w:sz w:val="22"/>
                <w:szCs w:val="22"/>
              </w:rPr>
            </w:pPr>
            <w:r>
              <w:rPr>
                <w:rFonts w:hint="eastAsia"/>
                <w:sz w:val="22"/>
                <w:szCs w:val="22"/>
              </w:rPr>
              <w:t xml:space="preserve">注：本表反映部门本年度的总收支和年末结转结余情况。本表金额转换为万元时，因四舍五入可能存在尾数误差。 </w:t>
            </w:r>
          </w:p>
        </w:tc>
      </w:tr>
    </w:tbl>
    <w:p>
      <w:pPr>
        <w:pStyle w:val="5"/>
        <w:jc w:val="center"/>
        <w:rPr>
          <w:color w:val="000000"/>
        </w:rPr>
      </w:pPr>
    </w:p>
    <w:p>
      <w:pPr>
        <w:rPr>
          <w:color w:val="000000"/>
        </w:rPr>
      </w:pPr>
    </w:p>
    <w:tbl>
      <w:tblPr>
        <w:tblStyle w:val="6"/>
        <w:tblW w:w="5000" w:type="pct"/>
        <w:jc w:val="center"/>
        <w:tblCellSpacing w:w="0" w:type="dxa"/>
        <w:tblLayout w:type="autofit"/>
        <w:tblCellMar>
          <w:top w:w="0" w:type="dxa"/>
          <w:left w:w="0" w:type="dxa"/>
          <w:bottom w:w="0" w:type="dxa"/>
          <w:right w:w="0" w:type="dxa"/>
        </w:tblCellMar>
      </w:tblPr>
      <w:tblGrid>
        <w:gridCol w:w="362"/>
        <w:gridCol w:w="362"/>
        <w:gridCol w:w="362"/>
        <w:gridCol w:w="3192"/>
        <w:gridCol w:w="2175"/>
        <w:gridCol w:w="1594"/>
        <w:gridCol w:w="1594"/>
        <w:gridCol w:w="1594"/>
        <w:gridCol w:w="1607"/>
        <w:gridCol w:w="1594"/>
        <w:gridCol w:w="1602"/>
      </w:tblGrid>
      <w:tr>
        <w:tblPrEx>
          <w:tblCellMar>
            <w:top w:w="0" w:type="dxa"/>
            <w:left w:w="0" w:type="dxa"/>
            <w:bottom w:w="0" w:type="dxa"/>
            <w:right w:w="0" w:type="dxa"/>
          </w:tblCellMar>
        </w:tblPrEx>
        <w:trPr>
          <w:tblCellSpacing w:w="0" w:type="dxa"/>
          <w:jc w:val="center"/>
        </w:trPr>
        <w:tc>
          <w:tcPr>
            <w:tcW w:w="5000" w:type="pct"/>
            <w:gridSpan w:val="11"/>
            <w:vAlign w:val="center"/>
          </w:tcPr>
          <w:p>
            <w:pPr>
              <w:pStyle w:val="5"/>
              <w:jc w:val="center"/>
              <w:rPr>
                <w:sz w:val="40"/>
                <w:szCs w:val="40"/>
              </w:rPr>
            </w:pPr>
            <w:r>
              <w:rPr>
                <w:rFonts w:hint="eastAsia"/>
                <w:sz w:val="40"/>
                <w:szCs w:val="40"/>
              </w:rPr>
              <w:t xml:space="preserve">收入决算表 </w:t>
            </w:r>
          </w:p>
        </w:tc>
      </w:tr>
      <w:tr>
        <w:tblPrEx>
          <w:tblCellMar>
            <w:top w:w="0" w:type="dxa"/>
            <w:left w:w="0" w:type="dxa"/>
            <w:bottom w:w="0" w:type="dxa"/>
            <w:right w:w="0" w:type="dxa"/>
          </w:tblCellMar>
        </w:tblPrEx>
        <w:trPr>
          <w:tblCellSpacing w:w="0" w:type="dxa"/>
          <w:jc w:val="center"/>
        </w:trPr>
        <w:tc>
          <w:tcPr>
            <w:tcW w:w="113" w:type="pct"/>
            <w:vAlign w:val="center"/>
          </w:tcPr>
          <w:p>
            <w:pPr>
              <w:pStyle w:val="5"/>
              <w:rPr>
                <w:sz w:val="22"/>
                <w:szCs w:val="22"/>
              </w:rPr>
            </w:pPr>
          </w:p>
        </w:tc>
        <w:tc>
          <w:tcPr>
            <w:tcW w:w="113" w:type="pct"/>
            <w:vAlign w:val="center"/>
          </w:tcPr>
          <w:p>
            <w:pPr>
              <w:pStyle w:val="5"/>
              <w:rPr>
                <w:sz w:val="22"/>
                <w:szCs w:val="22"/>
              </w:rPr>
            </w:pPr>
          </w:p>
        </w:tc>
        <w:tc>
          <w:tcPr>
            <w:tcW w:w="113" w:type="pct"/>
            <w:vAlign w:val="center"/>
          </w:tcPr>
          <w:p>
            <w:pPr>
              <w:pStyle w:val="5"/>
              <w:rPr>
                <w:sz w:val="22"/>
                <w:szCs w:val="22"/>
              </w:rPr>
            </w:pPr>
          </w:p>
        </w:tc>
        <w:tc>
          <w:tcPr>
            <w:tcW w:w="995" w:type="pct"/>
            <w:vAlign w:val="center"/>
          </w:tcPr>
          <w:p>
            <w:pPr>
              <w:pStyle w:val="5"/>
              <w:rPr>
                <w:sz w:val="22"/>
                <w:szCs w:val="22"/>
              </w:rPr>
            </w:pPr>
          </w:p>
        </w:tc>
        <w:tc>
          <w:tcPr>
            <w:tcW w:w="678" w:type="pct"/>
            <w:vAlign w:val="center"/>
          </w:tcPr>
          <w:p>
            <w:pPr>
              <w:pStyle w:val="5"/>
              <w:rPr>
                <w:sz w:val="22"/>
                <w:szCs w:val="22"/>
              </w:rPr>
            </w:pPr>
          </w:p>
        </w:tc>
        <w:tc>
          <w:tcPr>
            <w:tcW w:w="497" w:type="pct"/>
            <w:vAlign w:val="center"/>
          </w:tcPr>
          <w:p>
            <w:pPr>
              <w:pStyle w:val="5"/>
              <w:rPr>
                <w:sz w:val="22"/>
                <w:szCs w:val="22"/>
              </w:rPr>
            </w:pPr>
          </w:p>
        </w:tc>
        <w:tc>
          <w:tcPr>
            <w:tcW w:w="497" w:type="pct"/>
            <w:vAlign w:val="center"/>
          </w:tcPr>
          <w:p>
            <w:pPr>
              <w:pStyle w:val="5"/>
              <w:rPr>
                <w:sz w:val="22"/>
                <w:szCs w:val="22"/>
              </w:rPr>
            </w:pPr>
          </w:p>
        </w:tc>
        <w:tc>
          <w:tcPr>
            <w:tcW w:w="497" w:type="pct"/>
            <w:vAlign w:val="center"/>
          </w:tcPr>
          <w:p>
            <w:pPr>
              <w:pStyle w:val="5"/>
              <w:rPr>
                <w:sz w:val="22"/>
                <w:szCs w:val="22"/>
              </w:rPr>
            </w:pPr>
          </w:p>
        </w:tc>
        <w:tc>
          <w:tcPr>
            <w:tcW w:w="497" w:type="pct"/>
            <w:vAlign w:val="center"/>
          </w:tcPr>
          <w:p>
            <w:pPr>
              <w:pStyle w:val="5"/>
              <w:rPr>
                <w:sz w:val="22"/>
                <w:szCs w:val="22"/>
              </w:rPr>
            </w:pPr>
          </w:p>
        </w:tc>
        <w:tc>
          <w:tcPr>
            <w:tcW w:w="995" w:type="pct"/>
            <w:gridSpan w:val="2"/>
            <w:vAlign w:val="center"/>
          </w:tcPr>
          <w:p>
            <w:pPr>
              <w:pStyle w:val="5"/>
              <w:jc w:val="right"/>
              <w:rPr>
                <w:sz w:val="20"/>
                <w:szCs w:val="20"/>
              </w:rPr>
            </w:pPr>
            <w:r>
              <w:rPr>
                <w:rFonts w:hint="eastAsia"/>
                <w:sz w:val="20"/>
                <w:szCs w:val="20"/>
              </w:rPr>
              <w:t xml:space="preserve">公开02表 </w:t>
            </w:r>
          </w:p>
        </w:tc>
      </w:tr>
      <w:tr>
        <w:tblPrEx>
          <w:tblCellMar>
            <w:top w:w="0" w:type="dxa"/>
            <w:left w:w="0" w:type="dxa"/>
            <w:bottom w:w="0" w:type="dxa"/>
            <w:right w:w="0" w:type="dxa"/>
          </w:tblCellMar>
        </w:tblPrEx>
        <w:trPr>
          <w:tblCellSpacing w:w="0" w:type="dxa"/>
          <w:jc w:val="center"/>
        </w:trPr>
        <w:tc>
          <w:tcPr>
            <w:tcW w:w="4004" w:type="pct"/>
            <w:gridSpan w:val="9"/>
            <w:vAlign w:val="center"/>
          </w:tcPr>
          <w:p>
            <w:pPr>
              <w:pStyle w:val="5"/>
              <w:rPr>
                <w:sz w:val="22"/>
                <w:szCs w:val="22"/>
              </w:rPr>
            </w:pPr>
            <w:r>
              <w:rPr>
                <w:rFonts w:hint="eastAsia"/>
                <w:sz w:val="22"/>
                <w:szCs w:val="22"/>
              </w:rPr>
              <w:t xml:space="preserve">部门：浏阳市总工会 </w:t>
            </w:r>
          </w:p>
        </w:tc>
        <w:tc>
          <w:tcPr>
            <w:tcW w:w="995" w:type="pct"/>
            <w:gridSpan w:val="2"/>
            <w:vAlign w:val="center"/>
          </w:tcPr>
          <w:p>
            <w:pPr>
              <w:pStyle w:val="5"/>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本年收入合计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财政拨款收入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经营收入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附属单位上缴收入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其他收入 </w:t>
            </w:r>
          </w:p>
        </w:tc>
      </w:tr>
      <w:tr>
        <w:tblPrEx>
          <w:tblCellMar>
            <w:top w:w="0" w:type="dxa"/>
            <w:left w:w="0" w:type="dxa"/>
            <w:bottom w:w="0" w:type="dxa"/>
            <w:right w:w="0" w:type="dxa"/>
          </w:tblCellMar>
        </w:tblPrEx>
        <w:trPr>
          <w:trHeight w:val="285" w:hRule="atLeast"/>
          <w:tblCellSpacing w:w="0" w:type="dxa"/>
          <w:jc w:val="center"/>
        </w:trPr>
        <w:tc>
          <w:tcPr>
            <w:tcW w:w="339"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科目名称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栏次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7 </w:t>
            </w:r>
          </w:p>
        </w:tc>
      </w:tr>
      <w:tr>
        <w:tblPrEx>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合计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292.99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288.19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4.80 </w:t>
            </w: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一般公共服务支出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255.27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250.47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4.80 </w:t>
            </w: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群众团体事务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255.27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250.47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4.80 </w:t>
            </w: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行政运行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218.47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218.47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一般行政管理事务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32.00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32.00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其他群众团体事务支出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4.80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4.80 </w:t>
            </w: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文化旅游体育与传媒支出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20701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文化和旅游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2070199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其他文化和旅游支出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社会保障和就业支出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20805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行政事业单位养老支出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2080501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行政单位离退休 </w:t>
            </w: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67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97"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5000" w:type="pct"/>
            <w:gridSpan w:val="11"/>
            <w:vAlign w:val="center"/>
          </w:tcPr>
          <w:p>
            <w:pPr>
              <w:pStyle w:val="5"/>
              <w:rPr>
                <w:sz w:val="22"/>
                <w:szCs w:val="22"/>
              </w:rPr>
            </w:pPr>
            <w:r>
              <w:rPr>
                <w:rFonts w:hint="eastAsia"/>
                <w:sz w:val="22"/>
                <w:szCs w:val="22"/>
              </w:rPr>
              <w:t xml:space="preserve">注：本表反映部门本年度取得的各项收入情况。本表金额转换为万元时，因四舍五入可能存在尾数误差。 </w:t>
            </w:r>
          </w:p>
        </w:tc>
      </w:tr>
    </w:tbl>
    <w:p>
      <w:pPr>
        <w:pStyle w:val="5"/>
        <w:jc w:val="center"/>
        <w:rPr>
          <w:color w:val="000000"/>
        </w:rPr>
      </w:pPr>
    </w:p>
    <w:p>
      <w:pPr>
        <w:rPr>
          <w:color w:val="000000"/>
        </w:rPr>
      </w:pPr>
    </w:p>
    <w:tbl>
      <w:tblPr>
        <w:tblStyle w:val="6"/>
        <w:tblW w:w="5000" w:type="pct"/>
        <w:jc w:val="center"/>
        <w:tblCellSpacing w:w="0" w:type="dxa"/>
        <w:tblLayout w:type="autofit"/>
        <w:tblCellMar>
          <w:top w:w="0" w:type="dxa"/>
          <w:left w:w="0" w:type="dxa"/>
          <w:bottom w:w="0" w:type="dxa"/>
          <w:right w:w="0" w:type="dxa"/>
        </w:tblCellMar>
      </w:tblPr>
      <w:tblGrid>
        <w:gridCol w:w="400"/>
        <w:gridCol w:w="401"/>
        <w:gridCol w:w="404"/>
        <w:gridCol w:w="3548"/>
        <w:gridCol w:w="2415"/>
        <w:gridCol w:w="1771"/>
        <w:gridCol w:w="1771"/>
        <w:gridCol w:w="1780"/>
        <w:gridCol w:w="1771"/>
        <w:gridCol w:w="1777"/>
      </w:tblGrid>
      <w:tr>
        <w:tblPrEx>
          <w:tblCellMar>
            <w:top w:w="0" w:type="dxa"/>
            <w:left w:w="0" w:type="dxa"/>
            <w:bottom w:w="0" w:type="dxa"/>
            <w:right w:w="0" w:type="dxa"/>
          </w:tblCellMar>
        </w:tblPrEx>
        <w:trPr>
          <w:tblCellSpacing w:w="0" w:type="dxa"/>
          <w:jc w:val="center"/>
        </w:trPr>
        <w:tc>
          <w:tcPr>
            <w:tcW w:w="5000" w:type="pct"/>
            <w:gridSpan w:val="10"/>
            <w:vAlign w:val="center"/>
          </w:tcPr>
          <w:p>
            <w:pPr>
              <w:pStyle w:val="5"/>
              <w:jc w:val="center"/>
              <w:rPr>
                <w:sz w:val="40"/>
                <w:szCs w:val="40"/>
              </w:rPr>
            </w:pPr>
            <w:r>
              <w:rPr>
                <w:rFonts w:hint="eastAsia"/>
                <w:sz w:val="40"/>
                <w:szCs w:val="40"/>
              </w:rPr>
              <w:t xml:space="preserve">支出决算表 </w:t>
            </w:r>
          </w:p>
        </w:tc>
      </w:tr>
      <w:tr>
        <w:tblPrEx>
          <w:tblCellMar>
            <w:top w:w="0" w:type="dxa"/>
            <w:left w:w="0" w:type="dxa"/>
            <w:bottom w:w="0" w:type="dxa"/>
            <w:right w:w="0" w:type="dxa"/>
          </w:tblCellMar>
        </w:tblPrEx>
        <w:trPr>
          <w:tblCellSpacing w:w="0" w:type="dxa"/>
          <w:jc w:val="center"/>
        </w:trPr>
        <w:tc>
          <w:tcPr>
            <w:tcW w:w="125" w:type="pct"/>
            <w:vAlign w:val="center"/>
          </w:tcPr>
          <w:p>
            <w:pPr>
              <w:pStyle w:val="5"/>
              <w:rPr>
                <w:sz w:val="22"/>
                <w:szCs w:val="22"/>
              </w:rPr>
            </w:pPr>
          </w:p>
        </w:tc>
        <w:tc>
          <w:tcPr>
            <w:tcW w:w="125" w:type="pct"/>
            <w:vAlign w:val="center"/>
          </w:tcPr>
          <w:p>
            <w:pPr>
              <w:pStyle w:val="5"/>
              <w:rPr>
                <w:sz w:val="22"/>
                <w:szCs w:val="22"/>
              </w:rPr>
            </w:pPr>
          </w:p>
        </w:tc>
        <w:tc>
          <w:tcPr>
            <w:tcW w:w="125" w:type="pct"/>
            <w:vAlign w:val="center"/>
          </w:tcPr>
          <w:p>
            <w:pPr>
              <w:pStyle w:val="5"/>
              <w:rPr>
                <w:sz w:val="22"/>
                <w:szCs w:val="22"/>
              </w:rPr>
            </w:pPr>
          </w:p>
        </w:tc>
        <w:tc>
          <w:tcPr>
            <w:tcW w:w="1105" w:type="pct"/>
            <w:vAlign w:val="center"/>
          </w:tcPr>
          <w:p>
            <w:pPr>
              <w:pStyle w:val="5"/>
              <w:rPr>
                <w:sz w:val="22"/>
                <w:szCs w:val="22"/>
              </w:rPr>
            </w:pPr>
          </w:p>
        </w:tc>
        <w:tc>
          <w:tcPr>
            <w:tcW w:w="753" w:type="pct"/>
            <w:vAlign w:val="center"/>
          </w:tcPr>
          <w:p>
            <w:pPr>
              <w:pStyle w:val="5"/>
              <w:rPr>
                <w:sz w:val="22"/>
                <w:szCs w:val="22"/>
              </w:rPr>
            </w:pPr>
          </w:p>
        </w:tc>
        <w:tc>
          <w:tcPr>
            <w:tcW w:w="552" w:type="pct"/>
            <w:vAlign w:val="center"/>
          </w:tcPr>
          <w:p>
            <w:pPr>
              <w:pStyle w:val="5"/>
              <w:rPr>
                <w:sz w:val="22"/>
                <w:szCs w:val="22"/>
              </w:rPr>
            </w:pPr>
          </w:p>
        </w:tc>
        <w:tc>
          <w:tcPr>
            <w:tcW w:w="552" w:type="pct"/>
            <w:vAlign w:val="center"/>
          </w:tcPr>
          <w:p>
            <w:pPr>
              <w:pStyle w:val="5"/>
              <w:rPr>
                <w:sz w:val="22"/>
                <w:szCs w:val="22"/>
              </w:rPr>
            </w:pPr>
          </w:p>
        </w:tc>
        <w:tc>
          <w:tcPr>
            <w:tcW w:w="552" w:type="pct"/>
            <w:vAlign w:val="center"/>
          </w:tcPr>
          <w:p>
            <w:pPr>
              <w:pStyle w:val="5"/>
              <w:rPr>
                <w:sz w:val="22"/>
                <w:szCs w:val="22"/>
              </w:rPr>
            </w:pPr>
          </w:p>
        </w:tc>
        <w:tc>
          <w:tcPr>
            <w:tcW w:w="1105" w:type="pct"/>
            <w:gridSpan w:val="2"/>
            <w:vAlign w:val="center"/>
          </w:tcPr>
          <w:p>
            <w:pPr>
              <w:pStyle w:val="5"/>
              <w:jc w:val="right"/>
              <w:rPr>
                <w:sz w:val="20"/>
                <w:szCs w:val="20"/>
              </w:rPr>
            </w:pPr>
            <w:r>
              <w:rPr>
                <w:rFonts w:hint="eastAsia"/>
                <w:sz w:val="20"/>
                <w:szCs w:val="20"/>
              </w:rPr>
              <w:t xml:space="preserve">公开03表 </w:t>
            </w:r>
          </w:p>
        </w:tc>
      </w:tr>
      <w:tr>
        <w:tblPrEx>
          <w:tblCellMar>
            <w:top w:w="0" w:type="dxa"/>
            <w:left w:w="0" w:type="dxa"/>
            <w:bottom w:w="0" w:type="dxa"/>
            <w:right w:w="0" w:type="dxa"/>
          </w:tblCellMar>
        </w:tblPrEx>
        <w:trPr>
          <w:tblCellSpacing w:w="0" w:type="dxa"/>
          <w:jc w:val="center"/>
        </w:trPr>
        <w:tc>
          <w:tcPr>
            <w:tcW w:w="3894" w:type="pct"/>
            <w:gridSpan w:val="8"/>
            <w:vAlign w:val="center"/>
          </w:tcPr>
          <w:p>
            <w:pPr>
              <w:pStyle w:val="5"/>
              <w:rPr>
                <w:sz w:val="22"/>
                <w:szCs w:val="22"/>
              </w:rPr>
            </w:pPr>
            <w:r>
              <w:rPr>
                <w:rFonts w:hint="eastAsia"/>
                <w:sz w:val="22"/>
                <w:szCs w:val="22"/>
              </w:rPr>
              <w:t xml:space="preserve">部门：浏阳市总工会 </w:t>
            </w:r>
          </w:p>
        </w:tc>
        <w:tc>
          <w:tcPr>
            <w:tcW w:w="1105" w:type="pct"/>
            <w:gridSpan w:val="2"/>
            <w:vAlign w:val="center"/>
          </w:tcPr>
          <w:p>
            <w:pPr>
              <w:pStyle w:val="5"/>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经营支出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对附属单位补助支出 </w:t>
            </w:r>
          </w:p>
        </w:tc>
      </w:tr>
      <w:tr>
        <w:tblPrEx>
          <w:tblCellMar>
            <w:top w:w="0" w:type="dxa"/>
            <w:left w:w="0" w:type="dxa"/>
            <w:bottom w:w="0" w:type="dxa"/>
            <w:right w:w="0" w:type="dxa"/>
          </w:tblCellMar>
        </w:tblPrEx>
        <w:trPr>
          <w:trHeight w:val="285" w:hRule="atLeast"/>
          <w:tblCellSpacing w:w="0" w:type="dxa"/>
          <w:jc w:val="center"/>
        </w:trPr>
        <w:tc>
          <w:tcPr>
            <w:tcW w:w="376"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科目名称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栏次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 </w:t>
            </w:r>
          </w:p>
        </w:tc>
      </w:tr>
      <w:tr>
        <w:tblPrEx>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合计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292.99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251.19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41.80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一般公共服务支出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255.27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218.47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36.80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群众团体事务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255.27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218.47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36.80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2012901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行政运行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218.47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218.47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2012902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一般行政管理事务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32.00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32.00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2012999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其他群众团体事务支出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4.80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4.80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207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文化旅游体育与传媒支出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20701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文化和旅游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2070199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其他文化和旅游支出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208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社会保障和就业支出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20805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行政事业单位养老支出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2080501 </w:t>
            </w: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行政单位离退休 </w:t>
            </w: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7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105"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75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552"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5000" w:type="pct"/>
            <w:gridSpan w:val="10"/>
            <w:vAlign w:val="center"/>
          </w:tcPr>
          <w:p>
            <w:pPr>
              <w:pStyle w:val="5"/>
              <w:rPr>
                <w:sz w:val="22"/>
                <w:szCs w:val="22"/>
              </w:rPr>
            </w:pPr>
            <w:r>
              <w:rPr>
                <w:rFonts w:hint="eastAsia"/>
                <w:sz w:val="22"/>
                <w:szCs w:val="22"/>
              </w:rPr>
              <w:t xml:space="preserve">注：本表反映部门本年度各项支出情况。本表金额转换为万元时，因四舍五入可能存在尾数误差。 </w:t>
            </w:r>
          </w:p>
        </w:tc>
      </w:tr>
    </w:tbl>
    <w:p>
      <w:pPr>
        <w:pStyle w:val="5"/>
        <w:jc w:val="center"/>
        <w:rPr>
          <w:color w:val="000000"/>
        </w:rPr>
      </w:pPr>
    </w:p>
    <w:p>
      <w:pPr>
        <w:rPr>
          <w:color w:val="000000"/>
        </w:rPr>
      </w:pPr>
    </w:p>
    <w:tbl>
      <w:tblPr>
        <w:tblStyle w:val="6"/>
        <w:tblW w:w="5000" w:type="pct"/>
        <w:jc w:val="center"/>
        <w:tblCellSpacing w:w="0" w:type="dxa"/>
        <w:tblLayout w:type="autofit"/>
        <w:tblCellMar>
          <w:top w:w="0" w:type="dxa"/>
          <w:left w:w="0" w:type="dxa"/>
          <w:bottom w:w="0" w:type="dxa"/>
          <w:right w:w="0" w:type="dxa"/>
        </w:tblCellMar>
      </w:tblPr>
      <w:tblGrid>
        <w:gridCol w:w="3204"/>
        <w:gridCol w:w="529"/>
        <w:gridCol w:w="1559"/>
        <w:gridCol w:w="3692"/>
        <w:gridCol w:w="529"/>
        <w:gridCol w:w="2130"/>
        <w:gridCol w:w="1466"/>
        <w:gridCol w:w="1463"/>
        <w:gridCol w:w="1466"/>
      </w:tblGrid>
      <w:tr>
        <w:tblPrEx>
          <w:tblCellMar>
            <w:top w:w="0" w:type="dxa"/>
            <w:left w:w="0" w:type="dxa"/>
            <w:bottom w:w="0" w:type="dxa"/>
            <w:right w:w="0" w:type="dxa"/>
          </w:tblCellMar>
        </w:tblPrEx>
        <w:trPr>
          <w:tblCellSpacing w:w="0" w:type="dxa"/>
          <w:jc w:val="center"/>
        </w:trPr>
        <w:tc>
          <w:tcPr>
            <w:tcW w:w="5000" w:type="pct"/>
            <w:gridSpan w:val="9"/>
            <w:vAlign w:val="center"/>
          </w:tcPr>
          <w:p>
            <w:pPr>
              <w:pStyle w:val="5"/>
              <w:jc w:val="center"/>
              <w:rPr>
                <w:sz w:val="40"/>
                <w:szCs w:val="40"/>
              </w:rPr>
            </w:pPr>
            <w:r>
              <w:rPr>
                <w:rFonts w:hint="eastAsia"/>
                <w:sz w:val="40"/>
                <w:szCs w:val="40"/>
              </w:rPr>
              <w:t xml:space="preserve">财政拨款收入支出决算总表 </w:t>
            </w:r>
          </w:p>
        </w:tc>
      </w:tr>
      <w:tr>
        <w:tblPrEx>
          <w:tblCellMar>
            <w:top w:w="0" w:type="dxa"/>
            <w:left w:w="0" w:type="dxa"/>
            <w:bottom w:w="0" w:type="dxa"/>
            <w:right w:w="0" w:type="dxa"/>
          </w:tblCellMar>
        </w:tblPrEx>
        <w:trPr>
          <w:tblCellSpacing w:w="0" w:type="dxa"/>
          <w:jc w:val="center"/>
        </w:trPr>
        <w:tc>
          <w:tcPr>
            <w:tcW w:w="999" w:type="pct"/>
            <w:vAlign w:val="center"/>
          </w:tcPr>
          <w:p>
            <w:pPr>
              <w:pStyle w:val="5"/>
              <w:rPr>
                <w:sz w:val="22"/>
                <w:szCs w:val="22"/>
              </w:rPr>
            </w:pPr>
          </w:p>
        </w:tc>
        <w:tc>
          <w:tcPr>
            <w:tcW w:w="165" w:type="pct"/>
            <w:vAlign w:val="center"/>
          </w:tcPr>
          <w:p>
            <w:pPr>
              <w:pStyle w:val="5"/>
              <w:rPr>
                <w:sz w:val="22"/>
                <w:szCs w:val="22"/>
              </w:rPr>
            </w:pPr>
          </w:p>
        </w:tc>
        <w:tc>
          <w:tcPr>
            <w:tcW w:w="486" w:type="pct"/>
            <w:vAlign w:val="center"/>
          </w:tcPr>
          <w:p>
            <w:pPr>
              <w:pStyle w:val="5"/>
              <w:rPr>
                <w:sz w:val="22"/>
                <w:szCs w:val="22"/>
              </w:rPr>
            </w:pPr>
          </w:p>
        </w:tc>
        <w:tc>
          <w:tcPr>
            <w:tcW w:w="1151" w:type="pct"/>
            <w:vAlign w:val="center"/>
          </w:tcPr>
          <w:p>
            <w:pPr>
              <w:pStyle w:val="5"/>
              <w:rPr>
                <w:sz w:val="22"/>
                <w:szCs w:val="22"/>
              </w:rPr>
            </w:pPr>
          </w:p>
        </w:tc>
        <w:tc>
          <w:tcPr>
            <w:tcW w:w="165" w:type="pct"/>
            <w:vAlign w:val="center"/>
          </w:tcPr>
          <w:p>
            <w:pPr>
              <w:pStyle w:val="5"/>
              <w:rPr>
                <w:sz w:val="22"/>
                <w:szCs w:val="22"/>
              </w:rPr>
            </w:pPr>
          </w:p>
        </w:tc>
        <w:tc>
          <w:tcPr>
            <w:tcW w:w="664" w:type="pct"/>
            <w:vAlign w:val="center"/>
          </w:tcPr>
          <w:p>
            <w:pPr>
              <w:pStyle w:val="5"/>
              <w:rPr>
                <w:sz w:val="22"/>
                <w:szCs w:val="22"/>
              </w:rPr>
            </w:pPr>
          </w:p>
        </w:tc>
        <w:tc>
          <w:tcPr>
            <w:tcW w:w="456" w:type="pct"/>
            <w:vAlign w:val="center"/>
          </w:tcPr>
          <w:p>
            <w:pPr>
              <w:pStyle w:val="5"/>
              <w:rPr>
                <w:sz w:val="22"/>
                <w:szCs w:val="22"/>
              </w:rPr>
            </w:pPr>
          </w:p>
        </w:tc>
        <w:tc>
          <w:tcPr>
            <w:tcW w:w="912" w:type="pct"/>
            <w:gridSpan w:val="2"/>
            <w:vAlign w:val="center"/>
          </w:tcPr>
          <w:p>
            <w:pPr>
              <w:pStyle w:val="5"/>
              <w:jc w:val="right"/>
              <w:rPr>
                <w:sz w:val="20"/>
                <w:szCs w:val="20"/>
              </w:rPr>
            </w:pPr>
            <w:r>
              <w:rPr>
                <w:rFonts w:hint="eastAsia"/>
                <w:sz w:val="20"/>
                <w:szCs w:val="20"/>
              </w:rPr>
              <w:t xml:space="preserve">公开04表 </w:t>
            </w:r>
          </w:p>
        </w:tc>
      </w:tr>
      <w:tr>
        <w:tblPrEx>
          <w:tblCellMar>
            <w:top w:w="0" w:type="dxa"/>
            <w:left w:w="0" w:type="dxa"/>
            <w:bottom w:w="0" w:type="dxa"/>
            <w:right w:w="0" w:type="dxa"/>
          </w:tblCellMar>
        </w:tblPrEx>
        <w:trPr>
          <w:tblCellSpacing w:w="0" w:type="dxa"/>
          <w:jc w:val="center"/>
        </w:trPr>
        <w:tc>
          <w:tcPr>
            <w:tcW w:w="4087" w:type="pct"/>
            <w:gridSpan w:val="7"/>
            <w:vAlign w:val="center"/>
          </w:tcPr>
          <w:p>
            <w:pPr>
              <w:pStyle w:val="5"/>
              <w:rPr>
                <w:sz w:val="22"/>
                <w:szCs w:val="22"/>
              </w:rPr>
            </w:pPr>
            <w:r>
              <w:rPr>
                <w:rFonts w:hint="eastAsia"/>
                <w:sz w:val="22"/>
                <w:szCs w:val="22"/>
              </w:rPr>
              <w:t xml:space="preserve">部门：浏阳市总工会 </w:t>
            </w:r>
          </w:p>
        </w:tc>
        <w:tc>
          <w:tcPr>
            <w:tcW w:w="912" w:type="pct"/>
            <w:gridSpan w:val="2"/>
            <w:vAlign w:val="center"/>
          </w:tcPr>
          <w:p>
            <w:pPr>
              <w:pStyle w:val="5"/>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65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收 入 </w:t>
            </w:r>
          </w:p>
        </w:tc>
        <w:tc>
          <w:tcPr>
            <w:tcW w:w="3349" w:type="pct"/>
            <w:gridSpan w:val="6"/>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支 出 </w:t>
            </w:r>
          </w:p>
        </w:tc>
      </w:tr>
      <w:tr>
        <w:tblPrEx>
          <w:tblCellMar>
            <w:top w:w="0" w:type="dxa"/>
            <w:left w:w="0" w:type="dxa"/>
            <w:bottom w:w="0" w:type="dxa"/>
            <w:right w:w="0" w:type="dxa"/>
          </w:tblCellMar>
        </w:tblPrEx>
        <w:trPr>
          <w:trHeight w:val="285"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金额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一般公共预算财政拨款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政府性基金预算财政拨款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国有资本经营预算财政拨款 </w:t>
            </w:r>
          </w:p>
        </w:tc>
      </w:tr>
      <w:tr>
        <w:tblPrEx>
          <w:tblCellMar>
            <w:top w:w="0" w:type="dxa"/>
            <w:left w:w="0" w:type="dxa"/>
            <w:bottom w:w="0" w:type="dxa"/>
            <w:right w:w="0" w:type="dxa"/>
          </w:tblCellMar>
        </w:tblPrEx>
        <w:trPr>
          <w:trHeight w:val="285"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栏次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 </w:t>
            </w: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栏次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 </w:t>
            </w: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一、一般公共预算财政拨款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288.19 </w:t>
            </w: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一、一般公共服务支出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33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250.47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250.47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二、政府性基金预算财政拨款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二、外交支出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34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三、国有资本经营财政拨款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三、国防支出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35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四、公共安全支出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36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五、教育支出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37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六、科学技术支出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38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7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七、文化旅游体育与传媒支出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39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8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八、社会保障和就业支出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40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9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九、卫生健康支出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41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10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十、节能环保支出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42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11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十一、城乡社区支出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43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12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十二、农林水支出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44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13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十三、交通运输支出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45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14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十四、资源勘探工业信息等支出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46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15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十五、商业服务业等支出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47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16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十六、金融支出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48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17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十七、援助其他地区支出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49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18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十八、自然资源海洋气象等支出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50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19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十九、住房保障支出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51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20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二十、粮油物资储备支出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52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21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二十一、国有资本经营预算支出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53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22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二十二、灾害防治及应急管理支出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54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23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二十三、其他支出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55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0"/>
                <w:szCs w:val="20"/>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24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二十四、债务还本支出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56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0"/>
                <w:szCs w:val="20"/>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25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二十五、债务付息支出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57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0"/>
                <w:szCs w:val="20"/>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26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二十六、抗疫特别国债安排的支出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58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2"/>
                <w:szCs w:val="22"/>
              </w:rPr>
            </w:pPr>
            <w:r>
              <w:rPr>
                <w:rFonts w:hint="eastAsia"/>
                <w:b/>
                <w:bCs/>
                <w:sz w:val="22"/>
                <w:szCs w:val="22"/>
              </w:rPr>
              <w:t xml:space="preserve">本年收入合计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27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288.19 </w:t>
            </w: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2"/>
                <w:szCs w:val="22"/>
              </w:rPr>
            </w:pPr>
            <w:r>
              <w:rPr>
                <w:rFonts w:hint="eastAsia"/>
                <w:b/>
                <w:bCs/>
                <w:sz w:val="22"/>
                <w:szCs w:val="22"/>
              </w:rPr>
              <w:t xml:space="preserve">本年支出合计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59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288.19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288.19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年初财政拨款结转和结余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28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年末财政拨款结转和结余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60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一般公共预算财政拨款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29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61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政府性基金预算财政拨款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30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62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国有资本经营预算财政拨款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31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63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2"/>
                <w:szCs w:val="22"/>
              </w:rPr>
            </w:pPr>
            <w:r>
              <w:rPr>
                <w:rFonts w:hint="eastAsia"/>
                <w:b/>
                <w:bCs/>
                <w:sz w:val="22"/>
                <w:szCs w:val="22"/>
              </w:rPr>
              <w:t xml:space="preserve">总计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32 </w:t>
            </w:r>
          </w:p>
        </w:tc>
        <w:tc>
          <w:tcPr>
            <w:tcW w:w="48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288.19 </w:t>
            </w:r>
          </w:p>
        </w:tc>
        <w:tc>
          <w:tcPr>
            <w:tcW w:w="1151"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2"/>
                <w:szCs w:val="22"/>
              </w:rPr>
            </w:pPr>
            <w:r>
              <w:rPr>
                <w:rFonts w:hint="eastAsia"/>
                <w:b/>
                <w:bCs/>
                <w:sz w:val="22"/>
                <w:szCs w:val="22"/>
              </w:rPr>
              <w:t xml:space="preserve">总计 </w:t>
            </w:r>
          </w:p>
        </w:tc>
        <w:tc>
          <w:tcPr>
            <w:tcW w:w="16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64 </w:t>
            </w:r>
          </w:p>
        </w:tc>
        <w:tc>
          <w:tcPr>
            <w:tcW w:w="6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288.19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288.19 </w:t>
            </w: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45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r>
      <w:tr>
        <w:tblPrEx>
          <w:tblCellMar>
            <w:top w:w="0" w:type="dxa"/>
            <w:left w:w="0" w:type="dxa"/>
            <w:bottom w:w="0" w:type="dxa"/>
            <w:right w:w="0" w:type="dxa"/>
          </w:tblCellMar>
        </w:tblPrEx>
        <w:trPr>
          <w:tblCellSpacing w:w="0" w:type="dxa"/>
          <w:jc w:val="center"/>
        </w:trPr>
        <w:tc>
          <w:tcPr>
            <w:tcW w:w="5000" w:type="pct"/>
            <w:gridSpan w:val="9"/>
            <w:vAlign w:val="center"/>
          </w:tcPr>
          <w:p>
            <w:pPr>
              <w:pStyle w:val="5"/>
              <w:rPr>
                <w:sz w:val="22"/>
                <w:szCs w:val="22"/>
              </w:rPr>
            </w:pPr>
            <w:r>
              <w:rPr>
                <w:rFonts w:hint="eastAsia"/>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5"/>
        <w:jc w:val="center"/>
        <w:rPr>
          <w:color w:val="000000"/>
        </w:rPr>
      </w:pPr>
    </w:p>
    <w:p>
      <w:pPr>
        <w:rPr>
          <w:color w:val="000000"/>
        </w:rPr>
      </w:pPr>
    </w:p>
    <w:tbl>
      <w:tblPr>
        <w:tblStyle w:val="6"/>
        <w:tblW w:w="5000" w:type="pct"/>
        <w:jc w:val="center"/>
        <w:tblCellSpacing w:w="0" w:type="dxa"/>
        <w:tblLayout w:type="autofit"/>
        <w:tblCellMar>
          <w:top w:w="0" w:type="dxa"/>
          <w:left w:w="0" w:type="dxa"/>
          <w:bottom w:w="0" w:type="dxa"/>
          <w:right w:w="0" w:type="dxa"/>
        </w:tblCellMar>
      </w:tblPr>
      <w:tblGrid>
        <w:gridCol w:w="452"/>
        <w:gridCol w:w="452"/>
        <w:gridCol w:w="455"/>
        <w:gridCol w:w="5398"/>
        <w:gridCol w:w="3092"/>
        <w:gridCol w:w="3093"/>
        <w:gridCol w:w="3096"/>
      </w:tblGrid>
      <w:tr>
        <w:tblPrEx>
          <w:tblCellMar>
            <w:top w:w="0" w:type="dxa"/>
            <w:left w:w="0" w:type="dxa"/>
            <w:bottom w:w="0" w:type="dxa"/>
            <w:right w:w="0" w:type="dxa"/>
          </w:tblCellMar>
        </w:tblPrEx>
        <w:trPr>
          <w:tblCellSpacing w:w="0" w:type="dxa"/>
          <w:jc w:val="center"/>
        </w:trPr>
        <w:tc>
          <w:tcPr>
            <w:tcW w:w="5000" w:type="pct"/>
            <w:gridSpan w:val="7"/>
            <w:vAlign w:val="center"/>
          </w:tcPr>
          <w:p>
            <w:pPr>
              <w:pStyle w:val="5"/>
              <w:jc w:val="center"/>
              <w:rPr>
                <w:sz w:val="40"/>
                <w:szCs w:val="40"/>
              </w:rPr>
            </w:pPr>
            <w:r>
              <w:rPr>
                <w:rFonts w:hint="eastAsia"/>
                <w:sz w:val="40"/>
                <w:szCs w:val="40"/>
              </w:rPr>
              <w:t xml:space="preserve">一般公共预算财政拨款支出决算表 </w:t>
            </w:r>
          </w:p>
        </w:tc>
      </w:tr>
      <w:tr>
        <w:tblPrEx>
          <w:tblCellMar>
            <w:top w:w="0" w:type="dxa"/>
            <w:left w:w="0" w:type="dxa"/>
            <w:bottom w:w="0" w:type="dxa"/>
            <w:right w:w="0" w:type="dxa"/>
          </w:tblCellMar>
        </w:tblPrEx>
        <w:trPr>
          <w:tblCellSpacing w:w="0" w:type="dxa"/>
          <w:jc w:val="center"/>
        </w:trPr>
        <w:tc>
          <w:tcPr>
            <w:tcW w:w="141" w:type="pct"/>
            <w:vAlign w:val="center"/>
          </w:tcPr>
          <w:p>
            <w:pPr>
              <w:pStyle w:val="5"/>
              <w:rPr>
                <w:sz w:val="22"/>
                <w:szCs w:val="22"/>
              </w:rPr>
            </w:pPr>
          </w:p>
        </w:tc>
        <w:tc>
          <w:tcPr>
            <w:tcW w:w="141" w:type="pct"/>
            <w:vAlign w:val="center"/>
          </w:tcPr>
          <w:p>
            <w:pPr>
              <w:pStyle w:val="5"/>
              <w:rPr>
                <w:sz w:val="22"/>
                <w:szCs w:val="22"/>
              </w:rPr>
            </w:pPr>
          </w:p>
        </w:tc>
        <w:tc>
          <w:tcPr>
            <w:tcW w:w="141" w:type="pct"/>
            <w:vAlign w:val="center"/>
          </w:tcPr>
          <w:p>
            <w:pPr>
              <w:pStyle w:val="5"/>
              <w:rPr>
                <w:sz w:val="22"/>
                <w:szCs w:val="22"/>
              </w:rPr>
            </w:pPr>
          </w:p>
        </w:tc>
        <w:tc>
          <w:tcPr>
            <w:tcW w:w="1683" w:type="pct"/>
            <w:vAlign w:val="center"/>
          </w:tcPr>
          <w:p>
            <w:pPr>
              <w:pStyle w:val="5"/>
              <w:rPr>
                <w:sz w:val="22"/>
                <w:szCs w:val="22"/>
              </w:rPr>
            </w:pPr>
          </w:p>
        </w:tc>
        <w:tc>
          <w:tcPr>
            <w:tcW w:w="964" w:type="pct"/>
            <w:vAlign w:val="center"/>
          </w:tcPr>
          <w:p>
            <w:pPr>
              <w:pStyle w:val="5"/>
              <w:rPr>
                <w:sz w:val="22"/>
                <w:szCs w:val="22"/>
              </w:rPr>
            </w:pPr>
          </w:p>
        </w:tc>
        <w:tc>
          <w:tcPr>
            <w:tcW w:w="1928" w:type="pct"/>
            <w:gridSpan w:val="2"/>
            <w:vAlign w:val="center"/>
          </w:tcPr>
          <w:p>
            <w:pPr>
              <w:pStyle w:val="5"/>
              <w:jc w:val="right"/>
              <w:rPr>
                <w:sz w:val="20"/>
                <w:szCs w:val="20"/>
              </w:rPr>
            </w:pPr>
            <w:r>
              <w:rPr>
                <w:rFonts w:hint="eastAsia"/>
                <w:sz w:val="20"/>
                <w:szCs w:val="20"/>
              </w:rPr>
              <w:t xml:space="preserve">公开05表 </w:t>
            </w:r>
          </w:p>
        </w:tc>
      </w:tr>
      <w:tr>
        <w:tblPrEx>
          <w:tblCellMar>
            <w:top w:w="0" w:type="dxa"/>
            <w:left w:w="0" w:type="dxa"/>
            <w:bottom w:w="0" w:type="dxa"/>
            <w:right w:w="0" w:type="dxa"/>
          </w:tblCellMar>
        </w:tblPrEx>
        <w:trPr>
          <w:tblCellSpacing w:w="0" w:type="dxa"/>
          <w:jc w:val="center"/>
        </w:trPr>
        <w:tc>
          <w:tcPr>
            <w:tcW w:w="3071" w:type="pct"/>
            <w:gridSpan w:val="5"/>
            <w:vAlign w:val="center"/>
          </w:tcPr>
          <w:p>
            <w:pPr>
              <w:pStyle w:val="5"/>
              <w:rPr>
                <w:sz w:val="22"/>
                <w:szCs w:val="22"/>
              </w:rPr>
            </w:pPr>
            <w:r>
              <w:rPr>
                <w:rFonts w:hint="eastAsia"/>
                <w:sz w:val="22"/>
                <w:szCs w:val="22"/>
              </w:rPr>
              <w:t xml:space="preserve">部门：浏阳市总工会 </w:t>
            </w:r>
          </w:p>
        </w:tc>
        <w:tc>
          <w:tcPr>
            <w:tcW w:w="1928" w:type="pct"/>
            <w:gridSpan w:val="2"/>
            <w:vAlign w:val="center"/>
          </w:tcPr>
          <w:p>
            <w:pPr>
              <w:pStyle w:val="5"/>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 </w:t>
            </w:r>
          </w:p>
        </w:tc>
        <w:tc>
          <w:tcPr>
            <w:tcW w:w="2892"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本年支出 </w:t>
            </w:r>
          </w:p>
        </w:tc>
      </w:tr>
      <w:tr>
        <w:tblPrEx>
          <w:tblCellMar>
            <w:top w:w="0" w:type="dxa"/>
            <w:left w:w="0" w:type="dxa"/>
            <w:bottom w:w="0" w:type="dxa"/>
            <w:right w:w="0" w:type="dxa"/>
          </w:tblCellMar>
        </w:tblPrEx>
        <w:trPr>
          <w:trHeight w:val="285" w:hRule="atLeast"/>
          <w:tblCellSpacing w:w="0" w:type="dxa"/>
          <w:jc w:val="center"/>
        </w:trPr>
        <w:tc>
          <w:tcPr>
            <w:tcW w:w="424"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小计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项目支出 </w:t>
            </w: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栏次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 </w:t>
            </w:r>
          </w:p>
        </w:tc>
      </w:tr>
      <w:tr>
        <w:tblPrEx>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合计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288.19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251.19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37.00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一般公共服务支出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250.47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218.47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32.00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群众团体事务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250.47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218.47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32.00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2012901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218.47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218.47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2012902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32.00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32.00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207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文化旅游体育与传媒支出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20701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文化和旅游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2070199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其他文化和旅游支出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5.00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208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社会保障和就业支出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20805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行政事业单位养老支出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2080501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行政单位离退休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32.72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5000" w:type="pct"/>
            <w:gridSpan w:val="7"/>
            <w:vAlign w:val="center"/>
          </w:tcPr>
          <w:p>
            <w:pPr>
              <w:pStyle w:val="5"/>
              <w:rPr>
                <w:sz w:val="22"/>
                <w:szCs w:val="22"/>
              </w:rPr>
            </w:pPr>
            <w:r>
              <w:rPr>
                <w:rFonts w:hint="eastAsia"/>
                <w:sz w:val="22"/>
                <w:szCs w:val="22"/>
              </w:rPr>
              <w:t xml:space="preserve">注：本表反映部门本年度一般公共预算财政拨款支出情况。本表金额转换为万元时，因四舍五入可能存在尾数误差。 </w:t>
            </w:r>
          </w:p>
        </w:tc>
      </w:tr>
    </w:tbl>
    <w:p>
      <w:pPr>
        <w:pStyle w:val="5"/>
        <w:jc w:val="center"/>
        <w:rPr>
          <w:color w:val="000000"/>
        </w:rPr>
      </w:pPr>
    </w:p>
    <w:p>
      <w:pPr>
        <w:rPr>
          <w:color w:val="000000"/>
        </w:rPr>
      </w:pPr>
    </w:p>
    <w:tbl>
      <w:tblPr>
        <w:tblStyle w:val="6"/>
        <w:tblW w:w="5000" w:type="pct"/>
        <w:jc w:val="center"/>
        <w:tblCellSpacing w:w="0" w:type="dxa"/>
        <w:tblLayout w:type="autofit"/>
        <w:tblCellMar>
          <w:top w:w="0" w:type="dxa"/>
          <w:left w:w="0" w:type="dxa"/>
          <w:bottom w:w="0" w:type="dxa"/>
          <w:right w:w="0" w:type="dxa"/>
        </w:tblCellMar>
      </w:tblPr>
      <w:tblGrid>
        <w:gridCol w:w="718"/>
        <w:gridCol w:w="3380"/>
        <w:gridCol w:w="1726"/>
        <w:gridCol w:w="719"/>
        <w:gridCol w:w="2659"/>
        <w:gridCol w:w="1726"/>
        <w:gridCol w:w="722"/>
        <w:gridCol w:w="2659"/>
        <w:gridCol w:w="1729"/>
      </w:tblGrid>
      <w:tr>
        <w:tblPrEx>
          <w:tblCellMar>
            <w:top w:w="0" w:type="dxa"/>
            <w:left w:w="0" w:type="dxa"/>
            <w:bottom w:w="0" w:type="dxa"/>
            <w:right w:w="0" w:type="dxa"/>
          </w:tblCellMar>
        </w:tblPrEx>
        <w:trPr>
          <w:tblCellSpacing w:w="0" w:type="dxa"/>
          <w:jc w:val="center"/>
        </w:trPr>
        <w:tc>
          <w:tcPr>
            <w:tcW w:w="5000" w:type="pct"/>
            <w:gridSpan w:val="9"/>
            <w:vAlign w:val="center"/>
          </w:tcPr>
          <w:p>
            <w:pPr>
              <w:pStyle w:val="5"/>
              <w:jc w:val="center"/>
              <w:rPr>
                <w:sz w:val="40"/>
                <w:szCs w:val="40"/>
              </w:rPr>
            </w:pPr>
            <w:r>
              <w:rPr>
                <w:rFonts w:hint="eastAsia"/>
                <w:sz w:val="40"/>
                <w:szCs w:val="40"/>
              </w:rPr>
              <w:t xml:space="preserve">一般公共预算财政拨款基本支出决算明细表 </w:t>
            </w:r>
          </w:p>
        </w:tc>
      </w:tr>
      <w:tr>
        <w:tblPrEx>
          <w:tblCellMar>
            <w:top w:w="0" w:type="dxa"/>
            <w:left w:w="0" w:type="dxa"/>
            <w:bottom w:w="0" w:type="dxa"/>
            <w:right w:w="0" w:type="dxa"/>
          </w:tblCellMar>
        </w:tblPrEx>
        <w:trPr>
          <w:tblCellSpacing w:w="0" w:type="dxa"/>
          <w:jc w:val="center"/>
        </w:trPr>
        <w:tc>
          <w:tcPr>
            <w:tcW w:w="224" w:type="pct"/>
            <w:vAlign w:val="center"/>
          </w:tcPr>
          <w:p>
            <w:pPr>
              <w:pStyle w:val="5"/>
              <w:rPr>
                <w:sz w:val="22"/>
                <w:szCs w:val="22"/>
              </w:rPr>
            </w:pPr>
          </w:p>
        </w:tc>
        <w:tc>
          <w:tcPr>
            <w:tcW w:w="1053" w:type="pct"/>
            <w:vAlign w:val="center"/>
          </w:tcPr>
          <w:p>
            <w:pPr>
              <w:pStyle w:val="5"/>
              <w:rPr>
                <w:sz w:val="22"/>
                <w:szCs w:val="22"/>
              </w:rPr>
            </w:pPr>
          </w:p>
        </w:tc>
        <w:tc>
          <w:tcPr>
            <w:tcW w:w="538" w:type="pct"/>
            <w:vAlign w:val="center"/>
          </w:tcPr>
          <w:p>
            <w:pPr>
              <w:pStyle w:val="5"/>
              <w:rPr>
                <w:sz w:val="22"/>
                <w:szCs w:val="22"/>
              </w:rPr>
            </w:pPr>
          </w:p>
        </w:tc>
        <w:tc>
          <w:tcPr>
            <w:tcW w:w="224" w:type="pct"/>
            <w:vAlign w:val="center"/>
          </w:tcPr>
          <w:p>
            <w:pPr>
              <w:pStyle w:val="5"/>
              <w:rPr>
                <w:sz w:val="22"/>
                <w:szCs w:val="22"/>
              </w:rPr>
            </w:pPr>
          </w:p>
        </w:tc>
        <w:tc>
          <w:tcPr>
            <w:tcW w:w="829" w:type="pct"/>
            <w:vAlign w:val="center"/>
          </w:tcPr>
          <w:p>
            <w:pPr>
              <w:pStyle w:val="5"/>
              <w:rPr>
                <w:sz w:val="22"/>
                <w:szCs w:val="22"/>
              </w:rPr>
            </w:pPr>
          </w:p>
        </w:tc>
        <w:tc>
          <w:tcPr>
            <w:tcW w:w="538" w:type="pct"/>
            <w:vAlign w:val="center"/>
          </w:tcPr>
          <w:p>
            <w:pPr>
              <w:pStyle w:val="5"/>
              <w:rPr>
                <w:sz w:val="22"/>
                <w:szCs w:val="22"/>
              </w:rPr>
            </w:pPr>
          </w:p>
        </w:tc>
        <w:tc>
          <w:tcPr>
            <w:tcW w:w="224" w:type="pct"/>
            <w:vAlign w:val="center"/>
          </w:tcPr>
          <w:p>
            <w:pPr>
              <w:pStyle w:val="5"/>
              <w:rPr>
                <w:sz w:val="22"/>
                <w:szCs w:val="22"/>
              </w:rPr>
            </w:pPr>
          </w:p>
        </w:tc>
        <w:tc>
          <w:tcPr>
            <w:tcW w:w="1367" w:type="pct"/>
            <w:gridSpan w:val="2"/>
            <w:vAlign w:val="center"/>
          </w:tcPr>
          <w:p>
            <w:pPr>
              <w:pStyle w:val="5"/>
              <w:jc w:val="right"/>
              <w:rPr>
                <w:sz w:val="18"/>
                <w:szCs w:val="18"/>
              </w:rPr>
            </w:pPr>
            <w:r>
              <w:rPr>
                <w:rFonts w:hint="eastAsia"/>
                <w:sz w:val="18"/>
                <w:szCs w:val="18"/>
              </w:rPr>
              <w:t xml:space="preserve">公开06表 </w:t>
            </w:r>
          </w:p>
        </w:tc>
      </w:tr>
      <w:tr>
        <w:tblPrEx>
          <w:tblCellMar>
            <w:top w:w="0" w:type="dxa"/>
            <w:left w:w="0" w:type="dxa"/>
            <w:bottom w:w="0" w:type="dxa"/>
            <w:right w:w="0" w:type="dxa"/>
          </w:tblCellMar>
        </w:tblPrEx>
        <w:trPr>
          <w:tblCellSpacing w:w="0" w:type="dxa"/>
          <w:jc w:val="center"/>
        </w:trPr>
        <w:tc>
          <w:tcPr>
            <w:tcW w:w="3632" w:type="pct"/>
            <w:gridSpan w:val="7"/>
            <w:vAlign w:val="center"/>
          </w:tcPr>
          <w:p>
            <w:pPr>
              <w:pStyle w:val="5"/>
              <w:rPr>
                <w:sz w:val="22"/>
                <w:szCs w:val="22"/>
              </w:rPr>
            </w:pPr>
            <w:r>
              <w:rPr>
                <w:rFonts w:hint="eastAsia"/>
                <w:sz w:val="22"/>
                <w:szCs w:val="22"/>
              </w:rPr>
              <w:t xml:space="preserve">部门：浏阳市总工会 </w:t>
            </w:r>
          </w:p>
        </w:tc>
        <w:tc>
          <w:tcPr>
            <w:tcW w:w="1367" w:type="pct"/>
            <w:gridSpan w:val="2"/>
            <w:vAlign w:val="center"/>
          </w:tcPr>
          <w:p>
            <w:pPr>
              <w:pStyle w:val="5"/>
              <w:jc w:val="right"/>
              <w:rPr>
                <w:sz w:val="18"/>
                <w:szCs w:val="18"/>
              </w:rPr>
            </w:pPr>
            <w:r>
              <w:rPr>
                <w:rFonts w:hint="eastAsia"/>
                <w:sz w:val="18"/>
                <w:szCs w:val="18"/>
              </w:rPr>
              <w:t xml:space="preserve">金额单位：万元 </w:t>
            </w:r>
          </w:p>
        </w:tc>
      </w:tr>
      <w:tr>
        <w:tblPrEx>
          <w:tblCellMar>
            <w:top w:w="0" w:type="dxa"/>
            <w:left w:w="0" w:type="dxa"/>
            <w:bottom w:w="0" w:type="dxa"/>
            <w:right w:w="0" w:type="dxa"/>
          </w:tblCellMar>
        </w:tblPrEx>
        <w:trPr>
          <w:tblCellSpacing w:w="0" w:type="dxa"/>
          <w:jc w:val="center"/>
        </w:trPr>
        <w:tc>
          <w:tcPr>
            <w:tcW w:w="1816"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人员经费 </w:t>
            </w:r>
          </w:p>
        </w:tc>
        <w:tc>
          <w:tcPr>
            <w:tcW w:w="3183" w:type="pct"/>
            <w:gridSpan w:val="6"/>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公用经费 </w:t>
            </w:r>
          </w:p>
        </w:tc>
      </w:tr>
      <w:tr>
        <w:tblPrEx>
          <w:tblCellMar>
            <w:top w:w="0" w:type="dxa"/>
            <w:left w:w="0" w:type="dxa"/>
            <w:bottom w:w="0" w:type="dxa"/>
            <w:right w:w="0" w:type="dxa"/>
          </w:tblCellMar>
        </w:tblPrEx>
        <w:trPr>
          <w:trHeight w:val="285"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决算数 </w:t>
            </w:r>
          </w:p>
        </w:tc>
      </w:tr>
      <w:tr>
        <w:tblPrEx>
          <w:tblCellMar>
            <w:top w:w="0" w:type="dxa"/>
            <w:left w:w="0" w:type="dxa"/>
            <w:bottom w:w="0" w:type="dxa"/>
            <w:right w:w="0" w:type="dxa"/>
          </w:tblCellMar>
        </w:tblPrEx>
        <w:trPr>
          <w:trHeight w:val="285"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301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工资福利支出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210.91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302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商品和服务支出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7.56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307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债务利息及费用支出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30101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基本工资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54.70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30201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办公费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30701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国内债务付息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30102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津贴补贴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42.89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30202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印刷费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30702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国外债务付息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30103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奖金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71.51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30203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咨询费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310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资本性支出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30106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伙食补助费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30204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手续费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31001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房屋建筑物购建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30107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绩效工资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30205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水费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31002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办公设备购置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30108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机关事业单位基本养老保险缴费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16.26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30206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电费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31003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专用设备购置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30109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职业年金缴费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30207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邮电费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31005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基础设施建设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30110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职工基本医疗保险缴费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8.13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30208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取暖费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31006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大型修缮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30111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公务员医疗补助缴费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3.05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30209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物业管理费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31007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信息网络及软件购置更新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30112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其他社会保障缴费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0.93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30211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差旅费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31008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物资储备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30113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住房公积金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6.56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30212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因公出国（境）费用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31009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土地补偿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30114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医疗费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30213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维修（护）费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31010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安置补助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30199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其他工资福利支出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6.89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30214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租赁费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31011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地上附着物和青苗补偿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303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对个人和家庭的补助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32.72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30215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会议费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31012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拆迁补偿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30301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离休费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30216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培训费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31013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公务用车购置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30302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退休费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15.82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30217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公务接待费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31019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其他交通工具购置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30303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退职（役）费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30218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专用材料费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31021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文物和陈列品购置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30304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抚恤金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30224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被装购置费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31022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无形资产购置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30305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生活补助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16.90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30225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专用燃料费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31099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其他资本性支出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30306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救济费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30226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劳务费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399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b/>
                <w:bCs/>
                <w:sz w:val="22"/>
                <w:szCs w:val="22"/>
              </w:rPr>
            </w:pPr>
            <w:r>
              <w:rPr>
                <w:rFonts w:hint="eastAsia"/>
                <w:b/>
                <w:bCs/>
                <w:sz w:val="22"/>
                <w:szCs w:val="22"/>
              </w:rPr>
              <w:t xml:space="preserve">其他支出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30307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医疗费补助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30227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委托业务费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39906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赠与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30308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助学金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30228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工会经费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3.23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39907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国家赔偿费用支出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30309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奖励金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30229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福利费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1.09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39908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对民间非营利组织和群众性自治组织补贴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30310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个人农业生产补贴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30231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公务用车运行维护费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39999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其他支出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30311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代缴社会保险费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30239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其他交通费用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30399 </w:t>
            </w: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其他对个人和家庭的补助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30240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税金及附加费用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053"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30299 </w:t>
            </w: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r>
              <w:rPr>
                <w:rFonts w:hint="eastAsia"/>
                <w:sz w:val="22"/>
                <w:szCs w:val="22"/>
              </w:rPr>
              <w:t xml:space="preserve">其他商品和服务支出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r>
              <w:rPr>
                <w:rFonts w:hint="eastAsia"/>
                <w:sz w:val="22"/>
                <w:szCs w:val="22"/>
              </w:rPr>
              <w:t xml:space="preserve">3.23 </w:t>
            </w:r>
          </w:p>
        </w:tc>
        <w:tc>
          <w:tcPr>
            <w:tcW w:w="224"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829"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1278" w:type="pct"/>
            <w:gridSpan w:val="2"/>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2"/>
                <w:szCs w:val="22"/>
              </w:rPr>
            </w:pPr>
            <w:r>
              <w:rPr>
                <w:rFonts w:hint="eastAsia"/>
                <w:b/>
                <w:bCs/>
                <w:sz w:val="22"/>
                <w:szCs w:val="22"/>
              </w:rPr>
              <w:t xml:space="preserve">人员经费合计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243.63 </w:t>
            </w:r>
          </w:p>
        </w:tc>
        <w:tc>
          <w:tcPr>
            <w:tcW w:w="2645" w:type="pct"/>
            <w:gridSpan w:val="5"/>
            <w:tcBorders>
              <w:top w:val="single" w:color="666666" w:sz="6" w:space="0"/>
              <w:left w:val="single" w:color="666666" w:sz="6" w:space="0"/>
              <w:bottom w:val="single" w:color="666666" w:sz="6" w:space="0"/>
              <w:right w:val="single" w:color="666666" w:sz="6" w:space="0"/>
            </w:tcBorders>
            <w:vAlign w:val="center"/>
          </w:tcPr>
          <w:p>
            <w:pPr>
              <w:pStyle w:val="5"/>
              <w:jc w:val="center"/>
              <w:rPr>
                <w:b/>
                <w:bCs/>
                <w:sz w:val="22"/>
                <w:szCs w:val="22"/>
              </w:rPr>
            </w:pPr>
            <w:r>
              <w:rPr>
                <w:rFonts w:hint="eastAsia"/>
                <w:b/>
                <w:bCs/>
                <w:sz w:val="22"/>
                <w:szCs w:val="22"/>
              </w:rPr>
              <w:t xml:space="preserve">公用经费合计 </w:t>
            </w:r>
          </w:p>
        </w:tc>
        <w:tc>
          <w:tcPr>
            <w:tcW w:w="538"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r>
              <w:rPr>
                <w:rFonts w:hint="eastAsia"/>
                <w:b/>
                <w:bCs/>
                <w:sz w:val="22"/>
                <w:szCs w:val="22"/>
              </w:rPr>
              <w:t xml:space="preserve">7.56 </w:t>
            </w:r>
          </w:p>
        </w:tc>
      </w:tr>
      <w:tr>
        <w:tblPrEx>
          <w:tblCellMar>
            <w:top w:w="0" w:type="dxa"/>
            <w:left w:w="0" w:type="dxa"/>
            <w:bottom w:w="0" w:type="dxa"/>
            <w:right w:w="0" w:type="dxa"/>
          </w:tblCellMar>
        </w:tblPrEx>
        <w:trPr>
          <w:tblCellSpacing w:w="0" w:type="dxa"/>
          <w:jc w:val="center"/>
        </w:trPr>
        <w:tc>
          <w:tcPr>
            <w:tcW w:w="5000" w:type="pct"/>
            <w:gridSpan w:val="9"/>
            <w:vAlign w:val="center"/>
          </w:tcPr>
          <w:p>
            <w:pPr>
              <w:pStyle w:val="5"/>
              <w:rPr>
                <w:sz w:val="22"/>
                <w:szCs w:val="22"/>
              </w:rPr>
            </w:pPr>
            <w:r>
              <w:rPr>
                <w:rFonts w:hint="eastAsia"/>
                <w:sz w:val="22"/>
                <w:szCs w:val="22"/>
              </w:rPr>
              <w:t xml:space="preserve">注：本表反映部门本年度一般公共预算财政拨款基本支出明细情况。本表金额转换为万元时，因四舍五入可能存在尾数误差。 </w:t>
            </w:r>
          </w:p>
        </w:tc>
      </w:tr>
    </w:tbl>
    <w:p>
      <w:pPr>
        <w:pStyle w:val="5"/>
        <w:jc w:val="center"/>
        <w:rPr>
          <w:color w:val="000000"/>
        </w:rPr>
      </w:pPr>
    </w:p>
    <w:p>
      <w:pPr>
        <w:rPr>
          <w:color w:val="000000"/>
        </w:rPr>
      </w:pPr>
    </w:p>
    <w:tbl>
      <w:tblPr>
        <w:tblStyle w:val="6"/>
        <w:tblW w:w="5000" w:type="pct"/>
        <w:jc w:val="center"/>
        <w:tblCellSpacing w:w="0" w:type="dxa"/>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CellMar>
            <w:top w:w="0" w:type="dxa"/>
            <w:left w:w="0" w:type="dxa"/>
            <w:bottom w:w="0" w:type="dxa"/>
            <w:right w:w="0" w:type="dxa"/>
          </w:tblCellMar>
        </w:tblPrEx>
        <w:trPr>
          <w:tblCellSpacing w:w="0" w:type="dxa"/>
          <w:jc w:val="center"/>
        </w:trPr>
        <w:tc>
          <w:tcPr>
            <w:tcW w:w="5000" w:type="pct"/>
            <w:gridSpan w:val="12"/>
            <w:vAlign w:val="center"/>
          </w:tcPr>
          <w:p>
            <w:pPr>
              <w:pStyle w:val="5"/>
              <w:jc w:val="center"/>
              <w:rPr>
                <w:sz w:val="40"/>
                <w:szCs w:val="40"/>
              </w:rPr>
            </w:pPr>
            <w:r>
              <w:rPr>
                <w:rFonts w:hint="eastAsia"/>
                <w:sz w:val="40"/>
                <w:szCs w:val="40"/>
              </w:rPr>
              <w:t xml:space="preserve">一般公共预算财政拨款“三公”经费支出决算表 </w:t>
            </w:r>
          </w:p>
        </w:tc>
      </w:tr>
      <w:tr>
        <w:tblPrEx>
          <w:tblCellMar>
            <w:top w:w="0" w:type="dxa"/>
            <w:left w:w="0" w:type="dxa"/>
            <w:bottom w:w="0" w:type="dxa"/>
            <w:right w:w="0" w:type="dxa"/>
          </w:tblCellMar>
        </w:tblPrEx>
        <w:trPr>
          <w:tblCellSpacing w:w="0" w:type="dxa"/>
          <w:jc w:val="center"/>
        </w:trPr>
        <w:tc>
          <w:tcPr>
            <w:tcW w:w="416" w:type="pct"/>
            <w:vAlign w:val="center"/>
          </w:tcPr>
          <w:p>
            <w:pPr>
              <w:pStyle w:val="5"/>
              <w:rPr>
                <w:sz w:val="22"/>
                <w:szCs w:val="22"/>
              </w:rPr>
            </w:pPr>
          </w:p>
        </w:tc>
        <w:tc>
          <w:tcPr>
            <w:tcW w:w="416" w:type="pct"/>
            <w:vAlign w:val="center"/>
          </w:tcPr>
          <w:p>
            <w:pPr>
              <w:pStyle w:val="5"/>
              <w:rPr>
                <w:sz w:val="22"/>
                <w:szCs w:val="22"/>
              </w:rPr>
            </w:pPr>
          </w:p>
        </w:tc>
        <w:tc>
          <w:tcPr>
            <w:tcW w:w="416" w:type="pct"/>
            <w:vAlign w:val="center"/>
          </w:tcPr>
          <w:p>
            <w:pPr>
              <w:pStyle w:val="5"/>
              <w:rPr>
                <w:sz w:val="22"/>
                <w:szCs w:val="22"/>
              </w:rPr>
            </w:pPr>
          </w:p>
        </w:tc>
        <w:tc>
          <w:tcPr>
            <w:tcW w:w="416" w:type="pct"/>
            <w:vAlign w:val="center"/>
          </w:tcPr>
          <w:p>
            <w:pPr>
              <w:pStyle w:val="5"/>
              <w:rPr>
                <w:sz w:val="22"/>
                <w:szCs w:val="22"/>
              </w:rPr>
            </w:pPr>
          </w:p>
        </w:tc>
        <w:tc>
          <w:tcPr>
            <w:tcW w:w="416" w:type="pct"/>
            <w:vAlign w:val="center"/>
          </w:tcPr>
          <w:p>
            <w:pPr>
              <w:pStyle w:val="5"/>
              <w:rPr>
                <w:sz w:val="22"/>
                <w:szCs w:val="22"/>
              </w:rPr>
            </w:pPr>
          </w:p>
        </w:tc>
        <w:tc>
          <w:tcPr>
            <w:tcW w:w="416" w:type="pct"/>
            <w:vAlign w:val="center"/>
          </w:tcPr>
          <w:p>
            <w:pPr>
              <w:pStyle w:val="5"/>
              <w:rPr>
                <w:sz w:val="22"/>
                <w:szCs w:val="22"/>
              </w:rPr>
            </w:pPr>
          </w:p>
        </w:tc>
        <w:tc>
          <w:tcPr>
            <w:tcW w:w="416" w:type="pct"/>
            <w:vAlign w:val="center"/>
          </w:tcPr>
          <w:p>
            <w:pPr>
              <w:pStyle w:val="5"/>
              <w:rPr>
                <w:sz w:val="22"/>
                <w:szCs w:val="22"/>
              </w:rPr>
            </w:pPr>
          </w:p>
        </w:tc>
        <w:tc>
          <w:tcPr>
            <w:tcW w:w="416" w:type="pct"/>
            <w:vAlign w:val="center"/>
          </w:tcPr>
          <w:p>
            <w:pPr>
              <w:pStyle w:val="5"/>
              <w:rPr>
                <w:sz w:val="22"/>
                <w:szCs w:val="22"/>
              </w:rPr>
            </w:pPr>
          </w:p>
        </w:tc>
        <w:tc>
          <w:tcPr>
            <w:tcW w:w="416" w:type="pct"/>
            <w:vAlign w:val="center"/>
          </w:tcPr>
          <w:p>
            <w:pPr>
              <w:pStyle w:val="5"/>
              <w:rPr>
                <w:sz w:val="22"/>
                <w:szCs w:val="22"/>
              </w:rPr>
            </w:pPr>
          </w:p>
        </w:tc>
        <w:tc>
          <w:tcPr>
            <w:tcW w:w="416" w:type="pct"/>
            <w:vAlign w:val="center"/>
          </w:tcPr>
          <w:p>
            <w:pPr>
              <w:pStyle w:val="5"/>
              <w:rPr>
                <w:sz w:val="22"/>
                <w:szCs w:val="22"/>
              </w:rPr>
            </w:pPr>
          </w:p>
        </w:tc>
        <w:tc>
          <w:tcPr>
            <w:tcW w:w="833" w:type="pct"/>
            <w:gridSpan w:val="2"/>
            <w:vAlign w:val="center"/>
          </w:tcPr>
          <w:p>
            <w:pPr>
              <w:pStyle w:val="5"/>
              <w:jc w:val="right"/>
              <w:rPr>
                <w:sz w:val="20"/>
                <w:szCs w:val="20"/>
              </w:rPr>
            </w:pPr>
            <w:r>
              <w:rPr>
                <w:rFonts w:hint="eastAsia"/>
                <w:sz w:val="20"/>
                <w:szCs w:val="20"/>
              </w:rPr>
              <w:t xml:space="preserve">公开07表 </w:t>
            </w:r>
          </w:p>
        </w:tc>
      </w:tr>
      <w:tr>
        <w:tblPrEx>
          <w:tblCellMar>
            <w:top w:w="0" w:type="dxa"/>
            <w:left w:w="0" w:type="dxa"/>
            <w:bottom w:w="0" w:type="dxa"/>
            <w:right w:w="0" w:type="dxa"/>
          </w:tblCellMar>
        </w:tblPrEx>
        <w:trPr>
          <w:tblCellSpacing w:w="0" w:type="dxa"/>
          <w:jc w:val="center"/>
        </w:trPr>
        <w:tc>
          <w:tcPr>
            <w:tcW w:w="4166" w:type="pct"/>
            <w:gridSpan w:val="10"/>
            <w:vAlign w:val="center"/>
          </w:tcPr>
          <w:p>
            <w:pPr>
              <w:pStyle w:val="5"/>
              <w:rPr>
                <w:sz w:val="22"/>
                <w:szCs w:val="22"/>
              </w:rPr>
            </w:pPr>
            <w:r>
              <w:rPr>
                <w:rFonts w:hint="eastAsia"/>
                <w:sz w:val="22"/>
                <w:szCs w:val="22"/>
              </w:rPr>
              <w:t xml:space="preserve">部门：浏阳市总工会 </w:t>
            </w:r>
          </w:p>
        </w:tc>
        <w:tc>
          <w:tcPr>
            <w:tcW w:w="833" w:type="pct"/>
            <w:gridSpan w:val="2"/>
            <w:vAlign w:val="center"/>
          </w:tcPr>
          <w:p>
            <w:pPr>
              <w:pStyle w:val="5"/>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预算数 </w:t>
            </w:r>
          </w:p>
        </w:tc>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决算数 </w:t>
            </w:r>
          </w:p>
        </w:tc>
      </w:tr>
      <w:tr>
        <w:tblPrEx>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公务接待费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公务接待费 </w:t>
            </w:r>
          </w:p>
        </w:tc>
      </w:tr>
      <w:tr>
        <w:tblPrEx>
          <w:tblCellMar>
            <w:top w:w="0" w:type="dxa"/>
            <w:left w:w="0" w:type="dxa"/>
            <w:bottom w:w="0" w:type="dxa"/>
            <w:right w:w="0" w:type="dxa"/>
          </w:tblCellMar>
        </w:tblPrEx>
        <w:trPr>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7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8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9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11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12 </w:t>
            </w: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5000" w:type="pct"/>
            <w:gridSpan w:val="12"/>
            <w:vAlign w:val="center"/>
          </w:tcPr>
          <w:p>
            <w:pPr>
              <w:pStyle w:val="5"/>
              <w:rPr>
                <w:sz w:val="22"/>
                <w:szCs w:val="22"/>
              </w:rPr>
            </w:pPr>
            <w:r>
              <w:rPr>
                <w:rFonts w:hint="eastAsia"/>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单位没有一般公共预算财政拨款安排的“三公”经费收入，也没有使用一般公共预算财政拨款安排的“三公”经费支出，故本表无数据。 </w:t>
            </w:r>
          </w:p>
        </w:tc>
      </w:tr>
    </w:tbl>
    <w:p>
      <w:pPr>
        <w:pStyle w:val="5"/>
        <w:jc w:val="center"/>
        <w:rPr>
          <w:color w:val="000000"/>
        </w:rPr>
      </w:pPr>
    </w:p>
    <w:p>
      <w:pPr>
        <w:rPr>
          <w:color w:val="000000"/>
        </w:rPr>
      </w:pPr>
    </w:p>
    <w:tbl>
      <w:tblPr>
        <w:tblStyle w:val="6"/>
        <w:tblW w:w="5000" w:type="pct"/>
        <w:jc w:val="center"/>
        <w:tblCellSpacing w:w="0" w:type="dxa"/>
        <w:tblLayout w:type="autofit"/>
        <w:tblCellMar>
          <w:top w:w="0" w:type="dxa"/>
          <w:left w:w="0" w:type="dxa"/>
          <w:bottom w:w="0" w:type="dxa"/>
          <w:right w:w="0" w:type="dxa"/>
        </w:tblCellMar>
      </w:tblPr>
      <w:tblGrid>
        <w:gridCol w:w="333"/>
        <w:gridCol w:w="334"/>
        <w:gridCol w:w="334"/>
        <w:gridCol w:w="3458"/>
        <w:gridCol w:w="1180"/>
        <w:gridCol w:w="1969"/>
        <w:gridCol w:w="1075"/>
        <w:gridCol w:w="1527"/>
        <w:gridCol w:w="1517"/>
        <w:gridCol w:w="4311"/>
      </w:tblGrid>
      <w:tr>
        <w:tblPrEx>
          <w:tblCellMar>
            <w:top w:w="0" w:type="dxa"/>
            <w:left w:w="0" w:type="dxa"/>
            <w:bottom w:w="0" w:type="dxa"/>
            <w:right w:w="0" w:type="dxa"/>
          </w:tblCellMar>
        </w:tblPrEx>
        <w:trPr>
          <w:tblCellSpacing w:w="0" w:type="dxa"/>
          <w:jc w:val="center"/>
        </w:trPr>
        <w:tc>
          <w:tcPr>
            <w:tcW w:w="5000" w:type="pct"/>
            <w:gridSpan w:val="10"/>
            <w:vAlign w:val="center"/>
          </w:tcPr>
          <w:p>
            <w:pPr>
              <w:pStyle w:val="5"/>
              <w:jc w:val="center"/>
              <w:rPr>
                <w:sz w:val="40"/>
                <w:szCs w:val="40"/>
              </w:rPr>
            </w:pPr>
            <w:r>
              <w:rPr>
                <w:rFonts w:hint="eastAsia"/>
                <w:sz w:val="40"/>
                <w:szCs w:val="40"/>
              </w:rPr>
              <w:t xml:space="preserve">政府性基金预算财政拨款收入支出决算表 </w:t>
            </w:r>
          </w:p>
        </w:tc>
      </w:tr>
      <w:tr>
        <w:tblPrEx>
          <w:tblCellMar>
            <w:top w:w="0" w:type="dxa"/>
            <w:left w:w="0" w:type="dxa"/>
            <w:bottom w:w="0" w:type="dxa"/>
            <w:right w:w="0" w:type="dxa"/>
          </w:tblCellMar>
        </w:tblPrEx>
        <w:trPr>
          <w:tblCellSpacing w:w="0" w:type="dxa"/>
          <w:jc w:val="center"/>
        </w:trPr>
        <w:tc>
          <w:tcPr>
            <w:tcW w:w="104" w:type="pct"/>
            <w:vAlign w:val="center"/>
          </w:tcPr>
          <w:p>
            <w:pPr>
              <w:pStyle w:val="5"/>
              <w:rPr>
                <w:sz w:val="22"/>
                <w:szCs w:val="22"/>
              </w:rPr>
            </w:pPr>
          </w:p>
        </w:tc>
        <w:tc>
          <w:tcPr>
            <w:tcW w:w="104" w:type="pct"/>
            <w:vAlign w:val="center"/>
          </w:tcPr>
          <w:p>
            <w:pPr>
              <w:pStyle w:val="5"/>
              <w:rPr>
                <w:sz w:val="22"/>
                <w:szCs w:val="22"/>
              </w:rPr>
            </w:pPr>
          </w:p>
        </w:tc>
        <w:tc>
          <w:tcPr>
            <w:tcW w:w="104" w:type="pct"/>
            <w:vAlign w:val="center"/>
          </w:tcPr>
          <w:p>
            <w:pPr>
              <w:pStyle w:val="5"/>
              <w:rPr>
                <w:sz w:val="22"/>
                <w:szCs w:val="22"/>
              </w:rPr>
            </w:pPr>
          </w:p>
        </w:tc>
        <w:tc>
          <w:tcPr>
            <w:tcW w:w="1078" w:type="pct"/>
            <w:vAlign w:val="center"/>
          </w:tcPr>
          <w:p>
            <w:pPr>
              <w:pStyle w:val="5"/>
              <w:rPr>
                <w:sz w:val="22"/>
                <w:szCs w:val="22"/>
              </w:rPr>
            </w:pPr>
          </w:p>
        </w:tc>
        <w:tc>
          <w:tcPr>
            <w:tcW w:w="368" w:type="pct"/>
            <w:vAlign w:val="center"/>
          </w:tcPr>
          <w:p>
            <w:pPr>
              <w:pStyle w:val="5"/>
              <w:rPr>
                <w:sz w:val="22"/>
                <w:szCs w:val="22"/>
              </w:rPr>
            </w:pPr>
          </w:p>
        </w:tc>
        <w:tc>
          <w:tcPr>
            <w:tcW w:w="614" w:type="pct"/>
            <w:vAlign w:val="center"/>
          </w:tcPr>
          <w:p>
            <w:pPr>
              <w:pStyle w:val="5"/>
              <w:rPr>
                <w:sz w:val="22"/>
                <w:szCs w:val="22"/>
              </w:rPr>
            </w:pPr>
          </w:p>
        </w:tc>
        <w:tc>
          <w:tcPr>
            <w:tcW w:w="335" w:type="pct"/>
            <w:vAlign w:val="center"/>
          </w:tcPr>
          <w:p>
            <w:pPr>
              <w:pStyle w:val="5"/>
              <w:rPr>
                <w:sz w:val="22"/>
                <w:szCs w:val="22"/>
              </w:rPr>
            </w:pPr>
          </w:p>
        </w:tc>
        <w:tc>
          <w:tcPr>
            <w:tcW w:w="473" w:type="pct"/>
            <w:vAlign w:val="center"/>
          </w:tcPr>
          <w:p>
            <w:pPr>
              <w:pStyle w:val="5"/>
              <w:rPr>
                <w:sz w:val="22"/>
                <w:szCs w:val="22"/>
              </w:rPr>
            </w:pPr>
          </w:p>
        </w:tc>
        <w:tc>
          <w:tcPr>
            <w:tcW w:w="1816" w:type="pct"/>
            <w:gridSpan w:val="2"/>
            <w:vAlign w:val="center"/>
          </w:tcPr>
          <w:p>
            <w:pPr>
              <w:pStyle w:val="5"/>
              <w:jc w:val="right"/>
              <w:rPr>
                <w:sz w:val="20"/>
                <w:szCs w:val="20"/>
              </w:rPr>
            </w:pPr>
            <w:r>
              <w:rPr>
                <w:rFonts w:hint="eastAsia"/>
                <w:sz w:val="20"/>
                <w:szCs w:val="20"/>
              </w:rPr>
              <w:t xml:space="preserve">公开08表 </w:t>
            </w:r>
          </w:p>
        </w:tc>
      </w:tr>
      <w:tr>
        <w:tblPrEx>
          <w:tblCellMar>
            <w:top w:w="0" w:type="dxa"/>
            <w:left w:w="0" w:type="dxa"/>
            <w:bottom w:w="0" w:type="dxa"/>
            <w:right w:w="0" w:type="dxa"/>
          </w:tblCellMar>
        </w:tblPrEx>
        <w:trPr>
          <w:tblCellSpacing w:w="0" w:type="dxa"/>
          <w:jc w:val="center"/>
        </w:trPr>
        <w:tc>
          <w:tcPr>
            <w:tcW w:w="3183" w:type="pct"/>
            <w:gridSpan w:val="8"/>
            <w:vAlign w:val="center"/>
          </w:tcPr>
          <w:p>
            <w:pPr>
              <w:pStyle w:val="5"/>
              <w:rPr>
                <w:sz w:val="22"/>
                <w:szCs w:val="22"/>
              </w:rPr>
            </w:pPr>
            <w:r>
              <w:rPr>
                <w:rFonts w:hint="eastAsia"/>
                <w:sz w:val="22"/>
                <w:szCs w:val="22"/>
              </w:rPr>
              <w:t xml:space="preserve">部门：浏阳市总工会 </w:t>
            </w:r>
          </w:p>
        </w:tc>
        <w:tc>
          <w:tcPr>
            <w:tcW w:w="1816" w:type="pct"/>
            <w:gridSpan w:val="2"/>
            <w:vAlign w:val="center"/>
          </w:tcPr>
          <w:p>
            <w:pPr>
              <w:pStyle w:val="5"/>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年初结转和结余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本年收入 </w:t>
            </w:r>
          </w:p>
        </w:tc>
        <w:tc>
          <w:tcPr>
            <w:tcW w:w="1281"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本年支出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年末结转和结余 </w:t>
            </w:r>
          </w:p>
        </w:tc>
      </w:tr>
      <w:tr>
        <w:tblPrEx>
          <w:tblCellMar>
            <w:top w:w="0" w:type="dxa"/>
            <w:left w:w="0" w:type="dxa"/>
            <w:bottom w:w="0" w:type="dxa"/>
            <w:right w:w="0" w:type="dxa"/>
          </w:tblCellMar>
        </w:tblPrEx>
        <w:trPr>
          <w:trHeight w:val="285" w:hRule="atLeast"/>
          <w:tblCellSpacing w:w="0" w:type="dxa"/>
          <w:jc w:val="center"/>
        </w:trPr>
        <w:tc>
          <w:tcPr>
            <w:tcW w:w="312"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科目名称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小计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项目支出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栏次 </w:t>
            </w:r>
          </w:p>
        </w:tc>
        <w:tc>
          <w:tcPr>
            <w:tcW w:w="368"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 </w:t>
            </w:r>
          </w:p>
        </w:tc>
        <w:tc>
          <w:tcPr>
            <w:tcW w:w="614"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 </w:t>
            </w:r>
          </w:p>
        </w:tc>
        <w:tc>
          <w:tcPr>
            <w:tcW w:w="335"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 </w:t>
            </w: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4 </w:t>
            </w: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5 </w:t>
            </w:r>
          </w:p>
        </w:tc>
        <w:tc>
          <w:tcPr>
            <w:tcW w:w="1343"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6 </w:t>
            </w:r>
          </w:p>
        </w:tc>
      </w:tr>
      <w:tr>
        <w:tblPrEx>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合计 </w:t>
            </w:r>
          </w:p>
        </w:tc>
        <w:tc>
          <w:tcPr>
            <w:tcW w:w="368"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61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335"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134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r>
      <w:tr>
        <w:tblPrEx>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078"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36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61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335"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3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078"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36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61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335"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3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078"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36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61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335"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3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078"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36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61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335"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3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078"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36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61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335"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3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078"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368"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614"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335"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47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13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5000" w:type="pct"/>
            <w:gridSpan w:val="10"/>
            <w:vAlign w:val="center"/>
          </w:tcPr>
          <w:p>
            <w:pPr>
              <w:pStyle w:val="5"/>
              <w:rPr>
                <w:sz w:val="22"/>
                <w:szCs w:val="22"/>
              </w:rPr>
            </w:pPr>
            <w:r>
              <w:rPr>
                <w:rFonts w:hint="eastAsia"/>
                <w:sz w:val="22"/>
                <w:szCs w:val="22"/>
              </w:rPr>
              <w:t xml:space="preserve">注：本表反映部门本年度政府性基金预算财政拨款收入、支出及结转和结余情况。本单位没有政府性基金收入，也没有使用政府性基金安排的支出，故本表无数据。 </w:t>
            </w:r>
          </w:p>
        </w:tc>
      </w:tr>
    </w:tbl>
    <w:p>
      <w:pPr>
        <w:pStyle w:val="5"/>
        <w:jc w:val="center"/>
        <w:rPr>
          <w:color w:val="000000"/>
        </w:rPr>
      </w:pPr>
    </w:p>
    <w:p>
      <w:pPr>
        <w:spacing w:after="2"/>
        <w:jc w:val="center"/>
        <w:rPr>
          <w:color w:val="000000"/>
          <w:szCs w:val="21"/>
        </w:rPr>
      </w:pPr>
    </w:p>
    <w:tbl>
      <w:tblPr>
        <w:tblStyle w:val="6"/>
        <w:tblW w:w="5000" w:type="pct"/>
        <w:jc w:val="center"/>
        <w:tblCellSpacing w:w="0" w:type="dxa"/>
        <w:tblLayout w:type="autofit"/>
        <w:tblCellMar>
          <w:top w:w="0" w:type="dxa"/>
          <w:left w:w="0" w:type="dxa"/>
          <w:bottom w:w="0" w:type="dxa"/>
          <w:right w:w="0" w:type="dxa"/>
        </w:tblCellMar>
      </w:tblPr>
      <w:tblGrid>
        <w:gridCol w:w="529"/>
        <w:gridCol w:w="529"/>
        <w:gridCol w:w="532"/>
        <w:gridCol w:w="6329"/>
        <w:gridCol w:w="2707"/>
        <w:gridCol w:w="2704"/>
        <w:gridCol w:w="2708"/>
      </w:tblGrid>
      <w:tr>
        <w:tblPrEx>
          <w:tblCellMar>
            <w:top w:w="0" w:type="dxa"/>
            <w:left w:w="0" w:type="dxa"/>
            <w:bottom w:w="0" w:type="dxa"/>
            <w:right w:w="0" w:type="dxa"/>
          </w:tblCellMar>
        </w:tblPrEx>
        <w:trPr>
          <w:tblCellSpacing w:w="0" w:type="dxa"/>
          <w:jc w:val="center"/>
        </w:trPr>
        <w:tc>
          <w:tcPr>
            <w:tcW w:w="5000" w:type="pct"/>
            <w:gridSpan w:val="7"/>
            <w:vAlign w:val="center"/>
          </w:tcPr>
          <w:p>
            <w:pPr>
              <w:pStyle w:val="5"/>
              <w:jc w:val="center"/>
              <w:rPr>
                <w:sz w:val="40"/>
                <w:szCs w:val="40"/>
              </w:rPr>
            </w:pPr>
            <w:r>
              <w:rPr>
                <w:rFonts w:hint="eastAsia"/>
                <w:sz w:val="40"/>
                <w:szCs w:val="40"/>
              </w:rPr>
              <w:t xml:space="preserve">国有资本经营预算财政拨款支出决算表 </w:t>
            </w:r>
          </w:p>
        </w:tc>
      </w:tr>
      <w:tr>
        <w:tblPrEx>
          <w:tblCellMar>
            <w:top w:w="0" w:type="dxa"/>
            <w:left w:w="0" w:type="dxa"/>
            <w:bottom w:w="0" w:type="dxa"/>
            <w:right w:w="0" w:type="dxa"/>
          </w:tblCellMar>
        </w:tblPrEx>
        <w:trPr>
          <w:tblCellSpacing w:w="0" w:type="dxa"/>
          <w:jc w:val="center"/>
        </w:trPr>
        <w:tc>
          <w:tcPr>
            <w:tcW w:w="165" w:type="pct"/>
            <w:vAlign w:val="center"/>
          </w:tcPr>
          <w:p>
            <w:pPr>
              <w:pStyle w:val="5"/>
              <w:rPr>
                <w:sz w:val="22"/>
                <w:szCs w:val="22"/>
              </w:rPr>
            </w:pPr>
          </w:p>
        </w:tc>
        <w:tc>
          <w:tcPr>
            <w:tcW w:w="165" w:type="pct"/>
            <w:vAlign w:val="center"/>
          </w:tcPr>
          <w:p>
            <w:pPr>
              <w:pStyle w:val="5"/>
              <w:rPr>
                <w:sz w:val="22"/>
                <w:szCs w:val="22"/>
              </w:rPr>
            </w:pPr>
          </w:p>
        </w:tc>
        <w:tc>
          <w:tcPr>
            <w:tcW w:w="165" w:type="pct"/>
            <w:vAlign w:val="center"/>
          </w:tcPr>
          <w:p>
            <w:pPr>
              <w:pStyle w:val="5"/>
              <w:rPr>
                <w:sz w:val="22"/>
                <w:szCs w:val="22"/>
              </w:rPr>
            </w:pPr>
          </w:p>
        </w:tc>
        <w:tc>
          <w:tcPr>
            <w:tcW w:w="1972" w:type="pct"/>
            <w:vAlign w:val="center"/>
          </w:tcPr>
          <w:p>
            <w:pPr>
              <w:pStyle w:val="5"/>
              <w:rPr>
                <w:sz w:val="22"/>
                <w:szCs w:val="22"/>
              </w:rPr>
            </w:pPr>
          </w:p>
        </w:tc>
        <w:tc>
          <w:tcPr>
            <w:tcW w:w="843" w:type="pct"/>
            <w:vAlign w:val="center"/>
          </w:tcPr>
          <w:p>
            <w:pPr>
              <w:pStyle w:val="5"/>
              <w:rPr>
                <w:sz w:val="22"/>
                <w:szCs w:val="22"/>
              </w:rPr>
            </w:pPr>
          </w:p>
        </w:tc>
        <w:tc>
          <w:tcPr>
            <w:tcW w:w="1686" w:type="pct"/>
            <w:gridSpan w:val="2"/>
            <w:vAlign w:val="center"/>
          </w:tcPr>
          <w:p>
            <w:pPr>
              <w:pStyle w:val="5"/>
              <w:jc w:val="right"/>
              <w:rPr>
                <w:sz w:val="20"/>
                <w:szCs w:val="20"/>
              </w:rPr>
            </w:pPr>
            <w:r>
              <w:rPr>
                <w:rFonts w:hint="eastAsia"/>
                <w:sz w:val="20"/>
                <w:szCs w:val="20"/>
              </w:rPr>
              <w:t xml:space="preserve">公开09表 </w:t>
            </w:r>
          </w:p>
        </w:tc>
      </w:tr>
      <w:tr>
        <w:tblPrEx>
          <w:tblCellMar>
            <w:top w:w="0" w:type="dxa"/>
            <w:left w:w="0" w:type="dxa"/>
            <w:bottom w:w="0" w:type="dxa"/>
            <w:right w:w="0" w:type="dxa"/>
          </w:tblCellMar>
        </w:tblPrEx>
        <w:trPr>
          <w:tblCellSpacing w:w="0" w:type="dxa"/>
          <w:jc w:val="center"/>
        </w:trPr>
        <w:tc>
          <w:tcPr>
            <w:tcW w:w="3313" w:type="pct"/>
            <w:gridSpan w:val="5"/>
            <w:vAlign w:val="center"/>
          </w:tcPr>
          <w:p>
            <w:pPr>
              <w:pStyle w:val="5"/>
              <w:rPr>
                <w:sz w:val="22"/>
                <w:szCs w:val="22"/>
              </w:rPr>
            </w:pPr>
            <w:r>
              <w:rPr>
                <w:rFonts w:hint="eastAsia"/>
                <w:sz w:val="22"/>
                <w:szCs w:val="22"/>
              </w:rPr>
              <w:t xml:space="preserve">部门：浏阳市总工会 </w:t>
            </w:r>
          </w:p>
        </w:tc>
        <w:tc>
          <w:tcPr>
            <w:tcW w:w="1686" w:type="pct"/>
            <w:gridSpan w:val="2"/>
            <w:vAlign w:val="center"/>
          </w:tcPr>
          <w:p>
            <w:pPr>
              <w:pStyle w:val="5"/>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 </w:t>
            </w:r>
          </w:p>
        </w:tc>
        <w:tc>
          <w:tcPr>
            <w:tcW w:w="253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本年支出 </w:t>
            </w:r>
          </w:p>
        </w:tc>
      </w:tr>
      <w:tr>
        <w:tblPrEx>
          <w:tblCellMar>
            <w:top w:w="0" w:type="dxa"/>
            <w:left w:w="0" w:type="dxa"/>
            <w:bottom w:w="0" w:type="dxa"/>
            <w:right w:w="0" w:type="dxa"/>
          </w:tblCellMar>
        </w:tblPrEx>
        <w:trPr>
          <w:trHeight w:val="285" w:hRule="atLeast"/>
          <w:tblCellSpacing w:w="0" w:type="dxa"/>
          <w:jc w:val="center"/>
        </w:trPr>
        <w:tc>
          <w:tcPr>
            <w:tcW w:w="496"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项目支出 </w:t>
            </w: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栏次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1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2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3 </w:t>
            </w:r>
          </w:p>
        </w:tc>
      </w:tr>
      <w:tr>
        <w:tblPrEx>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rPr>
                <w:sz w:val="22"/>
                <w:szCs w:val="22"/>
              </w:rPr>
            </w:pPr>
            <w:r>
              <w:rPr>
                <w:rFonts w:hint="eastAsia"/>
                <w:sz w:val="22"/>
                <w:szCs w:val="22"/>
              </w:rPr>
              <w:t xml:space="preserve">合计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sz w:val="22"/>
                <w:szCs w:val="22"/>
              </w:rPr>
            </w:pPr>
          </w:p>
        </w:tc>
      </w:tr>
      <w:tr>
        <w:tblPrEx>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972"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972"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972"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972"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972"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1972" w:type="pct"/>
            <w:tcBorders>
              <w:top w:val="single" w:color="666666" w:sz="6" w:space="0"/>
              <w:left w:val="single" w:color="666666" w:sz="6" w:space="0"/>
              <w:bottom w:val="single" w:color="666666" w:sz="6" w:space="0"/>
              <w:right w:val="single" w:color="666666" w:sz="6" w:space="0"/>
            </w:tcBorders>
            <w:vAlign w:val="center"/>
          </w:tcPr>
          <w:p>
            <w:pPr>
              <w:pStyle w:val="5"/>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5"/>
              <w:jc w:val="right"/>
              <w:rPr>
                <w:sz w:val="22"/>
                <w:szCs w:val="22"/>
              </w:rPr>
            </w:pPr>
          </w:p>
        </w:tc>
      </w:tr>
      <w:tr>
        <w:tblPrEx>
          <w:tblCellMar>
            <w:top w:w="0" w:type="dxa"/>
            <w:left w:w="0" w:type="dxa"/>
            <w:bottom w:w="0" w:type="dxa"/>
            <w:right w:w="0" w:type="dxa"/>
          </w:tblCellMar>
        </w:tblPrEx>
        <w:trPr>
          <w:tblCellSpacing w:w="0" w:type="dxa"/>
          <w:jc w:val="center"/>
        </w:trPr>
        <w:tc>
          <w:tcPr>
            <w:tcW w:w="5000" w:type="pct"/>
            <w:gridSpan w:val="7"/>
            <w:vAlign w:val="center"/>
          </w:tcPr>
          <w:p>
            <w:pPr>
              <w:pStyle w:val="5"/>
              <w:rPr>
                <w:sz w:val="22"/>
                <w:szCs w:val="22"/>
              </w:rPr>
            </w:pPr>
            <w:r>
              <w:rPr>
                <w:rFonts w:hint="eastAsia"/>
                <w:sz w:val="22"/>
                <w:szCs w:val="22"/>
              </w:rPr>
              <w:t xml:space="preserve">注：本表反映部门本年度国有资本经营预算财政拨款支出情况。本单位没有国有资本经营预算财政拨款收入，也没有使用国有资本经营预算财政拨款安排的支出，故本表无数据。 </w:t>
            </w:r>
          </w:p>
        </w:tc>
      </w:tr>
    </w:tbl>
    <w:p>
      <w:pPr>
        <w:pStyle w:val="5"/>
        <w:jc w:val="center"/>
        <w:rPr>
          <w:color w:val="000000"/>
        </w:rPr>
      </w:pPr>
    </w:p>
    <w:p>
      <w:pPr>
        <w:pStyle w:val="5"/>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5"/>
        <w:spacing w:before="0" w:beforeAutospacing="0" w:after="2" w:afterAutospacing="0"/>
        <w:rPr>
          <w:color w:val="000000"/>
        </w:rPr>
      </w:pPr>
    </w:p>
    <w:p>
      <w:pPr>
        <w:widowControl/>
        <w:jc w:val="left"/>
        <w:rPr>
          <w:rFonts w:ascii="宋体" w:hAnsi="宋体" w:eastAsia="宋体" w:cs="宋体"/>
          <w:color w:val="000000"/>
          <w:kern w:val="0"/>
          <w:sz w:val="24"/>
          <w:szCs w:val="24"/>
        </w:rPr>
      </w:pPr>
    </w:p>
    <w:p>
      <w:pPr>
        <w:pStyle w:val="5"/>
        <w:spacing w:before="0" w:beforeAutospacing="0" w:after="2" w:afterAutospacing="0"/>
        <w:rPr>
          <w:color w:val="000000"/>
        </w:rPr>
      </w:pPr>
      <w:r>
        <w:rPr>
          <w:vanish/>
          <w:color w:val="000000"/>
        </w:rPr>
        <w:br w:type="textWrapping"/>
      </w:r>
    </w:p>
    <w:p>
      <w:pPr>
        <w:pStyle w:val="5"/>
        <w:spacing w:before="0" w:beforeAutospacing="0" w:after="2" w:afterAutospacing="0"/>
        <w:jc w:val="center"/>
        <w:rPr>
          <w:color w:val="000000"/>
        </w:rPr>
      </w:pPr>
      <w:r>
        <w:rPr>
          <w:rFonts w:hint="eastAsia"/>
          <w:b/>
          <w:bCs/>
          <w:color w:val="000000"/>
          <w:sz w:val="36"/>
          <w:szCs w:val="36"/>
        </w:rPr>
        <w:t>第三部分 2021年度部门决算情况说明</w:t>
      </w:r>
      <w:r>
        <w:rPr>
          <w:color w:val="000000"/>
        </w:rPr>
        <w:t xml:space="preserve"> </w:t>
      </w:r>
    </w:p>
    <w:p>
      <w:pPr>
        <w:rPr>
          <w:color w:val="000000"/>
        </w:rPr>
      </w:pPr>
    </w:p>
    <w:p>
      <w:pPr>
        <w:pStyle w:val="9"/>
        <w:spacing w:after="2"/>
        <w:ind w:firstLine="641"/>
        <w:rPr>
          <w:color w:val="000000"/>
          <w:sz w:val="27"/>
          <w:szCs w:val="27"/>
        </w:rPr>
      </w:pPr>
      <w:r>
        <w:rPr>
          <w:rFonts w:hint="eastAsia" w:ascii="宋体" w:hAnsi="宋体" w:eastAsia="宋体"/>
          <w:b/>
          <w:bCs/>
          <w:color w:val="000000"/>
          <w:sz w:val="32"/>
          <w:szCs w:val="32"/>
        </w:rPr>
        <w:t>一、收入支出决算总体情况说明</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2021年度收、支总计292.99万元。与上一年度相比，收、支总计各减少62.21万元，下降17.51%。主要是因为</w:t>
      </w:r>
      <w:r>
        <w:rPr>
          <w:rStyle w:val="11"/>
          <w:rFonts w:hint="eastAsia" w:ascii="宋体" w:hAnsi="宋体" w:eastAsia="宋体"/>
          <w:color w:val="000000"/>
          <w:sz w:val="32"/>
          <w:szCs w:val="32"/>
        </w:rPr>
        <w:t>2021年度财政代扣工会经费减少</w:t>
      </w:r>
      <w:r>
        <w:rPr>
          <w:rFonts w:hint="eastAsia" w:ascii="宋体" w:hAnsi="宋体" w:eastAsia="宋体"/>
          <w:color w:val="000000"/>
          <w:sz w:val="32"/>
          <w:szCs w:val="32"/>
        </w:rPr>
        <w:t>。</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二、收入决算情况说明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2021年度收入合计292.99万元，其中：财政拨款收入288.19万元，占98.36%；上级补助收入0万元，占0%；事业收入0万元，占0%；经营收入0万元，占0%；附属单位上缴收入0万元，占0%；其他收入4.8万元，占1.64%。</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三、支出决算情况说明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2021年度支出合计292.99万元，其中：基本支出251.19万元，占85.73%；项目支出41.8万元，占14.27%；上缴上级支出0万元，占0%；经营支出0万元，占0%；对附属单位补助支出0万元，占0%。</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四、财政拨款收入支出决算总体情况说明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2021年度财政拨款收、支总计288.19万元。与上一年度相比，财政拨款收、支总计各减少67.01万元，下降18.87%。主要是因为</w:t>
      </w:r>
      <w:r>
        <w:rPr>
          <w:rStyle w:val="11"/>
          <w:rFonts w:hint="eastAsia" w:ascii="宋体" w:hAnsi="宋体" w:eastAsia="宋体"/>
          <w:color w:val="000000"/>
          <w:sz w:val="32"/>
          <w:szCs w:val="32"/>
        </w:rPr>
        <w:t>2021年度财政代扣工会经费减少</w:t>
      </w:r>
      <w:r>
        <w:rPr>
          <w:rFonts w:hint="eastAsia" w:ascii="宋体" w:hAnsi="宋体" w:eastAsia="宋体"/>
          <w:color w:val="000000"/>
          <w:sz w:val="32"/>
          <w:szCs w:val="32"/>
        </w:rPr>
        <w:t>。</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五、一般公共预算财政拨款支出决算情况说明</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（一）财政拨款支出决算总体情况</w:t>
      </w:r>
      <w:r>
        <w:rPr>
          <w:rFonts w:hint="eastAsia"/>
          <w:color w:val="000000"/>
          <w:sz w:val="27"/>
          <w:szCs w:val="27"/>
        </w:rPr>
        <w:t xml:space="preserve"> </w:t>
      </w:r>
    </w:p>
    <w:p>
      <w:pPr>
        <w:pStyle w:val="9"/>
        <w:spacing w:after="2"/>
        <w:ind w:firstLine="855"/>
        <w:rPr>
          <w:color w:val="000000"/>
          <w:sz w:val="27"/>
          <w:szCs w:val="27"/>
        </w:rPr>
      </w:pPr>
      <w:r>
        <w:rPr>
          <w:rFonts w:hint="eastAsia" w:ascii="宋体" w:hAnsi="宋体" w:eastAsia="宋体"/>
          <w:color w:val="000000"/>
          <w:sz w:val="32"/>
          <w:szCs w:val="32"/>
        </w:rPr>
        <w:t>2021年度财政拨款支出288.19万元，占本年支出合计的98.36%。与上一年度相比，财政拨款支出减少67.01万元，下降18.87%。主要是因为</w:t>
      </w:r>
      <w:r>
        <w:rPr>
          <w:rStyle w:val="11"/>
          <w:rFonts w:hint="eastAsia" w:ascii="宋体" w:hAnsi="宋体" w:eastAsia="宋体"/>
          <w:color w:val="000000"/>
          <w:sz w:val="32"/>
          <w:szCs w:val="32"/>
        </w:rPr>
        <w:t>2021年度财政代扣工会经费减少</w:t>
      </w:r>
      <w:r>
        <w:rPr>
          <w:rFonts w:hint="eastAsia" w:ascii="宋体" w:hAnsi="宋体" w:eastAsia="宋体"/>
          <w:color w:val="000000"/>
          <w:sz w:val="32"/>
          <w:szCs w:val="32"/>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（二）财政拨款支出决算结构情况</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2021年度财政拨款支出288.19万元，主要用于以下方面：一般公共服务支出250.47万元，占86.92%；文化旅游体育与传媒支出5万元，占1.73%；社会保障和就业支出32.72万元，占11.35%。</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b/>
          <w:bCs/>
          <w:color w:val="000000"/>
          <w:sz w:val="32"/>
          <w:szCs w:val="32"/>
        </w:rPr>
        <w:t>（三）财政拨款支出决算具体情况</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2021年度财政拨款支出年初预算数为251.99万元，支出决算数为288.19万元，完成年初预算的114.37%，其中：</w:t>
      </w:r>
      <w:r>
        <w:rPr>
          <w:rFonts w:hint="eastAsia"/>
          <w:color w:val="000000"/>
          <w:sz w:val="27"/>
          <w:szCs w:val="27"/>
        </w:rPr>
        <w:t xml:space="preserve"> </w:t>
      </w:r>
    </w:p>
    <w:p>
      <w:pPr>
        <w:pStyle w:val="9"/>
        <w:spacing w:after="2"/>
        <w:ind w:firstLine="641"/>
        <w:rPr>
          <w:color w:val="000000"/>
          <w:sz w:val="27"/>
          <w:szCs w:val="27"/>
        </w:rPr>
      </w:pPr>
      <w:r>
        <w:rPr>
          <w:rStyle w:val="8"/>
          <w:rFonts w:hint="eastAsia" w:ascii="宋体" w:hAnsi="宋体" w:eastAsia="宋体"/>
          <w:color w:val="000000"/>
          <w:sz w:val="32"/>
          <w:szCs w:val="32"/>
        </w:rPr>
        <w:t>1、一般公共服务支出（类）群众团体事务（款）行政运行（项）</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年初预算为204.17万元，支出决算为218.47万元，完成年初预算的107%。决算数大于年初预算数的主要原因是：</w:t>
      </w:r>
      <w:r>
        <w:rPr>
          <w:rStyle w:val="11"/>
          <w:rFonts w:hint="eastAsia" w:ascii="宋体" w:hAnsi="宋体" w:eastAsia="宋体"/>
          <w:color w:val="000000"/>
          <w:sz w:val="32"/>
          <w:szCs w:val="32"/>
        </w:rPr>
        <w:t>人员调入，经费增加</w:t>
      </w:r>
      <w:r>
        <w:rPr>
          <w:rFonts w:hint="eastAsia" w:ascii="宋体" w:hAnsi="宋体" w:eastAsia="宋体"/>
          <w:color w:val="000000"/>
          <w:sz w:val="32"/>
          <w:szCs w:val="32"/>
        </w:rPr>
        <w:t>。</w:t>
      </w:r>
    </w:p>
    <w:p>
      <w:pPr>
        <w:pStyle w:val="9"/>
        <w:spacing w:after="2"/>
        <w:ind w:firstLine="641"/>
        <w:rPr>
          <w:color w:val="000000"/>
          <w:sz w:val="27"/>
          <w:szCs w:val="27"/>
        </w:rPr>
      </w:pPr>
      <w:r>
        <w:rPr>
          <w:rStyle w:val="8"/>
          <w:rFonts w:hint="eastAsia" w:ascii="宋体" w:hAnsi="宋体" w:eastAsia="宋体"/>
          <w:color w:val="000000"/>
          <w:sz w:val="32"/>
          <w:szCs w:val="32"/>
        </w:rPr>
        <w:t>2、一般公共服务支出（类）群众团体事务（款）一般行政管理事务（项）</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年初预算为32万元，支出决算为32万元，完成年初预算的100%。决算数与年初预算数一致，我单位严格按预算执行决算。</w:t>
      </w:r>
    </w:p>
    <w:p>
      <w:pPr>
        <w:pStyle w:val="9"/>
        <w:spacing w:after="2"/>
        <w:ind w:firstLine="641"/>
        <w:rPr>
          <w:color w:val="000000"/>
          <w:sz w:val="27"/>
          <w:szCs w:val="27"/>
        </w:rPr>
      </w:pPr>
      <w:r>
        <w:rPr>
          <w:rStyle w:val="8"/>
          <w:rFonts w:hint="eastAsia" w:ascii="宋体" w:hAnsi="宋体" w:eastAsia="宋体"/>
          <w:color w:val="000000"/>
          <w:sz w:val="32"/>
          <w:szCs w:val="32"/>
        </w:rPr>
        <w:t>3、文化旅游体育与传媒支出（类）文化和旅游（款）其他文化和旅游支出（项）</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年初预算为0万元，支出决算为5万元，决算数大于年初预算数的主要原因是：</w:t>
      </w:r>
      <w:r>
        <w:rPr>
          <w:rStyle w:val="11"/>
          <w:rFonts w:hint="eastAsia" w:ascii="宋体" w:hAnsi="宋体" w:eastAsia="宋体"/>
          <w:color w:val="000000"/>
          <w:sz w:val="32"/>
          <w:szCs w:val="32"/>
        </w:rPr>
        <w:t>增加了传统文化基地培训项目</w:t>
      </w:r>
      <w:r>
        <w:rPr>
          <w:rFonts w:hint="eastAsia" w:ascii="宋体" w:hAnsi="宋体" w:eastAsia="宋体"/>
          <w:color w:val="000000"/>
          <w:sz w:val="32"/>
          <w:szCs w:val="32"/>
        </w:rPr>
        <w:t>。</w:t>
      </w:r>
    </w:p>
    <w:p>
      <w:pPr>
        <w:pStyle w:val="9"/>
        <w:spacing w:after="2"/>
        <w:ind w:firstLine="641"/>
        <w:rPr>
          <w:color w:val="000000"/>
          <w:sz w:val="27"/>
          <w:szCs w:val="27"/>
        </w:rPr>
      </w:pPr>
      <w:r>
        <w:rPr>
          <w:rStyle w:val="8"/>
          <w:rFonts w:hint="eastAsia" w:ascii="宋体" w:hAnsi="宋体" w:eastAsia="宋体"/>
          <w:color w:val="000000"/>
          <w:sz w:val="32"/>
          <w:szCs w:val="32"/>
        </w:rPr>
        <w:t>4、社会保障和就业支出（类）行政事业单位养老支出（款）行政单位离退休（项）</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年初预算为15.82万元，支出决算为32.72万元，完成年初预算的206.83%。决算数大于年初预算数的主要原因是：</w:t>
      </w:r>
      <w:r>
        <w:rPr>
          <w:rStyle w:val="11"/>
          <w:rFonts w:hint="eastAsia" w:ascii="宋体" w:hAnsi="宋体" w:eastAsia="宋体"/>
          <w:color w:val="000000"/>
          <w:sz w:val="32"/>
          <w:szCs w:val="32"/>
        </w:rPr>
        <w:t>2021年度退休人员退休生活补贴增加</w:t>
      </w:r>
      <w:r>
        <w:rPr>
          <w:rFonts w:hint="eastAsia" w:ascii="宋体" w:hAnsi="宋体" w:eastAsia="宋体"/>
          <w:color w:val="000000"/>
          <w:sz w:val="32"/>
          <w:szCs w:val="32"/>
        </w:rPr>
        <w:t>。</w:t>
      </w:r>
    </w:p>
    <w:p>
      <w:pPr>
        <w:pStyle w:val="9"/>
        <w:spacing w:after="2"/>
        <w:ind w:firstLine="641"/>
        <w:rPr>
          <w:color w:val="000000"/>
          <w:sz w:val="27"/>
          <w:szCs w:val="27"/>
        </w:rPr>
      </w:pPr>
      <w:r>
        <w:rPr>
          <w:rFonts w:hint="eastAsia" w:ascii="宋体" w:hAnsi="宋体" w:eastAsia="宋体"/>
          <w:b/>
          <w:bCs/>
          <w:color w:val="000000"/>
          <w:sz w:val="32"/>
          <w:szCs w:val="32"/>
        </w:rPr>
        <w:t>六、一般公共预算财政拨款基本支出决算情况说明</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2021年度财政拨款基本支出251.19万元，其中：人员经费243.63万元，占基本支出的96.99%，主要包括：基本工资、津贴补贴、奖金、机关事业单位基本养老保险缴费、职工基本医疗保险缴费、公务员医疗补助缴费、其他社会保障缴费、住房公积金、其他工资福利支出、退休费、生活补助。公用经费7.56万元，占基本支出的3.01%，主要包括：工会经费、福利费、其他商品和服务支出。</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七、一般公共预算财政拨款三公经费支出决算情况说明</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（一）“三公”经费财政拨款支出决算总体情况说明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2021年度“三公”经费财政拨款支出预算为0万元，支出决算为0万元，完成预算的100%，其中：</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因公出国（境）费支出预算为0万元，支出决算为0万元，决算数与预算数一致，我单位严格按预算执行决算，因公出国（境）费支出与上年持平。</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公务接待费支出预算为0万元，支出决算为0万元，决算数与预算数一致，我单位严格按预算执行决算，公务接待费支出与上年持平。</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公务用车购置费支出预算为0万元，支出决算为0万元，决算数与预算数一致，我单位严格按预算执行决算，公务用车购置费支出与上年持平。</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公务运行维护费支出预算为0万元，支出决算为0万元，决算数与预算数一致，我单位严格按预算执行决算，公务运行维护费支出与上年持平。</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b/>
          <w:bCs/>
          <w:color w:val="000000"/>
          <w:sz w:val="32"/>
          <w:szCs w:val="32"/>
        </w:rPr>
        <w:t>（二）“三公”经费财政拨款支出决算具体情况说明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2021年度“三公”经费财政拨款支出决算中，公务接待费支出决算0万元，占0%，因公出国（境）费支出决算0万元，占0%，公务用车购置费及运行维护费支出决算0万元，占0%。其中：</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1、因公出国（境）费支出决算为0万元，全年安排因公出国（境）团组0个，累计0人次，我单位2021年度无因公出国（境）费支出。</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2、公务接待费支出决算为0万元，全年共接待来访团组0个、来宾0人次，我单位2021年度无一般公共预算财政拨款安排的公务接待费支出。</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3、公务用车购置费及运行维护费支出决算为0万元，其中：公务用车购置费0万元</w:t>
      </w:r>
      <w:r>
        <w:rPr>
          <w:rFonts w:hint="eastAsia" w:ascii="宋体" w:hAnsi="宋体" w:eastAsia="宋体"/>
          <w:color w:val="000000"/>
          <w:sz w:val="32"/>
          <w:szCs w:val="32"/>
          <w:lang w:val="en-US" w:eastAsia="zh-CN"/>
        </w:rPr>
        <w:t>,公务用车购置数为0</w:t>
      </w:r>
      <w:bookmarkStart w:id="0" w:name="_GoBack"/>
      <w:bookmarkEnd w:id="0"/>
      <w:r>
        <w:rPr>
          <w:rFonts w:hint="eastAsia" w:ascii="宋体" w:hAnsi="宋体" w:eastAsia="宋体"/>
          <w:color w:val="000000"/>
          <w:sz w:val="32"/>
          <w:szCs w:val="32"/>
          <w:lang w:val="en-US" w:eastAsia="zh-CN"/>
        </w:rPr>
        <w:t>辆</w:t>
      </w:r>
      <w:r>
        <w:rPr>
          <w:rFonts w:hint="eastAsia" w:ascii="宋体" w:hAnsi="宋体" w:eastAsia="宋体"/>
          <w:color w:val="000000"/>
          <w:sz w:val="32"/>
          <w:szCs w:val="32"/>
          <w:lang w:eastAsia="zh-CN"/>
        </w:rPr>
        <w:t>，</w:t>
      </w:r>
      <w:r>
        <w:rPr>
          <w:rFonts w:hint="eastAsia" w:ascii="宋体" w:hAnsi="宋体" w:eastAsia="宋体"/>
          <w:color w:val="000000"/>
          <w:sz w:val="32"/>
          <w:szCs w:val="32"/>
        </w:rPr>
        <w:t>公务用车运行维护费0万元，截至2021年12月31日，我单位开支财政拨款的公务用车保有量为0辆。我单位2021年度无公务用车购置费及运行维护费支出。</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八、政府性基金预算收入支出决算情况</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 xml:space="preserve">浏阳市总工会2021年度没有政府性基金收入，也没有使用政府性基金安排的支出，并已公开空表。 </w:t>
      </w:r>
    </w:p>
    <w:p>
      <w:pPr>
        <w:pStyle w:val="9"/>
        <w:spacing w:after="2"/>
        <w:ind w:firstLine="641"/>
        <w:rPr>
          <w:color w:val="000000"/>
          <w:sz w:val="27"/>
          <w:szCs w:val="27"/>
        </w:rPr>
      </w:pPr>
      <w:r>
        <w:rPr>
          <w:rFonts w:hint="eastAsia" w:ascii="宋体" w:hAnsi="宋体" w:eastAsia="宋体"/>
          <w:b/>
          <w:bCs/>
          <w:color w:val="000000"/>
          <w:sz w:val="32"/>
          <w:szCs w:val="32"/>
        </w:rPr>
        <w:t>九、国有资本经营预算收入支出决算情况说明</w:t>
      </w:r>
    </w:p>
    <w:p>
      <w:pPr>
        <w:pStyle w:val="9"/>
        <w:spacing w:after="2"/>
        <w:ind w:firstLine="641"/>
        <w:rPr>
          <w:color w:val="000000"/>
          <w:sz w:val="27"/>
          <w:szCs w:val="27"/>
        </w:rPr>
      </w:pPr>
      <w:r>
        <w:rPr>
          <w:rFonts w:hint="eastAsia" w:ascii="宋体" w:hAnsi="宋体" w:eastAsia="宋体"/>
          <w:color w:val="000000"/>
          <w:sz w:val="32"/>
          <w:szCs w:val="32"/>
        </w:rPr>
        <w:t>2021年度本单位无国有资本经营预算收支。</w:t>
      </w:r>
    </w:p>
    <w:p>
      <w:pPr>
        <w:pStyle w:val="9"/>
        <w:spacing w:after="2"/>
        <w:ind w:firstLine="641"/>
        <w:rPr>
          <w:color w:val="000000"/>
          <w:sz w:val="27"/>
          <w:szCs w:val="27"/>
        </w:rPr>
      </w:pPr>
      <w:r>
        <w:rPr>
          <w:rFonts w:hint="eastAsia" w:ascii="宋体" w:hAnsi="宋体" w:eastAsia="宋体"/>
          <w:b/>
          <w:bCs/>
          <w:color w:val="000000"/>
          <w:sz w:val="32"/>
          <w:szCs w:val="32"/>
        </w:rPr>
        <w:t>十、关于机关运行经费支出说明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 xml:space="preserve">浏阳市总工会2021年度机关运行经费支出7.56万元，我单位严格按预算执行，与年初预算相比无增减变化。 </w:t>
      </w:r>
    </w:p>
    <w:p>
      <w:pPr>
        <w:pStyle w:val="9"/>
        <w:spacing w:after="2"/>
        <w:ind w:firstLine="640"/>
        <w:rPr>
          <w:color w:val="000000"/>
          <w:sz w:val="27"/>
          <w:szCs w:val="27"/>
        </w:rPr>
      </w:pPr>
      <w:r>
        <w:rPr>
          <w:rFonts w:hint="eastAsia" w:ascii="宋体" w:hAnsi="宋体" w:eastAsia="宋体"/>
          <w:b/>
          <w:bCs/>
          <w:color w:val="000000"/>
          <w:sz w:val="32"/>
          <w:szCs w:val="32"/>
        </w:rPr>
        <w:t>十一、一般性支出情况</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2021年本部门会议费支出0万元，我单位2021年度无会议费支出；2021年本部门培训费支出0万元，我单位2021年度无培训费支出；未举办节庆、晚会、论坛、赛事活动等。</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b/>
          <w:bCs/>
          <w:color w:val="000000"/>
          <w:sz w:val="32"/>
          <w:szCs w:val="32"/>
        </w:rPr>
        <w:t>十二、关于政府采购支出说明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 xml:space="preserve">浏阳市总工会2021年度无财政拨款资金安排的政府采购支出。政府采购支出总额0万元，其中：政府采购货物支出0万元、政府采购工程支出0万元、政府采购服务支出0万元。 </w:t>
      </w:r>
    </w:p>
    <w:p>
      <w:pPr>
        <w:pStyle w:val="9"/>
        <w:spacing w:after="2"/>
        <w:ind w:firstLine="640"/>
        <w:rPr>
          <w:color w:val="000000"/>
          <w:sz w:val="27"/>
          <w:szCs w:val="27"/>
        </w:rPr>
      </w:pPr>
      <w:r>
        <w:rPr>
          <w:rFonts w:hint="eastAsia" w:ascii="宋体" w:hAnsi="宋体" w:eastAsia="宋体"/>
          <w:b/>
          <w:bCs/>
          <w:color w:val="000000"/>
          <w:sz w:val="32"/>
          <w:szCs w:val="32"/>
        </w:rPr>
        <w:t>十三、关于国有资产占用情况说明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截至2021年12月31日，浏阳市总工会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b/>
          <w:bCs/>
          <w:color w:val="000000"/>
          <w:sz w:val="32"/>
          <w:szCs w:val="32"/>
        </w:rPr>
        <w:t>十四、关于2021年度预算绩效情况说明</w:t>
      </w:r>
      <w:r>
        <w:rPr>
          <w:rFonts w:hint="eastAsia"/>
          <w:color w:val="000000"/>
          <w:sz w:val="27"/>
          <w:szCs w:val="27"/>
        </w:rPr>
        <w:t xml:space="preserve"> </w:t>
      </w:r>
    </w:p>
    <w:p>
      <w:pPr>
        <w:pStyle w:val="9"/>
        <w:spacing w:after="2"/>
        <w:ind w:firstLine="640"/>
        <w:rPr>
          <w:color w:val="000000"/>
          <w:sz w:val="27"/>
          <w:szCs w:val="27"/>
        </w:rPr>
      </w:pPr>
      <w:r>
        <w:rPr>
          <w:rStyle w:val="8"/>
          <w:rFonts w:hint="eastAsia" w:ascii="宋体" w:hAnsi="宋体" w:eastAsia="宋体"/>
          <w:color w:val="000000"/>
          <w:sz w:val="32"/>
          <w:szCs w:val="32"/>
        </w:rPr>
        <w:t>（1）绩效管理评价工作开展情况。</w:t>
      </w:r>
      <w:r>
        <w:rPr>
          <w:rFonts w:hint="eastAsia"/>
          <w:color w:val="000000"/>
          <w:sz w:val="27"/>
          <w:szCs w:val="27"/>
        </w:rPr>
        <w:t xml:space="preserve"> </w:t>
      </w:r>
    </w:p>
    <w:p>
      <w:pPr>
        <w:pStyle w:val="9"/>
        <w:spacing w:after="2"/>
        <w:ind w:firstLine="640"/>
        <w:rPr>
          <w:rFonts w:ascii="宋体" w:hAnsi="宋体" w:eastAsia="宋体"/>
          <w:color w:val="000000"/>
          <w:sz w:val="32"/>
          <w:szCs w:val="32"/>
        </w:rPr>
      </w:pPr>
      <w:r>
        <w:rPr>
          <w:rFonts w:hint="eastAsia" w:ascii="宋体" w:hAnsi="宋体" w:eastAsia="宋体"/>
          <w:color w:val="000000"/>
          <w:sz w:val="32"/>
          <w:szCs w:val="32"/>
        </w:rPr>
        <w:t>为进一步规范财政资金管理，强化绩效和责任意识，切实提高财政资金使用效益，根据《浏阳市财政局关于开展2021年度部门整体支出绩效自评和2022年度绩效监控工作的通知》（浏财函〔2022〕12号）要求，我单位对2021年部门整体支出情况开展了绩效自评，形成了自评报告，自评结果为</w:t>
      </w:r>
      <w:r>
        <w:rPr>
          <w:rStyle w:val="11"/>
          <w:rFonts w:hint="eastAsia" w:ascii="宋体" w:hAnsi="宋体" w:eastAsia="宋体"/>
          <w:color w:val="000000"/>
          <w:sz w:val="32"/>
          <w:szCs w:val="32"/>
        </w:rPr>
        <w:t>97</w:t>
      </w:r>
      <w:r>
        <w:rPr>
          <w:rFonts w:hint="eastAsia" w:ascii="宋体" w:hAnsi="宋体" w:eastAsia="宋体"/>
          <w:color w:val="000000"/>
          <w:sz w:val="32"/>
          <w:szCs w:val="32"/>
        </w:rPr>
        <w:t>分，评价等级为</w:t>
      </w:r>
      <w:r>
        <w:rPr>
          <w:rStyle w:val="11"/>
          <w:rFonts w:hint="eastAsia" w:ascii="宋体" w:hAnsi="宋体" w:eastAsia="宋体"/>
          <w:color w:val="000000"/>
          <w:sz w:val="32"/>
          <w:szCs w:val="32"/>
        </w:rPr>
        <w:t>优</w:t>
      </w:r>
      <w:r>
        <w:rPr>
          <w:rFonts w:hint="eastAsia" w:ascii="宋体" w:hAnsi="宋体" w:eastAsia="宋体"/>
          <w:color w:val="000000"/>
          <w:sz w:val="32"/>
          <w:szCs w:val="32"/>
        </w:rPr>
        <w:t>。</w:t>
      </w:r>
    </w:p>
    <w:p>
      <w:pPr>
        <w:pStyle w:val="9"/>
        <w:spacing w:after="2"/>
        <w:ind w:firstLine="640"/>
        <w:rPr>
          <w:rFonts w:ascii="宋体" w:hAnsi="宋体" w:eastAsia="宋体"/>
          <w:color w:val="000000"/>
          <w:sz w:val="32"/>
          <w:szCs w:val="32"/>
        </w:rPr>
      </w:pPr>
      <w:r>
        <w:rPr>
          <w:rFonts w:hint="eastAsia" w:ascii="宋体" w:hAnsi="宋体" w:eastAsia="宋体"/>
          <w:color w:val="000000"/>
          <w:sz w:val="32"/>
          <w:szCs w:val="32"/>
        </w:rPr>
        <w:t>本部门未委托第三方机构开展重点项目的部门绩效评价。</w:t>
      </w:r>
    </w:p>
    <w:p>
      <w:pPr>
        <w:pStyle w:val="9"/>
        <w:spacing w:after="2"/>
        <w:ind w:firstLine="640"/>
        <w:rPr>
          <w:rFonts w:ascii="宋体" w:hAnsi="宋体" w:eastAsia="宋体"/>
          <w:b/>
          <w:bCs/>
          <w:color w:val="000000"/>
          <w:sz w:val="32"/>
          <w:szCs w:val="32"/>
        </w:rPr>
      </w:pPr>
      <w:r>
        <w:rPr>
          <w:rFonts w:hint="eastAsia" w:ascii="宋体" w:hAnsi="宋体" w:eastAsia="宋体"/>
          <w:b/>
          <w:bCs/>
          <w:color w:val="000000"/>
          <w:sz w:val="32"/>
          <w:szCs w:val="32"/>
        </w:rPr>
        <w:t xml:space="preserve">（2）项目绩效自评结果。 </w:t>
      </w:r>
    </w:p>
    <w:p>
      <w:pPr>
        <w:pStyle w:val="9"/>
        <w:spacing w:after="2"/>
        <w:ind w:firstLine="640"/>
        <w:rPr>
          <w:rFonts w:ascii="宋体" w:hAnsi="宋体" w:eastAsia="宋体"/>
          <w:color w:val="000000"/>
          <w:sz w:val="32"/>
          <w:szCs w:val="32"/>
        </w:rPr>
      </w:pPr>
      <w:r>
        <w:rPr>
          <w:rFonts w:hint="eastAsia" w:ascii="宋体" w:hAnsi="宋体" w:eastAsia="宋体"/>
          <w:color w:val="000000"/>
          <w:sz w:val="32"/>
          <w:szCs w:val="32"/>
        </w:rPr>
        <w:t>根据预算绩效管理的要求，我会组织对2021年度一般公共预算项目支出全面开展绩效自评，涉及资金37万元，占一般公共预算项目支出总额的100%。</w:t>
      </w:r>
    </w:p>
    <w:p>
      <w:pPr>
        <w:pStyle w:val="9"/>
        <w:spacing w:after="2"/>
        <w:ind w:firstLine="640"/>
        <w:rPr>
          <w:rFonts w:ascii="宋体" w:hAnsi="宋体" w:eastAsia="宋体"/>
          <w:color w:val="000000"/>
          <w:sz w:val="32"/>
          <w:szCs w:val="32"/>
        </w:rPr>
      </w:pPr>
      <w:r>
        <w:rPr>
          <w:rFonts w:hint="eastAsia" w:ascii="宋体" w:hAnsi="宋体" w:eastAsia="宋体"/>
          <w:color w:val="000000"/>
          <w:sz w:val="32"/>
          <w:szCs w:val="32"/>
        </w:rPr>
        <w:t xml:space="preserve">根据年初设定的绩效目标，我会专项业务经费项目绩效自评得分为98分。项目全年预算数为32万元，执行数为37万元，完成预算数115.63%，较预算增加了一个浏阳市工人文化宫传统文化传承基地项目5万元。项目绩效目标完成情况:年度总体目标基本完成，绩效指标完成较好，个别数量指标未完成。在市委、市政府的正确领导下，市总工会以习近平新时代中国特色社会主义思想为指导，充分发挥自身作为党联系职工群众的桥梁和纽带作用，紧紧围绕党和政府中心工作，团结带领全市职工展现主力军作为、彰显主人翁风采,推动工会工作干在实处、走在前列。 </w:t>
      </w:r>
    </w:p>
    <w:p>
      <w:pPr>
        <w:pStyle w:val="5"/>
        <w:spacing w:before="0" w:beforeAutospacing="0" w:after="2" w:afterAutospacing="0"/>
        <w:rPr>
          <w:color w:val="000000"/>
        </w:rPr>
      </w:pPr>
    </w:p>
    <w:p>
      <w:pPr>
        <w:widowControl/>
        <w:jc w:val="left"/>
        <w:rPr>
          <w:rFonts w:ascii="宋体" w:hAnsi="宋体" w:eastAsia="宋体" w:cs="宋体"/>
          <w:color w:val="000000"/>
          <w:kern w:val="0"/>
          <w:sz w:val="24"/>
          <w:szCs w:val="24"/>
        </w:rPr>
      </w:pPr>
    </w:p>
    <w:p>
      <w:pPr>
        <w:pStyle w:val="5"/>
        <w:spacing w:before="0" w:beforeAutospacing="0" w:after="2" w:afterAutospacing="0"/>
        <w:rPr>
          <w:color w:val="000000"/>
        </w:rPr>
      </w:pPr>
    </w:p>
    <w:p>
      <w:pPr>
        <w:pStyle w:val="5"/>
        <w:spacing w:before="0" w:beforeAutospacing="0" w:after="2" w:afterAutospacing="0"/>
        <w:rPr>
          <w:color w:val="000000"/>
        </w:rPr>
      </w:pPr>
    </w:p>
    <w:p>
      <w:pPr>
        <w:rPr>
          <w:color w:val="000000"/>
        </w:rPr>
      </w:pPr>
    </w:p>
    <w:p>
      <w:pPr>
        <w:spacing w:after="2"/>
        <w:jc w:val="center"/>
        <w:rPr>
          <w:color w:val="000000"/>
          <w:szCs w:val="21"/>
        </w:rPr>
      </w:pPr>
      <w:r>
        <w:rPr>
          <w:rFonts w:hint="eastAsia" w:ascii="宋体" w:hAnsi="宋体" w:eastAsia="宋体"/>
          <w:b/>
          <w:bCs/>
          <w:color w:val="000000"/>
          <w:sz w:val="36"/>
          <w:szCs w:val="36"/>
        </w:rPr>
        <w:t>第四部分 名词解释</w:t>
      </w:r>
      <w:r>
        <w:rPr>
          <w:rFonts w:hint="eastAsia"/>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财政拨款收入</w:t>
      </w:r>
      <w:r>
        <w:rPr>
          <w:rFonts w:hint="eastAsia" w:ascii="宋体" w:hAnsi="宋体" w:eastAsia="宋体" w:cs="Calibri"/>
          <w:color w:val="000000"/>
          <w:sz w:val="32"/>
          <w:szCs w:val="32"/>
        </w:rPr>
        <w:t>：指财政当年拨付的资金。包括一般公共预算财政拨款和政府性基金财政拨款。</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上级补助收入</w:t>
      </w:r>
      <w:r>
        <w:rPr>
          <w:rFonts w:hint="eastAsia" w:ascii="宋体" w:hAnsi="宋体" w:eastAsia="宋体" w:cs="Calibri"/>
          <w:color w:val="000000"/>
          <w:sz w:val="32"/>
          <w:szCs w:val="32"/>
        </w:rPr>
        <w:t>：指事业单位从主管部门和上级单位取得的非财政补助收入。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事业收入：</w:t>
      </w:r>
      <w:r>
        <w:rPr>
          <w:rFonts w:hint="eastAsia" w:ascii="宋体" w:hAnsi="宋体" w:eastAsia="宋体" w:cs="Calibri"/>
          <w:color w:val="000000"/>
          <w:sz w:val="32"/>
          <w:szCs w:val="32"/>
        </w:rPr>
        <w:t>指事业单位开展专业业务活动及辅助活动所取得的收入。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经营收入：</w:t>
      </w:r>
      <w:r>
        <w:rPr>
          <w:rFonts w:hint="eastAsia" w:ascii="宋体" w:hAnsi="宋体" w:eastAsia="宋体" w:cs="Calibri"/>
          <w:color w:val="000000"/>
          <w:sz w:val="32"/>
          <w:szCs w:val="32"/>
        </w:rPr>
        <w:t>指事业单位在专业业务活动及其辅助活动之外开展非独立核算经营活动取得的收入。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附属单位上缴收入</w:t>
      </w:r>
      <w:r>
        <w:rPr>
          <w:rFonts w:hint="eastAsia" w:ascii="宋体" w:hAnsi="宋体" w:eastAsia="宋体" w:cs="Calibri"/>
          <w:color w:val="000000"/>
          <w:sz w:val="32"/>
          <w:szCs w:val="32"/>
        </w:rPr>
        <w:t>：指事业单位附属独立核算单位按照有关规定上缴的收入。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其他收入</w:t>
      </w:r>
      <w:r>
        <w:rPr>
          <w:rFonts w:hint="eastAsia" w:ascii="宋体" w:hAnsi="宋体" w:eastAsia="宋体" w:cs="Calibri"/>
          <w:color w:val="000000"/>
          <w:sz w:val="32"/>
          <w:szCs w:val="32"/>
        </w:rPr>
        <w:t>：指除上述“财政拨款收入”、“事业收入”、“经营收入”等以外的收入。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用事业基金弥补收支差额</w:t>
      </w:r>
      <w:r>
        <w:rPr>
          <w:rFonts w:hint="eastAsia" w:ascii="宋体" w:hAnsi="宋体" w:eastAsia="宋体" w:cs="Calibri"/>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年初结转和结余</w:t>
      </w:r>
      <w:r>
        <w:rPr>
          <w:rFonts w:hint="eastAsia" w:ascii="宋体" w:hAnsi="宋体" w:eastAsia="宋体" w:cs="Calibri"/>
          <w:color w:val="000000"/>
          <w:sz w:val="32"/>
          <w:szCs w:val="32"/>
        </w:rPr>
        <w:t>：指以前年度尚未完成、结转到本年按有关规定继续使用的资金。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结余分配</w:t>
      </w:r>
      <w:r>
        <w:rPr>
          <w:rFonts w:hint="eastAsia" w:ascii="宋体" w:hAnsi="宋体" w:eastAsia="宋体" w:cs="Calibri"/>
          <w:color w:val="000000"/>
          <w:sz w:val="32"/>
          <w:szCs w:val="32"/>
        </w:rPr>
        <w:t>：指事业事位按规定从非财政补助结余中分配的事业基金和职工福利基金等。</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年末结转和结余</w:t>
      </w:r>
      <w:r>
        <w:rPr>
          <w:rFonts w:hint="eastAsia" w:ascii="宋体" w:hAnsi="宋体" w:eastAsia="宋体" w:cs="Calibri"/>
          <w:color w:val="000000"/>
          <w:sz w:val="32"/>
          <w:szCs w:val="32"/>
        </w:rPr>
        <w:t>：指本年度或以前年度预算安排、因客观条件发生变化无法按原计划实施，需要延迟到以后年度按有关规定继续使用的资金。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基本支出</w:t>
      </w:r>
      <w:r>
        <w:rPr>
          <w:rFonts w:hint="eastAsia" w:ascii="宋体" w:hAnsi="宋体" w:eastAsia="宋体" w:cs="Calibri"/>
          <w:color w:val="000000"/>
          <w:sz w:val="32"/>
          <w:szCs w:val="32"/>
        </w:rPr>
        <w:t>：指为保障机构正常运转、完成日常工作任务而发生的人员支出和公用支出。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项目支出</w:t>
      </w:r>
      <w:r>
        <w:rPr>
          <w:rFonts w:hint="eastAsia" w:ascii="宋体" w:hAnsi="宋体" w:eastAsia="宋体" w:cs="Calibri"/>
          <w:color w:val="000000"/>
          <w:sz w:val="32"/>
          <w:szCs w:val="32"/>
        </w:rPr>
        <w:t>：指在基本支出之外为完成特定行政任务和事业发展目标所发生的支出。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经营支出</w:t>
      </w:r>
      <w:r>
        <w:rPr>
          <w:rFonts w:hint="eastAsia" w:ascii="宋体" w:hAnsi="宋体" w:eastAsia="宋体" w:cs="Calibri"/>
          <w:color w:val="000000"/>
          <w:sz w:val="32"/>
          <w:szCs w:val="32"/>
        </w:rPr>
        <w:t>：指事业单位在专业业务活动及其辅助活动之外开展非独立核算经营活动所发生的支出。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“三公”经费</w:t>
      </w:r>
      <w:r>
        <w:rPr>
          <w:rFonts w:hint="eastAsia" w:ascii="宋体" w:hAnsi="宋体" w:eastAsia="宋体" w:cs="Calibri"/>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机关运行经费</w:t>
      </w:r>
      <w:r>
        <w:rPr>
          <w:rFonts w:hint="eastAsia" w:ascii="宋体" w:hAnsi="宋体" w:eastAsia="宋体" w:cs="Calibri"/>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p>
    <w:p>
      <w:pPr>
        <w:spacing w:after="2"/>
        <w:jc w:val="center"/>
        <w:rPr>
          <w:color w:val="000000"/>
          <w:szCs w:val="21"/>
        </w:rPr>
      </w:pPr>
      <w:r>
        <w:rPr>
          <w:rFonts w:hint="eastAsia" w:ascii="宋体" w:hAnsi="宋体" w:eastAsia="宋体"/>
          <w:b/>
          <w:bCs/>
          <w:color w:val="000000"/>
          <w:sz w:val="36"/>
          <w:szCs w:val="36"/>
        </w:rPr>
        <w:t>第五部分 附件</w:t>
      </w:r>
      <w:r>
        <w:rPr>
          <w:rFonts w:hint="eastAsia"/>
          <w:color w:val="000000"/>
          <w:szCs w:val="21"/>
        </w:rPr>
        <w:t xml:space="preserve"> </w:t>
      </w:r>
    </w:p>
    <w:p>
      <w:pPr>
        <w:spacing w:after="2"/>
        <w:jc w:val="center"/>
        <w:rPr>
          <w:color w:val="000000"/>
          <w:szCs w:val="21"/>
        </w:rPr>
      </w:pPr>
    </w:p>
    <w:p>
      <w:pPr>
        <w:spacing w:after="2"/>
        <w:jc w:val="center"/>
        <w:rPr>
          <w:color w:val="000000"/>
          <w:szCs w:val="21"/>
        </w:rPr>
      </w:pPr>
    </w:p>
    <w:sectPr>
      <w:pgSz w:w="11906" w:h="16838" w:orient="landscape"/>
      <w:pgMar w:top="1440" w:right="1080" w:bottom="1440" w:left="1080" w:header="851" w:footer="992" w:gutter="0"/>
      <w:cols w:space="72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M2Q1NzczOGNlMDYwOTBmYTdjMDY0Njk5OThiNzkifQ=="/>
  </w:docVars>
  <w:rsids>
    <w:rsidRoot w:val="00D33A82"/>
    <w:rsid w:val="00BE198D"/>
    <w:rsid w:val="00C61325"/>
    <w:rsid w:val="00D33A82"/>
    <w:rsid w:val="00F607D6"/>
    <w:rsid w:val="014337F8"/>
    <w:rsid w:val="01A7572D"/>
    <w:rsid w:val="01F66F4B"/>
    <w:rsid w:val="028C7503"/>
    <w:rsid w:val="0A680E33"/>
    <w:rsid w:val="0D35054D"/>
    <w:rsid w:val="13F718F5"/>
    <w:rsid w:val="16A65706"/>
    <w:rsid w:val="1A0B2F35"/>
    <w:rsid w:val="20312FA6"/>
    <w:rsid w:val="239B0E1A"/>
    <w:rsid w:val="355B0F0F"/>
    <w:rsid w:val="3ECE1E84"/>
    <w:rsid w:val="49D05849"/>
    <w:rsid w:val="4BDE3E16"/>
    <w:rsid w:val="4C5E3A78"/>
    <w:rsid w:val="4D695BC6"/>
    <w:rsid w:val="53DD0B4E"/>
    <w:rsid w:val="545B2854"/>
    <w:rsid w:val="794C5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0"/>
      <w:szCs w:val="30"/>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peoplefilling"/>
    <w:basedOn w:val="7"/>
    <w:qFormat/>
    <w:uiPriority w:val="0"/>
  </w:style>
  <w:style w:type="character" w:customStyle="1" w:styleId="12">
    <w:name w:val="页眉 Char"/>
    <w:basedOn w:val="7"/>
    <w:link w:val="4"/>
    <w:qFormat/>
    <w:uiPriority w:val="99"/>
    <w:rPr>
      <w:rFonts w:asciiTheme="minorHAnsi" w:hAnsiTheme="minorHAnsi" w:cstheme="minorBidi"/>
      <w:kern w:val="2"/>
      <w:sz w:val="18"/>
      <w:szCs w:val="18"/>
    </w:rPr>
  </w:style>
  <w:style w:type="character" w:customStyle="1" w:styleId="13">
    <w:name w:val="页脚 Char"/>
    <w:basedOn w:val="7"/>
    <w:link w:val="3"/>
    <w:qFormat/>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19</Pages>
  <Words>7833</Words>
  <Characters>9230</Characters>
  <Lines>82</Lines>
  <Paragraphs>23</Paragraphs>
  <TotalTime>6</TotalTime>
  <ScaleCrop>false</ScaleCrop>
  <LinksUpToDate>false</LinksUpToDate>
  <CharactersWithSpaces>10104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2022-10-20T07:23:00Z</dcterms:created>
  <dc:creator>admin</dc:creator>
  <cp:lastModifiedBy>詹健</cp:lastModifiedBy>
  <dcterms:modified xsi:type="dcterms:W3CDTF">2023-09-25T00:46:38Z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09D1B4A14A7A417392DFF71BF67954B3</vt:lpwstr>
  </property>
</Properties>
</file>