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部门整体支出绩效评价参考指标</w:t>
      </w:r>
    </w:p>
    <w:p>
      <w:pPr>
        <w:keepNext w:val="0"/>
        <w:keepLines w:val="0"/>
        <w:pageBreakBefore w:val="0"/>
        <w:widowControl w:val="0"/>
        <w:kinsoku/>
        <w:wordWrap/>
        <w:overflowPunct/>
        <w:topLinePunct w:val="0"/>
        <w:autoSpaceDE/>
        <w:autoSpaceDN/>
        <w:bidi w:val="0"/>
        <w:adjustRightInd/>
        <w:snapToGrid/>
        <w:spacing w:line="240" w:lineRule="exact"/>
        <w:ind w:left="-1039" w:leftChars="-495" w:firstLine="0" w:firstLineChars="0"/>
        <w:jc w:val="both"/>
        <w:textAlignment w:val="auto"/>
        <w:rPr>
          <w:rFonts w:hint="eastAsia" w:ascii="Times New Roman" w:hAnsi="Times New Roman" w:eastAsia="方正小标宋简体"/>
          <w:color w:val="000000"/>
          <w:kern w:val="0"/>
          <w:sz w:val="21"/>
          <w:szCs w:val="21"/>
          <w:lang w:eastAsia="zh-CN"/>
        </w:rPr>
      </w:pPr>
      <w:r>
        <w:rPr>
          <w:rFonts w:hint="eastAsia" w:ascii="Times New Roman" w:hAnsi="Times New Roman" w:eastAsia="方正小标宋简体"/>
          <w:color w:val="000000"/>
          <w:kern w:val="0"/>
          <w:sz w:val="21"/>
          <w:szCs w:val="21"/>
          <w:lang w:eastAsia="zh-CN"/>
        </w:rPr>
        <w:t>填报单位：中共浏阳市纪委</w:t>
      </w:r>
    </w:p>
    <w:tbl>
      <w:tblPr>
        <w:tblStyle w:val="2"/>
        <w:tblW w:w="10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4"/>
        <w:gridCol w:w="719"/>
        <w:gridCol w:w="673"/>
        <w:gridCol w:w="472"/>
        <w:gridCol w:w="3170"/>
        <w:gridCol w:w="4352"/>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34"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一级</w:t>
            </w:r>
            <w:r>
              <w:rPr>
                <w:rFonts w:ascii="Times New Roman" w:hAnsi="Times New Roman" w:eastAsia="仿宋_GB2312"/>
                <w:b/>
                <w:bCs/>
                <w:color w:val="000000"/>
                <w:sz w:val="24"/>
                <w:szCs w:val="24"/>
              </w:rPr>
              <w:br w:type="textWrapping"/>
            </w:r>
            <w:r>
              <w:rPr>
                <w:rFonts w:ascii="Times New Roman" w:hAnsi="Times New Roman" w:eastAsia="仿宋_GB2312"/>
                <w:b/>
                <w:bCs/>
                <w:color w:val="000000"/>
                <w:sz w:val="24"/>
                <w:szCs w:val="24"/>
              </w:rPr>
              <w:t>指标</w:t>
            </w:r>
          </w:p>
        </w:tc>
        <w:tc>
          <w:tcPr>
            <w:tcW w:w="719"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二级</w:t>
            </w:r>
          </w:p>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指标</w:t>
            </w: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三级</w:t>
            </w:r>
          </w:p>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指标</w:t>
            </w:r>
          </w:p>
        </w:tc>
        <w:tc>
          <w:tcPr>
            <w:tcW w:w="472"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分值</w:t>
            </w:r>
          </w:p>
        </w:tc>
        <w:tc>
          <w:tcPr>
            <w:tcW w:w="3170"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指标解释</w:t>
            </w:r>
          </w:p>
        </w:tc>
        <w:tc>
          <w:tcPr>
            <w:tcW w:w="4352"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指标说明</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jc w:val="center"/>
        </w:trPr>
        <w:tc>
          <w:tcPr>
            <w:tcW w:w="634" w:type="dxa"/>
            <w:vMerge w:val="restart"/>
            <w:noWrap/>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投</w:t>
            </w:r>
            <w:r>
              <w:rPr>
                <w:rFonts w:hint="eastAsia" w:ascii="Times New Roman" w:hAnsi="Times New Roman" w:eastAsia="仿宋_GB2312"/>
                <w:color w:val="000000"/>
                <w:sz w:val="24"/>
                <w:szCs w:val="24"/>
              </w:rPr>
              <w:t xml:space="preserve">    </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入</w:t>
            </w:r>
          </w:p>
        </w:tc>
        <w:tc>
          <w:tcPr>
            <w:tcW w:w="719" w:type="dxa"/>
            <w:vMerge w:val="restart"/>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目标</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设定</w:t>
            </w:r>
          </w:p>
        </w:tc>
        <w:tc>
          <w:tcPr>
            <w:tcW w:w="673" w:type="dxa"/>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绩效</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目标</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合理性</w:t>
            </w:r>
          </w:p>
        </w:tc>
        <w:tc>
          <w:tcPr>
            <w:tcW w:w="472" w:type="dxa"/>
            <w:noWrap w:val="0"/>
            <w:tcMar>
              <w:top w:w="10" w:type="dxa"/>
              <w:left w:w="10" w:type="dxa"/>
              <w:bottom w:w="0" w:type="dxa"/>
              <w:right w:w="10" w:type="dxa"/>
            </w:tcMar>
            <w:vAlign w:val="center"/>
          </w:tcPr>
          <w:p>
            <w:pPr>
              <w:tabs>
                <w:tab w:val="left" w:pos="2604"/>
              </w:tabs>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w:t>
            </w:r>
          </w:p>
        </w:tc>
        <w:tc>
          <w:tcPr>
            <w:tcW w:w="3170" w:type="dxa"/>
            <w:noWrap w:val="0"/>
            <w:tcMar>
              <w:top w:w="10" w:type="dxa"/>
              <w:left w:w="10" w:type="dxa"/>
              <w:bottom w:w="0" w:type="dxa"/>
              <w:right w:w="10" w:type="dxa"/>
            </w:tcMar>
            <w:vAlign w:val="center"/>
          </w:tcPr>
          <w:p>
            <w:pPr>
              <w:tabs>
                <w:tab w:val="left" w:pos="2604"/>
              </w:tabs>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部门所设立的整体绩效目标依据是否充分，是否符合客观实际，用以反映和考核部门整体绩效目标与部门履职、年度工作任务的相符性情况。</w:t>
            </w:r>
          </w:p>
        </w:tc>
        <w:tc>
          <w:tcPr>
            <w:tcW w:w="4352" w:type="dxa"/>
            <w:noWrap w:val="0"/>
            <w:tcMar>
              <w:top w:w="10" w:type="dxa"/>
              <w:left w:w="10" w:type="dxa"/>
              <w:bottom w:w="0" w:type="dxa"/>
              <w:right w:w="10" w:type="dxa"/>
            </w:tcMar>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①是否符合国家法律法规、国民经济和社会发展总体规划；②是否符合部门“三定”方案确定的职责；③是否符合部门制定的中长期实施规划。</w:t>
            </w:r>
          </w:p>
        </w:tc>
        <w:tc>
          <w:tcPr>
            <w:tcW w:w="506" w:type="dxa"/>
            <w:noWrap w:val="0"/>
            <w:tcMar>
              <w:top w:w="10" w:type="dxa"/>
              <w:left w:w="10" w:type="dxa"/>
              <w:bottom w:w="0" w:type="dxa"/>
              <w:right w:w="10" w:type="dxa"/>
            </w:tcMar>
            <w:vAlign w:val="center"/>
          </w:tcPr>
          <w:p>
            <w:pPr>
              <w:spacing w:line="3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6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绩效</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指标</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明确性</w:t>
            </w:r>
          </w:p>
        </w:tc>
        <w:tc>
          <w:tcPr>
            <w:tcW w:w="472" w:type="dxa"/>
            <w:noWrap w:val="0"/>
            <w:tcMar>
              <w:top w:w="10" w:type="dxa"/>
              <w:left w:w="10" w:type="dxa"/>
              <w:bottom w:w="0" w:type="dxa"/>
              <w:right w:w="10" w:type="dxa"/>
            </w:tcMar>
            <w:vAlign w:val="center"/>
          </w:tcPr>
          <w:p>
            <w:pPr>
              <w:tabs>
                <w:tab w:val="left" w:pos="2604"/>
              </w:tabs>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3170" w:type="dxa"/>
            <w:noWrap w:val="0"/>
            <w:tcMar>
              <w:top w:w="10" w:type="dxa"/>
              <w:left w:w="10" w:type="dxa"/>
              <w:bottom w:w="0" w:type="dxa"/>
              <w:right w:w="10" w:type="dxa"/>
            </w:tcMar>
            <w:vAlign w:val="center"/>
          </w:tcPr>
          <w:p>
            <w:pPr>
              <w:tabs>
                <w:tab w:val="left" w:pos="2604"/>
              </w:tabs>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部门依据整体绩效目标所设定的绩效指标是否清晰、细化、可衡量，用以反映和考核部门整体绩效目标的明细化情况。</w:t>
            </w:r>
          </w:p>
        </w:tc>
        <w:tc>
          <w:tcPr>
            <w:tcW w:w="4352" w:type="dxa"/>
            <w:noWrap w:val="0"/>
            <w:tcMar>
              <w:top w:w="10" w:type="dxa"/>
              <w:left w:w="10" w:type="dxa"/>
              <w:bottom w:w="0" w:type="dxa"/>
              <w:right w:w="10" w:type="dxa"/>
            </w:tcMar>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①是否将部门整体的绩效目标细化分解为具体的工作任务；②是否通过清晰、可衡量的指标值予以体现。③是否与部门年度的任务数或计划数相对应；④是否与本年度部门预算资金相匹配。</w:t>
            </w:r>
          </w:p>
        </w:tc>
        <w:tc>
          <w:tcPr>
            <w:tcW w:w="506" w:type="dxa"/>
            <w:noWrap w:val="0"/>
            <w:tcMar>
              <w:top w:w="10" w:type="dxa"/>
              <w:left w:w="10" w:type="dxa"/>
              <w:bottom w:w="0" w:type="dxa"/>
              <w:right w:w="10" w:type="dxa"/>
            </w:tcMar>
            <w:vAlign w:val="center"/>
          </w:tcPr>
          <w:p>
            <w:pPr>
              <w:spacing w:line="3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restart"/>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配置</w:t>
            </w:r>
          </w:p>
        </w:tc>
        <w:tc>
          <w:tcPr>
            <w:tcW w:w="673" w:type="dxa"/>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在职</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人员</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控制率</w:t>
            </w:r>
          </w:p>
        </w:tc>
        <w:tc>
          <w:tcPr>
            <w:tcW w:w="472" w:type="dxa"/>
            <w:noWrap w:val="0"/>
            <w:tcMar>
              <w:top w:w="10" w:type="dxa"/>
              <w:left w:w="10" w:type="dxa"/>
              <w:bottom w:w="0" w:type="dxa"/>
              <w:right w:w="10" w:type="dxa"/>
            </w:tcMar>
            <w:vAlign w:val="center"/>
          </w:tcPr>
          <w:p>
            <w:pPr>
              <w:tabs>
                <w:tab w:val="left" w:pos="2604"/>
              </w:tabs>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部门本年度实际在职人员数与编制数的比率，用以反映和考核部门对人员成本的控制程度。</w:t>
            </w:r>
          </w:p>
        </w:tc>
        <w:tc>
          <w:tcPr>
            <w:tcW w:w="4352" w:type="dxa"/>
            <w:noWrap w:val="0"/>
            <w:tcMar>
              <w:top w:w="10" w:type="dxa"/>
              <w:left w:w="10" w:type="dxa"/>
              <w:bottom w:w="0" w:type="dxa"/>
              <w:right w:w="10" w:type="dxa"/>
            </w:tcMar>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在职人员控制率=（在职人员数/编制数）×100%。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在职人员数：部门实际在职人数，以财政部确定的部门决算编制口径为准。</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编制数：机构编制部门核定批复的部门的人员编制数。</w:t>
            </w:r>
          </w:p>
        </w:tc>
        <w:tc>
          <w:tcPr>
            <w:tcW w:w="506" w:type="dxa"/>
            <w:noWrap w:val="0"/>
            <w:tcMar>
              <w:top w:w="10" w:type="dxa"/>
              <w:left w:w="10" w:type="dxa"/>
              <w:bottom w:w="0" w:type="dxa"/>
              <w:right w:w="10" w:type="dxa"/>
            </w:tcMar>
            <w:vAlign w:val="center"/>
          </w:tcPr>
          <w:p>
            <w:pPr>
              <w:spacing w:line="3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6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“三公经费”</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变动率</w:t>
            </w:r>
          </w:p>
        </w:tc>
        <w:tc>
          <w:tcPr>
            <w:tcW w:w="472" w:type="dxa"/>
            <w:noWrap w:val="0"/>
            <w:tcMar>
              <w:top w:w="10" w:type="dxa"/>
              <w:left w:w="10" w:type="dxa"/>
              <w:bottom w:w="0" w:type="dxa"/>
              <w:right w:w="10" w:type="dxa"/>
            </w:tcMar>
            <w:vAlign w:val="center"/>
          </w:tcPr>
          <w:p>
            <w:pPr>
              <w:tabs>
                <w:tab w:val="left" w:pos="2604"/>
              </w:tabs>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部门本年度“三公经费”预算数与上年度“三公经费”预算数的变动比率，用以反映和考核部门对控制重点行政成本的努力程度。</w:t>
            </w:r>
          </w:p>
        </w:tc>
        <w:tc>
          <w:tcPr>
            <w:tcW w:w="4352" w:type="dxa"/>
            <w:noWrap w:val="0"/>
            <w:tcMar>
              <w:top w:w="10" w:type="dxa"/>
              <w:left w:w="10" w:type="dxa"/>
              <w:bottom w:w="0" w:type="dxa"/>
              <w:right w:w="10" w:type="dxa"/>
            </w:tcMar>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“三公经费”变动率=[（本年度“三公经费”总额-上年度“三公经费”总额）/上年度“三公经费”总额]×100%。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“三公经费”：年度预算安排的因公出国（境）费、公务车辆购置及运行费和公务招待费。</w:t>
            </w:r>
          </w:p>
        </w:tc>
        <w:tc>
          <w:tcPr>
            <w:tcW w:w="506" w:type="dxa"/>
            <w:noWrap w:val="0"/>
            <w:tcMar>
              <w:top w:w="10" w:type="dxa"/>
              <w:left w:w="10" w:type="dxa"/>
              <w:bottom w:w="0" w:type="dxa"/>
              <w:right w:w="10" w:type="dxa"/>
            </w:tcMar>
            <w:vAlign w:val="center"/>
          </w:tcPr>
          <w:p>
            <w:pPr>
              <w:spacing w:line="3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6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重点</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支出</w:t>
            </w:r>
          </w:p>
          <w:p>
            <w:pPr>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安排率</w:t>
            </w:r>
          </w:p>
        </w:tc>
        <w:tc>
          <w:tcPr>
            <w:tcW w:w="472" w:type="dxa"/>
            <w:noWrap w:val="0"/>
            <w:tcMar>
              <w:top w:w="10" w:type="dxa"/>
              <w:left w:w="10" w:type="dxa"/>
              <w:bottom w:w="0" w:type="dxa"/>
              <w:right w:w="10" w:type="dxa"/>
            </w:tcMar>
            <w:vAlign w:val="center"/>
          </w:tcPr>
          <w:p>
            <w:pPr>
              <w:tabs>
                <w:tab w:val="left" w:pos="2604"/>
              </w:tabs>
              <w:spacing w:line="36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部门本年度预算安排的重点项目支出与部门项目总支出的比率，用以反映和考核部门对履行主要职责或完成重点任务的保障程度。</w:t>
            </w:r>
          </w:p>
        </w:tc>
        <w:tc>
          <w:tcPr>
            <w:tcW w:w="4352" w:type="dxa"/>
            <w:noWrap w:val="0"/>
            <w:tcMar>
              <w:top w:w="10" w:type="dxa"/>
              <w:left w:w="10" w:type="dxa"/>
              <w:bottom w:w="0" w:type="dxa"/>
              <w:right w:w="10" w:type="dxa"/>
            </w:tcMar>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重点支出安排率=（重点项目支出/项目总支出）×100%。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重点项目支出：部门年度预算安排的，与本部门履职和发展密切相关、具有明显社会和经济影响、党委政府关心或社会比较关注的项目支出总额。</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项目总支出：部门年度预算安排的项目支出总额。</w:t>
            </w:r>
          </w:p>
        </w:tc>
        <w:tc>
          <w:tcPr>
            <w:tcW w:w="506" w:type="dxa"/>
            <w:noWrap w:val="0"/>
            <w:tcMar>
              <w:top w:w="10" w:type="dxa"/>
              <w:left w:w="10" w:type="dxa"/>
              <w:bottom w:w="0" w:type="dxa"/>
              <w:right w:w="10" w:type="dxa"/>
            </w:tcMar>
            <w:vAlign w:val="center"/>
          </w:tcPr>
          <w:p>
            <w:pPr>
              <w:spacing w:line="3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634" w:type="dxa"/>
            <w:vMerge w:val="restart"/>
            <w:noWrap/>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过</w:t>
            </w:r>
            <w:r>
              <w:rPr>
                <w:rFonts w:hint="eastAsia" w:ascii="Times New Roman" w:hAnsi="Times New Roman" w:eastAsia="仿宋_GB2312"/>
                <w:color w:val="000000"/>
                <w:sz w:val="24"/>
                <w:szCs w:val="24"/>
              </w:rPr>
              <w:t xml:space="preserve">    </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程</w:t>
            </w:r>
          </w:p>
        </w:tc>
        <w:tc>
          <w:tcPr>
            <w:tcW w:w="719" w:type="dxa"/>
            <w:vMerge w:val="restart"/>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执行</w:t>
            </w: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完成率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部门本年度预算完成数与预算数的比率，用以反映和考核部门预算完成程度。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预算完成率=（预算完成数/预算数）×100%。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预算完成数：部门本年度实际完成的预算数。</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预算数：财政部门批复的本年度部门预算数。</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调整率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部门本年度预算调整数与预算数的比率，用以反映和考核部门预算的调整程度。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预算调整率=（预算调整数/预算数）×100%。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预算调整数：部门在本年度内涉及预算的追加、调减或结构调整的资金总和（因落实国家政策、发生不可抗力、上级部门或同级党委政府临时交办而产生的调整除外）。</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支付</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进度率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部门实际支付进度与既定支付进度的比率，用以反映和考核部门预算执行的及时性和均衡性程度。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支付进度率=（实际支付进度/既定支付进度）×100%。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实际支付进度：部门在某一时点的支出预算执行总数与年度支出预算数的比率。</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既定支付进度：由部门在申报部门整体绩效目标时，参照序时支付进度、前三年支付进度、同级部门平均支付进度水平等确定的，在某一时点应达到的支付进度（比率）。</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634" w:type="dxa"/>
            <w:vMerge w:val="continue"/>
            <w:noWrap/>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结转</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结余率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部门本年度结转结余总额与支出预算数的比率，用以反映和考核部门对本年度结转结余资金的实际控制程度。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结转结余率=（结转结余总额/支出预算数）×100%。</w:t>
            </w:r>
          </w:p>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结转结余总额：部门本年度的结转资金与结余资金之和（以决算数为准）。</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结转</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结余</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变动率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部门本年度结转结余资金总额与上年度结转结余资金总额的变动比率，用以反映和考核部门对控制结转结余资金的努力程度。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结转结余变动率=[（本年度累计结转结余资金总额-上年度累计结转结余资金总额）/上年度累计结转结余资金总额]×100%。</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公用</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经费</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控制率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部门本年度实际支出的公用经费总额与预算安排的公用经费总额的比率，用以反映和考核部门对机构运转成本的实际控制程度。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公用经费控制率=（实际支出公用经费总额/预算安排公用经费总额）×100%。</w:t>
            </w:r>
          </w:p>
        </w:tc>
        <w:tc>
          <w:tcPr>
            <w:tcW w:w="506" w:type="dxa"/>
            <w:noWrap w:val="0"/>
            <w:tcMar>
              <w:top w:w="10" w:type="dxa"/>
              <w:left w:w="10" w:type="dxa"/>
              <w:bottom w:w="0" w:type="dxa"/>
              <w:right w:w="10" w:type="dxa"/>
            </w:tcMar>
            <w:vAlign w:val="center"/>
          </w:tcPr>
          <w:p>
            <w:pPr>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0"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“三公经费”控制率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部门本年度“三公经费”实际支出数与预算安排数的比率，用以反映和考核部门对“三公经费”的实际控制程度。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“三公经费”控制率=（“三公经费”实际支出数/“三公经费”预算安排数）×100%。</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634" w:type="dxa"/>
            <w:vMerge w:val="restart"/>
            <w:noWrap w:val="0"/>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过</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程</w:t>
            </w:r>
          </w:p>
        </w:tc>
        <w:tc>
          <w:tcPr>
            <w:tcW w:w="719" w:type="dxa"/>
            <w:noWrap w:val="0"/>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预算执行</w:t>
            </w: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政府</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采购</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执行率</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部门本年度实际政府采购金额与年初政府采购预算的比率，用以反映和考核部门政府采购预算执行情况。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政府采购执行率=（实际政府采购金额/政府采购预算数）×100%；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政府采购预算：采购机关根据事业发展计划和行政任务编制的、并经过规定程序批准的年度政府采购计划。</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restart"/>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预算</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管理</w:t>
            </w: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管理</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制度</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健全性</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部门为加强预算管理、规范财务行为而制定的管理制度是否健全完整，用以反映和考核部门预算管理制度对完成主要职责或促进事业发展的保障情况。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①是否已制定或具有预算资金管理办法、内部财务管理制度、会计核算制度等管理制度；</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②相关管理制度是否合法、合规、完整；</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③相关管理制度是否得到有效执行。</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2"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资金</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使用</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合规性</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部门使用预算资金是否符合相关的预算财务管理制度的规定，用以反映和考核部门预算资金的规范运行情况。</w:t>
            </w:r>
          </w:p>
        </w:tc>
        <w:tc>
          <w:tcPr>
            <w:tcW w:w="4352" w:type="dxa"/>
            <w:noWrap w:val="0"/>
            <w:tcMar>
              <w:top w:w="10" w:type="dxa"/>
              <w:left w:w="10" w:type="dxa"/>
              <w:bottom w:w="0" w:type="dxa"/>
              <w:right w:w="10" w:type="dxa"/>
            </w:tcMar>
            <w:vAlign w:val="center"/>
          </w:tcPr>
          <w:p>
            <w:pPr>
              <w:spacing w:line="2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①是否符合国家财经法规和财务管理制度规定以及有关专项资金管理办法的规定；</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②资金的拨付是否有完整的审批程序和手续；</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③项目的重大开支是否经过评估论证；</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④是否符合部门预算批复的用途；</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⑤是否存在截留、挤占、挪用、虚列支出等情况。</w:t>
            </w:r>
          </w:p>
        </w:tc>
        <w:tc>
          <w:tcPr>
            <w:tcW w:w="506" w:type="dxa"/>
            <w:noWrap w:val="0"/>
            <w:tcMar>
              <w:top w:w="10" w:type="dxa"/>
              <w:left w:w="10" w:type="dxa"/>
              <w:bottom w:w="0" w:type="dxa"/>
              <w:right w:w="10" w:type="dxa"/>
            </w:tcMar>
            <w:vAlign w:val="center"/>
          </w:tcPr>
          <w:p>
            <w:pPr>
              <w:spacing w:line="26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预决</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算信</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息公</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开性</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部门是否按照政府信息公开有关规定公开相关预决算信息，用以反映和考核部门预决算管理的公开透明情况。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①是否按规定内容公开预决算信息；</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②是否按规定时限公开预决算信息。</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预决算信息是指与部门预算、执行、决算、监督、绩效等管理相关的信息。</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基础</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信息</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完善性</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部门基础信息是否完善，用以反映和考核基础信息对预算管理工作的支撑情况。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①基础数据信息和会计信息资料是否真实；</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②基础数据信息和会计信息资料是否完整；</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③基础数据信息和会计信息资料是否准确。</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634" w:type="dxa"/>
            <w:vMerge w:val="continue"/>
            <w:noWrap/>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p>
        </w:tc>
        <w:tc>
          <w:tcPr>
            <w:tcW w:w="719" w:type="dxa"/>
            <w:vMerge w:val="restart"/>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资产</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管理</w:t>
            </w: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管理</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制度</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健全性</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2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部门为加强资产管理、规范资产管理行为而制定的管理制度是否健全完整，用以反映和考核部门资产管理制度对完成主要职责或促进社会发展的保障情况。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①是否已制定或具有资产管理制度；</w:t>
            </w:r>
          </w:p>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②相关资金管理制度是否合法、合规、完整；</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③相关资产管理制度是否得到有效执行。</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2"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资产</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管理</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安全性</w:t>
            </w:r>
          </w:p>
        </w:tc>
        <w:tc>
          <w:tcPr>
            <w:tcW w:w="472" w:type="dxa"/>
            <w:noWrap w:val="0"/>
            <w:tcMar>
              <w:top w:w="10" w:type="dxa"/>
              <w:left w:w="10" w:type="dxa"/>
              <w:bottom w:w="0" w:type="dxa"/>
              <w:right w:w="10" w:type="dxa"/>
            </w:tcMar>
            <w:vAlign w:val="center"/>
          </w:tcPr>
          <w:p>
            <w:pPr>
              <w:tabs>
                <w:tab w:val="left" w:pos="761"/>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761"/>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部门的资产是否保存完整、使用合规、配置合理、处置规范、收入及时足额上缴，用以反映和考核部门资产安全运行情况。</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评价要点：</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①资产保存是否完整；</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②资产配置是否合理；</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③资产处置是否规范；</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④资产账务管理是否合规，是否帐实相符；</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⑤资产是否有偿使用及处置收入及时足额上缴。</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jc w:val="center"/>
        </w:trPr>
        <w:tc>
          <w:tcPr>
            <w:tcW w:w="634" w:type="dxa"/>
            <w:noWrap w:val="0"/>
            <w:vAlign w:val="center"/>
          </w:tcPr>
          <w:p>
            <w:pPr>
              <w:spacing w:line="320" w:lineRule="exact"/>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过</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程</w:t>
            </w:r>
          </w:p>
        </w:tc>
        <w:tc>
          <w:tcPr>
            <w:tcW w:w="719" w:type="dxa"/>
            <w:noWrap w:val="0"/>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资产</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管理</w:t>
            </w:r>
          </w:p>
        </w:tc>
        <w:tc>
          <w:tcPr>
            <w:tcW w:w="673" w:type="dxa"/>
            <w:noWrap w:val="0"/>
            <w:tcMar>
              <w:top w:w="10" w:type="dxa"/>
              <w:left w:w="10" w:type="dxa"/>
              <w:bottom w:w="0" w:type="dxa"/>
              <w:right w:w="10" w:type="dxa"/>
            </w:tcMar>
            <w:vAlign w:val="center"/>
          </w:tcPr>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固定</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资产</w:t>
            </w:r>
          </w:p>
          <w:p>
            <w:pPr>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利用率</w:t>
            </w:r>
          </w:p>
        </w:tc>
        <w:tc>
          <w:tcPr>
            <w:tcW w:w="472" w:type="dxa"/>
            <w:noWrap w:val="0"/>
            <w:tcMar>
              <w:top w:w="10" w:type="dxa"/>
              <w:left w:w="10" w:type="dxa"/>
              <w:bottom w:w="0" w:type="dxa"/>
              <w:right w:w="10" w:type="dxa"/>
            </w:tcMar>
            <w:vAlign w:val="center"/>
          </w:tcPr>
          <w:p>
            <w:pPr>
              <w:tabs>
                <w:tab w:val="left" w:pos="2604"/>
              </w:tabs>
              <w:spacing w:line="28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170" w:type="dxa"/>
            <w:noWrap w:val="0"/>
            <w:tcMar>
              <w:top w:w="10" w:type="dxa"/>
              <w:left w:w="10" w:type="dxa"/>
              <w:bottom w:w="0" w:type="dxa"/>
              <w:right w:w="10" w:type="dxa"/>
            </w:tcMar>
            <w:vAlign w:val="center"/>
          </w:tcPr>
          <w:p>
            <w:pPr>
              <w:tabs>
                <w:tab w:val="left" w:pos="2604"/>
              </w:tabs>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部门实际在用固定资产总额与所有固定资产总额的比率，用以反映和考核部门固定资产使用效率程度。</w:t>
            </w:r>
          </w:p>
        </w:tc>
        <w:tc>
          <w:tcPr>
            <w:tcW w:w="4352" w:type="dxa"/>
            <w:noWrap w:val="0"/>
            <w:tcMar>
              <w:top w:w="10" w:type="dxa"/>
              <w:left w:w="10" w:type="dxa"/>
              <w:bottom w:w="0" w:type="dxa"/>
              <w:right w:w="10" w:type="dxa"/>
            </w:tcMar>
            <w:vAlign w:val="center"/>
          </w:tcPr>
          <w:p>
            <w:pPr>
              <w:spacing w:line="28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固定资产利用率=（实际在用固定资产总额/所有固定资产总额）×100%。</w:t>
            </w:r>
          </w:p>
        </w:tc>
        <w:tc>
          <w:tcPr>
            <w:tcW w:w="506" w:type="dxa"/>
            <w:noWrap w:val="0"/>
            <w:tcMar>
              <w:top w:w="10" w:type="dxa"/>
              <w:left w:w="10" w:type="dxa"/>
              <w:bottom w:w="0" w:type="dxa"/>
              <w:right w:w="10" w:type="dxa"/>
            </w:tcMar>
            <w:vAlign w:val="center"/>
          </w:tcPr>
          <w:p>
            <w:pPr>
              <w:spacing w:line="28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jc w:val="center"/>
        </w:trPr>
        <w:tc>
          <w:tcPr>
            <w:tcW w:w="634" w:type="dxa"/>
            <w:vMerge w:val="restart"/>
            <w:noWrap/>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 xml:space="preserve">产       </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出</w:t>
            </w:r>
          </w:p>
        </w:tc>
        <w:tc>
          <w:tcPr>
            <w:tcW w:w="719" w:type="dxa"/>
            <w:vMerge w:val="restart"/>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职责</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履行</w:t>
            </w: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实际</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完成率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部门履行职责而实际完成工作数与计划工作数的比率，用以反映和考核部门履职工作任务目标的实现程度。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实际完成率=（实际完成工作数/计划工作数）×100%。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实际完成工作数：一定时期（年度或规划期）内部门实际完成工作任务的数量。</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计划工作数：部门整体绩效目标确定的一定时期（年度或规划期）内预计完成工作任务的数量。</w:t>
            </w:r>
          </w:p>
        </w:tc>
        <w:tc>
          <w:tcPr>
            <w:tcW w:w="506" w:type="dxa"/>
            <w:noWrap w:val="0"/>
            <w:tcMar>
              <w:top w:w="10" w:type="dxa"/>
              <w:left w:w="10" w:type="dxa"/>
              <w:bottom w:w="0" w:type="dxa"/>
              <w:right w:w="10" w:type="dxa"/>
            </w:tcMar>
            <w:vAlign w:val="center"/>
          </w:tcPr>
          <w:p>
            <w:pPr>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完成</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及时率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部门在规定时限内及时完成的实际工作数与计划工作数的比率,用以反映和考核部门履职时效目标的实现程度。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完成及时率=（及时完成实际工作数/计划工作数）×100%。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及时完成实际工作数：部门按照整体绩效目标确定的时限实际完成的工作任务数量。</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质量</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达标率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达到质量标准（绩效标准值）的实际工作数与计划工作数的比率,用以反映和考核部门履职质量目标的实现程度。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质量达标率=（质量达标实际工作数/计划工作数）×100%。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质量达标实际工作数：一定时期（年度或规划期）内部门实际完成工作数中达到部门绩效目标要求（绩效标准值）的工作任务数量。</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重点</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工作</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办结率</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部门年度重点工作实际完成数与交办或下达数的比率，用以反映部门对重点工作的办理落实程度。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重点工作办结率=（重点工作实际完成数/交办或下达数）×100%。</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重点工作是指党委、政府、人大、相关部门交办或下达的工作任务。</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34" w:type="dxa"/>
            <w:vMerge w:val="restart"/>
            <w:noWrap/>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 xml:space="preserve">效      </w:t>
            </w:r>
          </w:p>
          <w:p>
            <w:pPr>
              <w:spacing w:line="320" w:lineRule="exact"/>
              <w:jc w:val="center"/>
              <w:rPr>
                <w:rFonts w:hint="eastAsia" w:ascii="Times New Roman" w:hAnsi="Times New Roman" w:eastAsia="仿宋_GB2312"/>
                <w:color w:val="000000"/>
                <w:sz w:val="24"/>
                <w:szCs w:val="24"/>
              </w:rPr>
            </w:pP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果</w:t>
            </w:r>
          </w:p>
        </w:tc>
        <w:tc>
          <w:tcPr>
            <w:tcW w:w="719" w:type="dxa"/>
            <w:vMerge w:val="restart"/>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履职</w:t>
            </w:r>
            <w:r>
              <w:rPr>
                <w:rFonts w:ascii="Times New Roman" w:hAnsi="Times New Roman" w:eastAsia="仿宋_GB2312"/>
                <w:color w:val="000000"/>
                <w:sz w:val="24"/>
                <w:szCs w:val="24"/>
              </w:rPr>
              <w:br w:type="textWrapping"/>
            </w:r>
            <w:r>
              <w:rPr>
                <w:rFonts w:ascii="Times New Roman" w:hAnsi="Times New Roman" w:eastAsia="仿宋_GB2312"/>
                <w:color w:val="000000"/>
                <w:sz w:val="24"/>
                <w:szCs w:val="24"/>
              </w:rPr>
              <w:t>效益</w:t>
            </w: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经济</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效益</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部门履行职责对经济发展所带来的直接或间接影响。</w:t>
            </w:r>
          </w:p>
        </w:tc>
        <w:tc>
          <w:tcPr>
            <w:tcW w:w="4352" w:type="dxa"/>
            <w:vMerge w:val="restart"/>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此三项指标为设置部门整体支出绩效评价指标时必须考虑的共性要素，可根据部门实际并结合部门整体支出绩效目标设立情况有选择的进行设置，并将其细化为相应的个性化指标。</w:t>
            </w:r>
          </w:p>
        </w:tc>
        <w:tc>
          <w:tcPr>
            <w:tcW w:w="506" w:type="dxa"/>
            <w:noWrap w:val="0"/>
            <w:tcMar>
              <w:top w:w="10" w:type="dxa"/>
              <w:left w:w="10" w:type="dxa"/>
              <w:bottom w:w="0" w:type="dxa"/>
              <w:right w:w="10" w:type="dxa"/>
            </w:tcMar>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社会</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效益</w:t>
            </w:r>
          </w:p>
        </w:tc>
        <w:tc>
          <w:tcPr>
            <w:tcW w:w="472" w:type="dxa"/>
            <w:noWrap w:val="0"/>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部门履行职责对社会发展所带来的直接或间接影响。</w:t>
            </w:r>
          </w:p>
        </w:tc>
        <w:tc>
          <w:tcPr>
            <w:tcW w:w="4352" w:type="dxa"/>
            <w:vMerge w:val="continue"/>
            <w:noWrap w:val="0"/>
            <w:vAlign w:val="center"/>
          </w:tcPr>
          <w:p>
            <w:pPr>
              <w:spacing w:line="320" w:lineRule="exact"/>
              <w:rPr>
                <w:rFonts w:ascii="Times New Roman" w:hAnsi="Times New Roman" w:eastAsia="仿宋_GB2312"/>
                <w:color w:val="000000"/>
                <w:sz w:val="24"/>
                <w:szCs w:val="24"/>
              </w:rPr>
            </w:pPr>
          </w:p>
        </w:tc>
        <w:tc>
          <w:tcPr>
            <w:tcW w:w="506" w:type="dxa"/>
            <w:noWrap w:val="0"/>
            <w:vAlign w:val="center"/>
          </w:tcPr>
          <w:p>
            <w:pPr>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生态</w:t>
            </w:r>
          </w:p>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效益</w:t>
            </w:r>
          </w:p>
        </w:tc>
        <w:tc>
          <w:tcPr>
            <w:tcW w:w="472" w:type="dxa"/>
            <w:noWrap w:val="0"/>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部门履行职责对生态环境所带来的直接或间接影响。</w:t>
            </w:r>
          </w:p>
        </w:tc>
        <w:tc>
          <w:tcPr>
            <w:tcW w:w="4352" w:type="dxa"/>
            <w:vMerge w:val="continue"/>
            <w:noWrap w:val="0"/>
            <w:vAlign w:val="center"/>
          </w:tcPr>
          <w:p>
            <w:pPr>
              <w:spacing w:line="320" w:lineRule="exact"/>
              <w:rPr>
                <w:rFonts w:ascii="Times New Roman" w:hAnsi="Times New Roman" w:eastAsia="仿宋_GB2312"/>
                <w:color w:val="000000"/>
                <w:sz w:val="24"/>
                <w:szCs w:val="24"/>
              </w:rPr>
            </w:pPr>
          </w:p>
        </w:tc>
        <w:tc>
          <w:tcPr>
            <w:tcW w:w="506" w:type="dxa"/>
            <w:noWrap w:val="0"/>
            <w:vAlign w:val="center"/>
          </w:tcPr>
          <w:p>
            <w:pPr>
              <w:spacing w:line="320" w:lineRule="exact"/>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634"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719" w:type="dxa"/>
            <w:vMerge w:val="continue"/>
            <w:noWrap w:val="0"/>
            <w:vAlign w:val="center"/>
          </w:tcPr>
          <w:p>
            <w:pPr>
              <w:spacing w:line="320" w:lineRule="exact"/>
              <w:jc w:val="center"/>
              <w:rPr>
                <w:rFonts w:ascii="Times New Roman" w:hAnsi="Times New Roman" w:eastAsia="仿宋_GB2312"/>
                <w:color w:val="000000"/>
                <w:sz w:val="24"/>
                <w:szCs w:val="24"/>
              </w:rPr>
            </w:pPr>
          </w:p>
        </w:tc>
        <w:tc>
          <w:tcPr>
            <w:tcW w:w="673" w:type="dxa"/>
            <w:noWrap w:val="0"/>
            <w:tcMar>
              <w:top w:w="10" w:type="dxa"/>
              <w:left w:w="10" w:type="dxa"/>
              <w:bottom w:w="0" w:type="dxa"/>
              <w:right w:w="10" w:type="dxa"/>
            </w:tcMar>
            <w:vAlign w:val="center"/>
          </w:tcPr>
          <w:p>
            <w:pPr>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社会公众或服务对象满意度</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社会公众或部门的服务对象对部门履职效果的满意程度。</w:t>
            </w: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社会公众或服务对象是指部门履行职责而影响到的部门、群体或个人。一般采取社会调查的方式。</w:t>
            </w:r>
          </w:p>
        </w:tc>
        <w:tc>
          <w:tcPr>
            <w:tcW w:w="506" w:type="dxa"/>
            <w:noWrap w:val="0"/>
            <w:tcMar>
              <w:top w:w="10" w:type="dxa"/>
              <w:left w:w="10" w:type="dxa"/>
              <w:bottom w:w="0" w:type="dxa"/>
              <w:right w:w="10" w:type="dxa"/>
            </w:tcMar>
            <w:vAlign w:val="center"/>
          </w:tcPr>
          <w:p>
            <w:pPr>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2026" w:type="dxa"/>
            <w:gridSpan w:val="3"/>
            <w:noWrap w:val="0"/>
            <w:vAlign w:val="center"/>
          </w:tcPr>
          <w:p>
            <w:pPr>
              <w:spacing w:line="320" w:lineRule="exact"/>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合</w:t>
            </w:r>
            <w:r>
              <w:rPr>
                <w:rFonts w:hint="eastAsia" w:ascii="Times New Roman" w:hAnsi="Times New Roman" w:eastAsia="仿宋_GB2312"/>
                <w:color w:val="000000"/>
                <w:sz w:val="24"/>
                <w:szCs w:val="24"/>
                <w:lang w:val="en-US" w:eastAsia="zh-CN"/>
              </w:rPr>
              <w:t xml:space="preserve">  </w:t>
            </w:r>
            <w:r>
              <w:rPr>
                <w:rFonts w:hint="eastAsia" w:ascii="Times New Roman" w:hAnsi="Times New Roman" w:eastAsia="仿宋_GB2312"/>
                <w:color w:val="000000"/>
                <w:sz w:val="24"/>
                <w:szCs w:val="24"/>
                <w:lang w:eastAsia="zh-CN"/>
              </w:rPr>
              <w:t>计</w:t>
            </w:r>
          </w:p>
        </w:tc>
        <w:tc>
          <w:tcPr>
            <w:tcW w:w="472" w:type="dxa"/>
            <w:noWrap w:val="0"/>
            <w:tcMar>
              <w:top w:w="10" w:type="dxa"/>
              <w:left w:w="10" w:type="dxa"/>
              <w:bottom w:w="0" w:type="dxa"/>
              <w:right w:w="10" w:type="dxa"/>
            </w:tcMar>
            <w:vAlign w:val="center"/>
          </w:tcPr>
          <w:p>
            <w:pPr>
              <w:tabs>
                <w:tab w:val="left" w:pos="2604"/>
              </w:tabs>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100</w:t>
            </w:r>
          </w:p>
        </w:tc>
        <w:tc>
          <w:tcPr>
            <w:tcW w:w="3170" w:type="dxa"/>
            <w:noWrap w:val="0"/>
            <w:tcMar>
              <w:top w:w="10" w:type="dxa"/>
              <w:left w:w="10" w:type="dxa"/>
              <w:bottom w:w="0" w:type="dxa"/>
              <w:right w:w="10" w:type="dxa"/>
            </w:tcMar>
            <w:vAlign w:val="center"/>
          </w:tcPr>
          <w:p>
            <w:pPr>
              <w:tabs>
                <w:tab w:val="left" w:pos="2604"/>
              </w:tabs>
              <w:spacing w:line="320" w:lineRule="exact"/>
              <w:rPr>
                <w:rFonts w:ascii="Times New Roman" w:hAnsi="Times New Roman" w:eastAsia="仿宋_GB2312"/>
                <w:color w:val="000000"/>
                <w:sz w:val="24"/>
                <w:szCs w:val="24"/>
              </w:rPr>
            </w:pPr>
          </w:p>
        </w:tc>
        <w:tc>
          <w:tcPr>
            <w:tcW w:w="4352" w:type="dxa"/>
            <w:noWrap w:val="0"/>
            <w:tcMar>
              <w:top w:w="10" w:type="dxa"/>
              <w:left w:w="10" w:type="dxa"/>
              <w:bottom w:w="0" w:type="dxa"/>
              <w:right w:w="10" w:type="dxa"/>
            </w:tcMar>
            <w:vAlign w:val="center"/>
          </w:tcPr>
          <w:p>
            <w:pPr>
              <w:spacing w:line="320" w:lineRule="exact"/>
              <w:rPr>
                <w:rFonts w:ascii="Times New Roman" w:hAnsi="Times New Roman" w:eastAsia="仿宋_GB2312"/>
                <w:color w:val="000000"/>
                <w:sz w:val="24"/>
                <w:szCs w:val="24"/>
              </w:rPr>
            </w:pPr>
          </w:p>
        </w:tc>
        <w:tc>
          <w:tcPr>
            <w:tcW w:w="506" w:type="dxa"/>
            <w:noWrap w:val="0"/>
            <w:tcMar>
              <w:top w:w="10" w:type="dxa"/>
              <w:left w:w="10" w:type="dxa"/>
              <w:bottom w:w="0" w:type="dxa"/>
              <w:right w:w="10" w:type="dxa"/>
            </w:tcMar>
            <w:vAlign w:val="center"/>
          </w:tcPr>
          <w:p>
            <w:pPr>
              <w:spacing w:line="320" w:lineRule="exact"/>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98</w:t>
            </w:r>
          </w:p>
        </w:tc>
      </w:tr>
    </w:tbl>
    <w:p>
      <w:pPr>
        <w:spacing w:line="576" w:lineRule="exact"/>
        <w:jc w:val="center"/>
        <w:rPr>
          <w:rFonts w:ascii="Times New Roman" w:hAnsi="Times New Roman" w:eastAsia="方正小标宋简体"/>
          <w:color w:val="000000"/>
          <w:kern w:val="0"/>
          <w:sz w:val="44"/>
          <w:szCs w:val="44"/>
        </w:rPr>
      </w:pPr>
    </w:p>
    <w:p>
      <w:pPr>
        <w:spacing w:line="576" w:lineRule="exact"/>
        <w:jc w:val="center"/>
        <w:rPr>
          <w:rFonts w:ascii="Times New Roman" w:hAnsi="Times New Roman" w:eastAsia="仿宋_GB2312"/>
          <w:color w:val="000000"/>
          <w:kern w:val="0"/>
          <w:sz w:val="24"/>
        </w:rPr>
      </w:pPr>
      <w:r>
        <w:rPr>
          <w:rFonts w:ascii="Times New Roman" w:hAnsi="Times New Roman" w:eastAsia="方正小标宋简体"/>
          <w:color w:val="000000"/>
          <w:kern w:val="0"/>
          <w:sz w:val="44"/>
          <w:szCs w:val="44"/>
        </w:rPr>
        <w:t>部门整体支出绩效评价基础数据表</w:t>
      </w:r>
    </w:p>
    <w:p>
      <w:pPr>
        <w:keepNext w:val="0"/>
        <w:keepLines w:val="0"/>
        <w:pageBreakBefore w:val="0"/>
        <w:widowControl w:val="0"/>
        <w:kinsoku/>
        <w:wordWrap/>
        <w:overflowPunct/>
        <w:topLinePunct w:val="0"/>
        <w:autoSpaceDE/>
        <w:autoSpaceDN/>
        <w:bidi w:val="0"/>
        <w:adjustRightInd/>
        <w:snapToGrid/>
        <w:spacing w:line="240" w:lineRule="exact"/>
        <w:ind w:left="-420" w:leftChars="-200" w:firstLine="0" w:firstLineChars="0"/>
        <w:jc w:val="both"/>
        <w:textAlignment w:val="auto"/>
        <w:rPr>
          <w:rFonts w:hint="eastAsia" w:ascii="Times New Roman" w:hAnsi="Times New Roman" w:eastAsia="方正小标宋简体"/>
          <w:color w:val="00000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420" w:leftChars="-200" w:firstLine="0" w:firstLineChars="0"/>
        <w:jc w:val="both"/>
        <w:textAlignment w:val="auto"/>
        <w:rPr>
          <w:rFonts w:ascii="Times New Roman" w:hAnsi="Times New Roman" w:eastAsia="仿宋_GB2312"/>
          <w:color w:val="000000"/>
          <w:kern w:val="0"/>
          <w:sz w:val="24"/>
        </w:rPr>
      </w:pPr>
      <w:r>
        <w:rPr>
          <w:rFonts w:hint="eastAsia" w:ascii="Times New Roman" w:hAnsi="Times New Roman" w:eastAsia="方正小标宋简体"/>
          <w:color w:val="000000"/>
          <w:kern w:val="0"/>
          <w:sz w:val="21"/>
          <w:szCs w:val="21"/>
          <w:lang w:eastAsia="zh-CN"/>
        </w:rPr>
        <w:t>填报单位：中共浏阳市纪委</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2"/>
        <w:tblW w:w="0" w:type="auto"/>
        <w:jc w:val="center"/>
        <w:tblLayout w:type="fixed"/>
        <w:tblCellMar>
          <w:top w:w="0" w:type="dxa"/>
          <w:left w:w="108" w:type="dxa"/>
          <w:bottom w:w="0" w:type="dxa"/>
          <w:right w:w="108" w:type="dxa"/>
        </w:tblCellMar>
      </w:tblPr>
      <w:tblGrid>
        <w:gridCol w:w="3504"/>
        <w:gridCol w:w="1720"/>
        <w:gridCol w:w="2061"/>
        <w:gridCol w:w="1748"/>
      </w:tblGrid>
      <w:tr>
        <w:tblPrEx>
          <w:tblCellMar>
            <w:top w:w="0" w:type="dxa"/>
            <w:left w:w="108" w:type="dxa"/>
            <w:bottom w:w="0" w:type="dxa"/>
            <w:right w:w="108" w:type="dxa"/>
          </w:tblCellMar>
        </w:tblPrEx>
        <w:trPr>
          <w:trHeight w:val="388" w:hRule="atLeast"/>
          <w:jc w:val="center"/>
        </w:trPr>
        <w:tc>
          <w:tcPr>
            <w:tcW w:w="35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lang w:val="en-US" w:eastAsia="zh-CN"/>
              </w:rPr>
              <w:t>9</w:t>
            </w:r>
            <w:r>
              <w:rPr>
                <w:rFonts w:ascii="Times New Roman" w:hAnsi="Times New Roman" w:eastAsia="仿宋_GB2312"/>
                <w:bCs/>
                <w:color w:val="000000"/>
                <w:kern w:val="0"/>
                <w:sz w:val="24"/>
              </w:rPr>
              <w:t>年实际在职</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455" w:hRule="atLeast"/>
          <w:jc w:val="center"/>
        </w:trPr>
        <w:tc>
          <w:tcPr>
            <w:tcW w:w="350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91</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84</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92.3%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8</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201</w:t>
            </w:r>
            <w:r>
              <w:rPr>
                <w:rFonts w:hint="eastAsia" w:ascii="Times New Roman" w:hAnsi="Times New Roman" w:eastAsia="仿宋_GB2312"/>
                <w:bCs/>
                <w:color w:val="000000"/>
                <w:kern w:val="0"/>
                <w:sz w:val="24"/>
              </w:rPr>
              <w:t>9</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805223.99</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940000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456848.84</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765323.99</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640000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412396.84</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415000</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280000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350323.99</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360000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412396.84</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7400</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szCs w:val="21"/>
                <w:lang w:val="en-US" w:eastAsia="zh-CN" w:bidi="ar-SA"/>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39900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300000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37052</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8406972.41</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11587600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13574602.03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8406972.41</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11587600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13574602.03</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816178.85</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2125000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2001111.71</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30162.87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403900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val="en-US" w:eastAsia="zh-CN"/>
              </w:rPr>
              <w:t>14720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85097.80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50000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252248</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szCs w:val="21"/>
                <w:lang w:val="en-US" w:eastAsia="zh-CN" w:bidi="ar-SA"/>
              </w:rPr>
            </w:pPr>
            <w:r>
              <w:rPr>
                <w:rFonts w:hint="eastAsia" w:ascii="Times New Roman" w:hAnsi="Times New Roman" w:eastAsia="仿宋_GB2312"/>
                <w:color w:val="000000"/>
                <w:kern w:val="0"/>
                <w:sz w:val="24"/>
                <w:lang w:val="en-US" w:eastAsia="zh-CN"/>
              </w:rPr>
              <w:t>101275.50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135000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eastAsia"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szCs w:val="21"/>
                <w:lang w:val="en-US" w:eastAsia="zh-CN" w:bidi="ar-SA"/>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2065"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29" w:type="dxa"/>
            <w:gridSpan w:val="3"/>
            <w:tcBorders>
              <w:top w:val="single" w:color="auto" w:sz="4" w:space="0"/>
              <w:left w:val="nil"/>
              <w:bottom w:val="single" w:color="auto" w:sz="4" w:space="0"/>
              <w:right w:val="single" w:color="000000" w:sz="4" w:space="0"/>
            </w:tcBorders>
            <w:noWrap w:val="0"/>
            <w:vAlign w:val="center"/>
          </w:tcPr>
          <w:p>
            <w:pPr>
              <w:spacing w:line="320" w:lineRule="exact"/>
              <w:ind w:firstLine="480" w:firstLineChars="200"/>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kern w:val="0"/>
                <w:sz w:val="21"/>
                <w:szCs w:val="21"/>
                <w:lang w:val="en-US" w:eastAsia="zh-CN"/>
              </w:rPr>
              <w:t>1，严格控制公务接待费用。严格按照有关规定确定有接待标准，并按程序报批，不得随意提高用餐标准。来人来客一律不安排香烟、水果，不安排各种娱乐性消费活动，不赠送土特产。</w:t>
            </w:r>
            <w:r>
              <w:rPr>
                <w:rFonts w:hint="eastAsia" w:ascii="Times New Roman" w:hAnsi="Times New Roman" w:eastAsia="仿宋_GB2312"/>
                <w:kern w:val="0"/>
                <w:sz w:val="21"/>
                <w:szCs w:val="21"/>
                <w:lang w:val="en-US" w:eastAsia="zh-CN"/>
              </w:rPr>
              <w:br w:type="textWrapping"/>
            </w:r>
            <w:r>
              <w:rPr>
                <w:rFonts w:hint="eastAsia" w:ascii="Times New Roman" w:hAnsi="Times New Roman" w:eastAsia="仿宋_GB2312"/>
                <w:kern w:val="0"/>
                <w:sz w:val="21"/>
                <w:szCs w:val="21"/>
                <w:lang w:val="en-US" w:eastAsia="zh-CN"/>
              </w:rPr>
              <w:t xml:space="preserve">    2，严格公车使用管理。加强日常管理，严禁公车私用。严格执行IC卡加油、定点维修制度，压缩车辆修理费、燃油费等支出</w:t>
            </w:r>
            <w:r>
              <w:rPr>
                <w:rFonts w:hint="eastAsia" w:ascii="Times New Roman" w:hAnsi="Times New Roman" w:eastAsia="仿宋_GB2312"/>
                <w:kern w:val="0"/>
                <w:sz w:val="24"/>
                <w:lang w:val="en-US" w:eastAsia="zh-CN"/>
              </w:rPr>
              <w:t>。</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说明：“项目支出”需要填报除专项资金和基本支出以外的所有项目情况，包括业务工作项目、运行维护项目等；“公用经费”填报基本支出中的一般商品和服务支出。</w:t>
      </w:r>
    </w:p>
    <w:p>
      <w:pPr>
        <w:spacing w:line="500" w:lineRule="exact"/>
        <w:jc w:val="center"/>
        <w:rPr>
          <w:rFonts w:ascii="Times New Roman" w:hAnsi="Times New Roman" w:eastAsia="方正小标宋简体"/>
          <w:color w:val="000000"/>
          <w:kern w:val="0"/>
          <w:sz w:val="44"/>
          <w:szCs w:val="44"/>
        </w:rPr>
      </w:pPr>
    </w:p>
    <w:p>
      <w:pPr>
        <w:spacing w:line="5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财政</w:t>
      </w:r>
      <w:r>
        <w:rPr>
          <w:rFonts w:hint="eastAsia" w:ascii="Times New Roman" w:hAnsi="Times New Roman" w:eastAsia="方正小标宋简体"/>
          <w:color w:val="000000"/>
          <w:kern w:val="0"/>
          <w:sz w:val="44"/>
          <w:szCs w:val="44"/>
        </w:rPr>
        <w:t>项目</w:t>
      </w:r>
      <w:r>
        <w:rPr>
          <w:rFonts w:ascii="Times New Roman" w:hAnsi="Times New Roman" w:eastAsia="方正小标宋简体"/>
          <w:color w:val="000000"/>
          <w:kern w:val="0"/>
          <w:sz w:val="44"/>
          <w:szCs w:val="44"/>
        </w:rPr>
        <w:t>支出绩效评价共性指标</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imes New Roman" w:hAnsi="Times New Roman" w:eastAsia="方正小标宋简体"/>
          <w:color w:val="00000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jc w:val="both"/>
        <w:textAlignment w:val="auto"/>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21"/>
          <w:szCs w:val="21"/>
          <w:lang w:eastAsia="zh-CN"/>
        </w:rPr>
        <w:t>填报单位：中共浏阳市纪委</w:t>
      </w:r>
    </w:p>
    <w:tbl>
      <w:tblPr>
        <w:tblStyle w:val="2"/>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44"/>
        <w:gridCol w:w="1254"/>
        <w:gridCol w:w="560"/>
        <w:gridCol w:w="2516"/>
        <w:gridCol w:w="3545"/>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83"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一级指标</w:t>
            </w:r>
          </w:p>
        </w:tc>
        <w:tc>
          <w:tcPr>
            <w:tcW w:w="844"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二级指标</w:t>
            </w:r>
          </w:p>
        </w:tc>
        <w:tc>
          <w:tcPr>
            <w:tcW w:w="1254"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三级指标</w:t>
            </w:r>
          </w:p>
        </w:tc>
        <w:tc>
          <w:tcPr>
            <w:tcW w:w="560" w:type="dxa"/>
            <w:noWrap w:val="0"/>
            <w:vAlign w:val="top"/>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分值</w:t>
            </w:r>
          </w:p>
        </w:tc>
        <w:tc>
          <w:tcPr>
            <w:tcW w:w="2516"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指标解释</w:t>
            </w:r>
          </w:p>
        </w:tc>
        <w:tc>
          <w:tcPr>
            <w:tcW w:w="3545"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指标说明</w:t>
            </w:r>
          </w:p>
        </w:tc>
        <w:tc>
          <w:tcPr>
            <w:tcW w:w="511" w:type="dxa"/>
            <w:noWrap w:val="0"/>
            <w:vAlign w:val="center"/>
          </w:tcPr>
          <w:p>
            <w:pPr>
              <w:spacing w:line="300" w:lineRule="exact"/>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投</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入</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项目立项</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规范性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项目的申请、设立过程是否符合相关要求，用以反映和考核项目立项的规范情况。</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①项目是否按照规定的程序申请设立。</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②所提交的文件、材料是否符合相关要求。</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③事前是否已经过必要的可行性研究、专家论证、风险评估、集体决策等。</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绩效目标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合理性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项目所设定的绩效目标是否依据充分，是否符合客观实际，用以反映和考核项目绩效目标与项目实施的相符情况。</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①是否符合国家相关法律法规，国民经济发展规划和党委政府决策。</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②是否与项目实施单位或委托单位职责密切相关。</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③项目是否为促进事业发展所必需。</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④项目预期产出效益和效果是否符合正常的业绩水平。</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绩效指标</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明确性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依据绩效目标设定的绩效指标是否清晰、细化、可衡量等，用以反映和考核项目绩效目标的明细化情况。</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①是否将项目绩效目标细化分解为具体的绩效指标。</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②是否通过清晰、可衡量的指标值予以体现。</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③是否与项目年度任务数或计划数相对应。</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④是否与预期确定的项目投资额或资金量相匹配。</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部门本年度预算完成数与预算数的比率，用以反映和考核部门预算完成程度。</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预算完成率=（预算完成数/预算数）×100%。预算完成数：部门本年度实际完成的预算数。预算数：财政部门批复的本年度部门预算数。</w:t>
            </w:r>
          </w:p>
        </w:tc>
        <w:tc>
          <w:tcPr>
            <w:tcW w:w="511" w:type="dxa"/>
            <w:noWrap w:val="0"/>
            <w:vAlign w:val="center"/>
          </w:tcPr>
          <w:p>
            <w:pPr>
              <w:spacing w:line="300" w:lineRule="exact"/>
              <w:jc w:val="center"/>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调整率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部门本年度预算调整数与预算数的比率，用以反映和考核部门预算的调整程度。</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预算调整率=（预算调整数/预算数）×100%。预算调整数：部门在本年度内涉及预算的追加、</w:t>
            </w:r>
            <w:r>
              <w:rPr>
                <w:rFonts w:hint="eastAsia" w:ascii="Times New Roman" w:hAnsi="Times New Roman" w:eastAsia="仿宋_GB2312"/>
                <w:color w:val="000000"/>
                <w:kern w:val="0"/>
                <w:sz w:val="24"/>
                <w:szCs w:val="24"/>
              </w:rPr>
              <w:t>调</w:t>
            </w:r>
            <w:r>
              <w:rPr>
                <w:rFonts w:ascii="Times New Roman" w:hAnsi="Times New Roman" w:eastAsia="仿宋_GB2312"/>
                <w:color w:val="000000"/>
                <w:kern w:val="0"/>
                <w:sz w:val="24"/>
                <w:szCs w:val="24"/>
              </w:rPr>
              <w:t>减或结构调整的资金总和（因落实国家政策、发生不可抗力、上级部门或同级党委政府临时交办而产生的调整除外）。</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预算执行</w:t>
            </w: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进度率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部门实际支付进度与既定支付进度的比率，用以反映和考核部门预算执行的及时性和均衡性程度。</w:t>
            </w:r>
          </w:p>
        </w:tc>
        <w:tc>
          <w:tcPr>
            <w:tcW w:w="3545" w:type="dxa"/>
            <w:noWrap w:val="0"/>
            <w:vAlign w:val="center"/>
          </w:tcPr>
          <w:p>
            <w:pPr>
              <w:spacing w:line="28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支付进度率=（实际支付进度/既定支付进度）×100%。</w:t>
            </w:r>
          </w:p>
          <w:p>
            <w:pPr>
              <w:spacing w:line="28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实际支付进度：部门在某一时点的支出预算执行总数与年度支出预算数的比率。</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部门本年度结转结余总额与支出预算数的比率，用以反映和考核部门对本年度结转结余资金的实际控制程度。</w:t>
            </w:r>
          </w:p>
        </w:tc>
        <w:tc>
          <w:tcPr>
            <w:tcW w:w="3545" w:type="dxa"/>
            <w:noWrap w:val="0"/>
            <w:vAlign w:val="center"/>
          </w:tcPr>
          <w:p>
            <w:pPr>
              <w:spacing w:line="300" w:lineRule="exact"/>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结转结余率=</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结转结余总额/支出预算数</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结转结余总额：部门本年度的结转资金与结余资金之和（以决算数为准）。</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结余</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变动率</w:t>
            </w:r>
          </w:p>
        </w:tc>
        <w:tc>
          <w:tcPr>
            <w:tcW w:w="560" w:type="dxa"/>
            <w:noWrap w:val="0"/>
            <w:vAlign w:val="center"/>
          </w:tcPr>
          <w:p>
            <w:pPr>
              <w:tabs>
                <w:tab w:val="left" w:pos="2604"/>
              </w:tabs>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w:t>
            </w:r>
          </w:p>
        </w:tc>
        <w:tc>
          <w:tcPr>
            <w:tcW w:w="2516" w:type="dxa"/>
            <w:noWrap w:val="0"/>
            <w:vAlign w:val="center"/>
          </w:tcPr>
          <w:p>
            <w:pPr>
              <w:tabs>
                <w:tab w:val="left" w:pos="2604"/>
              </w:tabs>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部门本年度结转结余资金总额与上年度结转结余资金总额的变动比率，用以反映和考核部门对控制结转结余资金的努力程度。</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结转结余变动率=[（本年度累计结转结余资金总额-上年度累计结转结余资金总额）/上年度累计结转结余资金总额]×100%。</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健全性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项目实施单位的业务管理制度是否健全，用以反映和考核业务管</w:t>
            </w:r>
            <w:r>
              <w:rPr>
                <w:rFonts w:hint="eastAsia" w:ascii="Times New Roman" w:hAnsi="Times New Roman" w:eastAsia="仿宋_GB2312"/>
                <w:color w:val="000000"/>
                <w:kern w:val="0"/>
                <w:sz w:val="24"/>
                <w:szCs w:val="24"/>
              </w:rPr>
              <w:t>理</w:t>
            </w:r>
            <w:r>
              <w:rPr>
                <w:rFonts w:ascii="Times New Roman" w:hAnsi="Times New Roman" w:eastAsia="仿宋_GB2312"/>
                <w:color w:val="000000"/>
                <w:kern w:val="0"/>
                <w:sz w:val="24"/>
                <w:szCs w:val="24"/>
              </w:rPr>
              <w:t>制度对项目顺利实施的保障情况。</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是否已制定或具有相应的业务管理制度。</w:t>
            </w:r>
          </w:p>
          <w:p>
            <w:pPr>
              <w:spacing w:line="30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业务管理制度是否合法、合规、完整。</w:t>
            </w:r>
          </w:p>
        </w:tc>
        <w:tc>
          <w:tcPr>
            <w:tcW w:w="511" w:type="dxa"/>
            <w:noWrap w:val="0"/>
            <w:vAlign w:val="center"/>
          </w:tcPr>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制度执行</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有效性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项目实施是否符合相关业务管理规定，用以反映和考核业务管理制度的有效执行情况。</w:t>
            </w:r>
          </w:p>
        </w:tc>
        <w:tc>
          <w:tcPr>
            <w:tcW w:w="3545"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是否遵守相关法律法规和业务管理规定。</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项目调整及支出调整手续是否完备。</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项目合同书、验收报告、技术鉴定等资料是否齐全并及时归档。</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项目实施的人员条件、场地设备，信息支撑等是否落实到位。</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可控性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项目实施到位是否为达到项目质量要求而采取了必需的措施，用以反映和考核项目实施单位对项目质量的控制情况。</w:t>
            </w:r>
          </w:p>
        </w:tc>
        <w:tc>
          <w:tcPr>
            <w:tcW w:w="3545"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是否已制定或其有相应的项目质量要求</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或标准。</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是否采取了相应的项目质量检查、验收等</w:t>
            </w:r>
          </w:p>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必需的控制措施或手段。</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过</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程</w:t>
            </w:r>
          </w:p>
        </w:tc>
        <w:tc>
          <w:tcPr>
            <w:tcW w:w="84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管理制度健全性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项目实施单位的财务制度是否健全，用以反映和考核财务管理制度对资金规范安全运行的保障情况。</w:t>
            </w:r>
          </w:p>
        </w:tc>
        <w:tc>
          <w:tcPr>
            <w:tcW w:w="3545"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是否已制定或具有相应的项目资金管理办法。</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项目资金管理办法是否符合相关财务会计制度的规定。</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财务管理</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资金使用合规性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项目资金使用是否符合相关的财务管理制度规定，用以反映和考核项目资金的规范运行情况。</w:t>
            </w:r>
          </w:p>
        </w:tc>
        <w:tc>
          <w:tcPr>
            <w:tcW w:w="3545"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是否符合国家财经法规和财务管理以及有关专项资金管理办法的规定。</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资金的拨付是否有完整的审批程序和手续。</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③</w:t>
            </w:r>
            <w:r>
              <w:rPr>
                <w:rFonts w:ascii="Times New Roman" w:hAnsi="Times New Roman" w:eastAsia="仿宋_GB2312"/>
                <w:color w:val="000000"/>
                <w:kern w:val="0"/>
                <w:sz w:val="24"/>
                <w:szCs w:val="24"/>
              </w:rPr>
              <w:t>项目的重大开支是否经过评估认证。</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④</w:t>
            </w:r>
            <w:r>
              <w:rPr>
                <w:rFonts w:ascii="Times New Roman" w:hAnsi="Times New Roman" w:eastAsia="仿宋_GB2312"/>
                <w:color w:val="000000"/>
                <w:kern w:val="0"/>
                <w:sz w:val="24"/>
                <w:szCs w:val="24"/>
              </w:rPr>
              <w:t>是否符合项目预算批复或合同规定的用途。</w:t>
            </w:r>
          </w:p>
          <w:p>
            <w:pPr>
              <w:spacing w:line="26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⑤</w:t>
            </w:r>
            <w:r>
              <w:rPr>
                <w:rFonts w:ascii="Times New Roman" w:hAnsi="Times New Roman" w:eastAsia="仿宋_GB2312"/>
                <w:color w:val="000000"/>
                <w:kern w:val="0"/>
                <w:sz w:val="24"/>
                <w:szCs w:val="24"/>
              </w:rPr>
              <w:t>是否存在截留、挤占、挪用、虚列支出等情况。</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财务监控有效性</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4</w:t>
            </w:r>
          </w:p>
        </w:tc>
        <w:tc>
          <w:tcPr>
            <w:tcW w:w="2516"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项目实施单位是否为保障资金的安全、规范运行而采取了必要的监控措施，用以反映和考核项目实施单位对资金运行的控制情况。</w:t>
            </w:r>
          </w:p>
        </w:tc>
        <w:tc>
          <w:tcPr>
            <w:tcW w:w="3545" w:type="dxa"/>
            <w:noWrap w:val="0"/>
            <w:vAlign w:val="center"/>
          </w:tcPr>
          <w:p>
            <w:pPr>
              <w:spacing w:line="28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评价要点：</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①</w:t>
            </w:r>
            <w:r>
              <w:rPr>
                <w:rFonts w:ascii="Times New Roman" w:hAnsi="Times New Roman" w:eastAsia="仿宋_GB2312"/>
                <w:color w:val="000000"/>
                <w:kern w:val="0"/>
                <w:sz w:val="24"/>
                <w:szCs w:val="24"/>
              </w:rPr>
              <w:t>是否已制定或具有相应的监控机制。</w:t>
            </w:r>
          </w:p>
          <w:p>
            <w:pPr>
              <w:spacing w:line="280" w:lineRule="exact"/>
              <w:rPr>
                <w:rFonts w:ascii="Times New Roman" w:hAnsi="Times New Roman" w:eastAsia="仿宋_GB2312"/>
                <w:color w:val="000000"/>
                <w:kern w:val="0"/>
                <w:sz w:val="24"/>
                <w:szCs w:val="24"/>
              </w:rPr>
            </w:pPr>
            <w:r>
              <w:rPr>
                <w:rFonts w:ascii="Times New Roman" w:hAnsi="Times New Roman"/>
                <w:color w:val="000000"/>
                <w:kern w:val="0"/>
                <w:sz w:val="24"/>
                <w:szCs w:val="24"/>
              </w:rPr>
              <w:t>②</w:t>
            </w:r>
            <w:r>
              <w:rPr>
                <w:rFonts w:ascii="Times New Roman" w:hAnsi="Times New Roman" w:eastAsia="仿宋_GB2312"/>
                <w:color w:val="000000"/>
                <w:kern w:val="0"/>
                <w:sz w:val="24"/>
                <w:szCs w:val="24"/>
              </w:rPr>
              <w:t>是否采取了相应的财务检查等必要的监控措施或手段。</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4</w:t>
            </w: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产</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出</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项目产出</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项目实施的实际产出数与计划产出数的比率，用以反映和考核项目产出数量目标的实现程度。</w:t>
            </w:r>
          </w:p>
        </w:tc>
        <w:tc>
          <w:tcPr>
            <w:tcW w:w="3545"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实际完成率＝（实际产出数/计划产出数）×100%。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实际产出数：一定时期（本年度或项目期）内项目实际产出的产品或提供的服务数。</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计划产出数：项目绩效目标确定的在一定时期（本年度或项目期）内计划产出的产品或提供的服务数量。</w:t>
            </w:r>
          </w:p>
        </w:tc>
        <w:tc>
          <w:tcPr>
            <w:tcW w:w="511" w:type="dxa"/>
            <w:noWrap w:val="0"/>
            <w:vAlign w:val="center"/>
          </w:tcPr>
          <w:p>
            <w:pPr>
              <w:spacing w:line="300" w:lineRule="exact"/>
              <w:jc w:val="left"/>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及时率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项目实际提前完成时间与计划完成时间的比率，用以反映和考核项目产出时效目标的实现程度。</w:t>
            </w:r>
          </w:p>
        </w:tc>
        <w:tc>
          <w:tcPr>
            <w:tcW w:w="3545"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完成及时率=[ （计划完成时间-实际完成时间）/计划完成时间] ×100%。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实际完成时间：项目实施单位完成该项目实际所耗用的时间。</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计划完成时间：按照项目实施计划或相关规定完成该项目所需的时间。</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达标率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项目完成的质量达标产出数与实际产出数的比率，用以反映和考核项目产出质量目标的实现程度。</w:t>
            </w:r>
          </w:p>
        </w:tc>
        <w:tc>
          <w:tcPr>
            <w:tcW w:w="3545" w:type="dxa"/>
            <w:noWrap w:val="0"/>
            <w:vAlign w:val="center"/>
          </w:tcPr>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质量达标率＝（质量达标产出数/实际产出数）×100%。</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质量达标产出数：一定时期（本年度或项目期）内实际达到既定质量标准的产品或服务数量。</w:t>
            </w:r>
          </w:p>
          <w:p>
            <w:pPr>
              <w:spacing w:line="26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既定质量标准是指项目实施单位设立绩效目标时依据计划标准、行业标准、历史标准或其他标准而设定的绩效指标值。</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noWrap w:val="0"/>
            <w:vAlign w:val="center"/>
          </w:tcPr>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产</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出</w:t>
            </w: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节约率</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8</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完成项目计划工作目标的实际节约成本与计划成本的比率，用以反映和考核项目的成本节约程度。</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成本节约率＝[（计划成本-实际成本） /计划成本]×100%。</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实际成本：项目实施单位如期、保质、保量完成既定工作目标实际所耗费的支出。</w:t>
            </w:r>
          </w:p>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计划成本：项目实施单位为完成工作目标计划安排的支出，一般以项目预算为参考。</w:t>
            </w:r>
          </w:p>
        </w:tc>
        <w:tc>
          <w:tcPr>
            <w:tcW w:w="511" w:type="dxa"/>
            <w:noWrap w:val="0"/>
            <w:vAlign w:val="center"/>
          </w:tcPr>
          <w:p>
            <w:pPr>
              <w:spacing w:line="30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noWrap w:val="0"/>
            <w:vAlign w:val="center"/>
          </w:tcPr>
          <w:p>
            <w:pPr>
              <w:spacing w:line="300" w:lineRule="exact"/>
              <w:jc w:val="center"/>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效</w:t>
            </w:r>
          </w:p>
          <w:p>
            <w:pPr>
              <w:spacing w:line="300" w:lineRule="exact"/>
              <w:jc w:val="center"/>
              <w:rPr>
                <w:rFonts w:hint="eastAsia" w:ascii="Times New Roman" w:hAnsi="Times New Roman" w:eastAsia="仿宋_GB2312"/>
                <w:color w:val="000000"/>
                <w:kern w:val="0"/>
                <w:sz w:val="24"/>
                <w:szCs w:val="24"/>
              </w:rPr>
            </w:pP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w:t>
            </w:r>
          </w:p>
        </w:tc>
        <w:tc>
          <w:tcPr>
            <w:tcW w:w="844" w:type="dxa"/>
            <w:vMerge w:val="restart"/>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项目效益</w:t>
            </w: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经济效益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项目实施对经济发展所带来的直接或间接影响情况。</w:t>
            </w:r>
          </w:p>
        </w:tc>
        <w:tc>
          <w:tcPr>
            <w:tcW w:w="3545" w:type="dxa"/>
            <w:vMerge w:val="restart"/>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此四项指标为设置项目支出</w:t>
            </w:r>
            <w:r>
              <w:rPr>
                <w:rFonts w:ascii="Times New Roman" w:hAnsi="Times New Roman"/>
                <w:color w:val="000000"/>
                <w:kern w:val="0"/>
                <w:sz w:val="24"/>
                <w:szCs w:val="24"/>
              </w:rPr>
              <w:t>绩</w:t>
            </w:r>
            <w:r>
              <w:rPr>
                <w:rFonts w:ascii="Times New Roman" w:hAnsi="Times New Roman" w:eastAsia="仿宋_GB2312"/>
                <w:color w:val="000000"/>
                <w:kern w:val="0"/>
                <w:sz w:val="24"/>
                <w:szCs w:val="24"/>
              </w:rPr>
              <w:t>效评价指标时必须考虑的共性要素，可根据项目实际并结合绩效目标设立情况有选择的</w:t>
            </w:r>
            <w:r>
              <w:rPr>
                <w:rFonts w:ascii="Times New Roman" w:hAnsi="Times New Roman"/>
                <w:color w:val="000000"/>
                <w:kern w:val="0"/>
                <w:sz w:val="24"/>
                <w:szCs w:val="24"/>
              </w:rPr>
              <w:t>进</w:t>
            </w:r>
            <w:r>
              <w:rPr>
                <w:rFonts w:ascii="Times New Roman" w:hAnsi="Times New Roman" w:eastAsia="仿宋_GB2312"/>
                <w:color w:val="000000"/>
                <w:kern w:val="0"/>
                <w:sz w:val="24"/>
                <w:szCs w:val="24"/>
              </w:rPr>
              <w:t>行设置，并将其细化为相应的个性化指标。</w:t>
            </w:r>
          </w:p>
        </w:tc>
        <w:tc>
          <w:tcPr>
            <w:tcW w:w="511" w:type="dxa"/>
            <w:vMerge w:val="restart"/>
            <w:noWrap w:val="0"/>
            <w:vAlign w:val="center"/>
          </w:tcPr>
          <w:p>
            <w:pPr>
              <w:spacing w:line="300" w:lineRule="exact"/>
              <w:jc w:val="center"/>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项目实施对社会发展所带来的直接或间接影响情况。</w:t>
            </w:r>
          </w:p>
        </w:tc>
        <w:tc>
          <w:tcPr>
            <w:tcW w:w="3545"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11"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生态效益</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项目实施对生态环境所带来的直接或间接影响情况。</w:t>
            </w:r>
          </w:p>
        </w:tc>
        <w:tc>
          <w:tcPr>
            <w:tcW w:w="3545"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11"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可持续</w:t>
            </w:r>
          </w:p>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影响</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项目后续运行及成效发挥的可持续影响情况。</w:t>
            </w:r>
          </w:p>
        </w:tc>
        <w:tc>
          <w:tcPr>
            <w:tcW w:w="3545" w:type="dxa"/>
            <w:vMerge w:val="continue"/>
            <w:noWrap w:val="0"/>
            <w:vAlign w:val="center"/>
          </w:tcPr>
          <w:p>
            <w:pPr>
              <w:spacing w:line="300" w:lineRule="exact"/>
              <w:rPr>
                <w:rFonts w:ascii="Times New Roman" w:hAnsi="Times New Roman" w:eastAsia="仿宋_GB2312"/>
                <w:color w:val="000000"/>
                <w:kern w:val="0"/>
                <w:sz w:val="24"/>
                <w:szCs w:val="24"/>
              </w:rPr>
            </w:pPr>
          </w:p>
        </w:tc>
        <w:tc>
          <w:tcPr>
            <w:tcW w:w="511" w:type="dxa"/>
            <w:vMerge w:val="continue"/>
            <w:noWrap w:val="0"/>
            <w:vAlign w:val="center"/>
          </w:tcPr>
          <w:p>
            <w:pPr>
              <w:spacing w:line="300" w:lineRule="exact"/>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844" w:type="dxa"/>
            <w:vMerge w:val="continue"/>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社会公众或服务对象满意度</w:t>
            </w:r>
          </w:p>
        </w:tc>
        <w:tc>
          <w:tcPr>
            <w:tcW w:w="560" w:type="dxa"/>
            <w:noWrap w:val="0"/>
            <w:vAlign w:val="center"/>
          </w:tcPr>
          <w:p>
            <w:pPr>
              <w:spacing w:line="3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2516"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社会公众或服务对象对项目实施效果的满意程度。</w:t>
            </w:r>
          </w:p>
        </w:tc>
        <w:tc>
          <w:tcPr>
            <w:tcW w:w="3545" w:type="dxa"/>
            <w:noWrap w:val="0"/>
            <w:vAlign w:val="center"/>
          </w:tcPr>
          <w:p>
            <w:pPr>
              <w:spacing w:line="300" w:lineRule="exac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社会公众或服务对象是指因该项目实施而受到影响的部门（单位）、群体或个人。一般采取社会调查的方式。</w:t>
            </w:r>
          </w:p>
        </w:tc>
        <w:tc>
          <w:tcPr>
            <w:tcW w:w="511" w:type="dxa"/>
            <w:noWrap w:val="0"/>
            <w:vAlign w:val="center"/>
          </w:tcPr>
          <w:p>
            <w:pPr>
              <w:spacing w:line="300" w:lineRule="exact"/>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noWrap w:val="0"/>
            <w:vAlign w:val="center"/>
          </w:tcPr>
          <w:p>
            <w:pPr>
              <w:spacing w:line="300" w:lineRule="exact"/>
              <w:jc w:val="center"/>
              <w:rPr>
                <w:rFonts w:ascii="Times New Roman" w:hAnsi="Times New Roman" w:eastAsia="仿宋_GB2312"/>
                <w:color w:val="000000"/>
                <w:kern w:val="0"/>
                <w:sz w:val="24"/>
                <w:szCs w:val="24"/>
              </w:rPr>
            </w:pPr>
          </w:p>
        </w:tc>
        <w:tc>
          <w:tcPr>
            <w:tcW w:w="844" w:type="dxa"/>
            <w:noWrap w:val="0"/>
            <w:vAlign w:val="center"/>
          </w:tcPr>
          <w:p>
            <w:pPr>
              <w:spacing w:line="300" w:lineRule="exact"/>
              <w:jc w:val="center"/>
              <w:rPr>
                <w:rFonts w:ascii="Times New Roman" w:hAnsi="Times New Roman" w:eastAsia="仿宋_GB2312"/>
                <w:color w:val="000000"/>
                <w:kern w:val="0"/>
                <w:sz w:val="24"/>
                <w:szCs w:val="24"/>
              </w:rPr>
            </w:pPr>
          </w:p>
        </w:tc>
        <w:tc>
          <w:tcPr>
            <w:tcW w:w="1254" w:type="dxa"/>
            <w:noWrap w:val="0"/>
            <w:vAlign w:val="center"/>
          </w:tcPr>
          <w:p>
            <w:pPr>
              <w:spacing w:line="300" w:lineRule="exact"/>
              <w:jc w:val="center"/>
              <w:rPr>
                <w:rFonts w:ascii="Times New Roman" w:hAnsi="Times New Roman" w:eastAsia="仿宋_GB2312"/>
                <w:color w:val="000000"/>
                <w:kern w:val="0"/>
                <w:sz w:val="24"/>
                <w:szCs w:val="24"/>
              </w:rPr>
            </w:pPr>
          </w:p>
        </w:tc>
        <w:tc>
          <w:tcPr>
            <w:tcW w:w="560" w:type="dxa"/>
            <w:noWrap w:val="0"/>
            <w:vAlign w:val="center"/>
          </w:tcPr>
          <w:p>
            <w:pPr>
              <w:spacing w:line="300" w:lineRule="exact"/>
              <w:jc w:val="center"/>
              <w:rPr>
                <w:rFonts w:ascii="Times New Roman" w:hAnsi="Times New Roman" w:eastAsia="仿宋_GB2312"/>
                <w:color w:val="000000"/>
                <w:spacing w:val="-8"/>
                <w:kern w:val="0"/>
                <w:sz w:val="24"/>
                <w:szCs w:val="24"/>
              </w:rPr>
            </w:pPr>
            <w:r>
              <w:rPr>
                <w:rFonts w:ascii="Times New Roman" w:hAnsi="Times New Roman" w:eastAsia="仿宋_GB2312"/>
                <w:color w:val="000000"/>
                <w:spacing w:val="-8"/>
                <w:kern w:val="0"/>
                <w:sz w:val="24"/>
                <w:szCs w:val="24"/>
              </w:rPr>
              <w:t>100</w:t>
            </w:r>
          </w:p>
        </w:tc>
        <w:tc>
          <w:tcPr>
            <w:tcW w:w="2516" w:type="dxa"/>
            <w:noWrap w:val="0"/>
            <w:vAlign w:val="center"/>
          </w:tcPr>
          <w:p>
            <w:pPr>
              <w:spacing w:line="300" w:lineRule="exact"/>
              <w:rPr>
                <w:rFonts w:ascii="Times New Roman" w:hAnsi="Times New Roman" w:eastAsia="仿宋_GB2312"/>
                <w:color w:val="000000"/>
                <w:kern w:val="0"/>
                <w:sz w:val="24"/>
                <w:szCs w:val="24"/>
              </w:rPr>
            </w:pPr>
          </w:p>
        </w:tc>
        <w:tc>
          <w:tcPr>
            <w:tcW w:w="3545" w:type="dxa"/>
            <w:noWrap w:val="0"/>
            <w:vAlign w:val="center"/>
          </w:tcPr>
          <w:p>
            <w:pPr>
              <w:spacing w:line="300" w:lineRule="exact"/>
              <w:rPr>
                <w:rFonts w:ascii="Times New Roman" w:hAnsi="Times New Roman" w:eastAsia="仿宋_GB2312"/>
                <w:color w:val="000000"/>
                <w:kern w:val="0"/>
                <w:sz w:val="24"/>
                <w:szCs w:val="24"/>
              </w:rPr>
            </w:pPr>
          </w:p>
        </w:tc>
        <w:tc>
          <w:tcPr>
            <w:tcW w:w="511" w:type="dxa"/>
            <w:noWrap w:val="0"/>
            <w:vAlign w:val="center"/>
          </w:tcPr>
          <w:p>
            <w:pPr>
              <w:spacing w:line="300" w:lineRule="exact"/>
              <w:jc w:val="center"/>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18"/>
                <w:szCs w:val="18"/>
                <w:lang w:val="en-US" w:eastAsia="zh-CN"/>
              </w:rPr>
              <w:t>98</w:t>
            </w:r>
          </w:p>
        </w:tc>
      </w:tr>
    </w:tbl>
    <w:p>
      <w:pPr>
        <w:spacing w:line="596" w:lineRule="exact"/>
        <w:rPr>
          <w:rFonts w:hint="eastAsia" w:ascii="Times New Roman" w:hAnsi="Times New Roman"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7CC8"/>
    <w:rsid w:val="75C37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2020-09-11T06:39:00Z</dcterms:created>
  <dc:creator>孙倩</dc:creator>
  <cp:lastModifiedBy>孙倩</cp:lastModifiedBy>
  <dcterms:modified xsi:type="dcterms:W3CDTF">2020-09-11T06:42:15Z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