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附表         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浏阳市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政府债务情况表</w:t>
      </w:r>
    </w:p>
    <w:bookmarkEnd w:id="0"/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</w:rPr>
        <w:t xml:space="preserve"> 单位：亿元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2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一、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政府债务余额情况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lang w:val="en-US" w:eastAsia="zh-CN"/>
              </w:rPr>
              <w:t>259.64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一般债务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专项债务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二、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政府债务限额情况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政府债务限额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260.25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（1）一般债务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（2）专项债务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底政府债务余额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259.64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三、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政府债务使用情况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lang w:val="en-US" w:eastAsia="zh-CN"/>
              </w:rPr>
              <w:t>259.64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 公路建设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 市政建设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 土地储备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4. 保障性住房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 生态建设和环保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政权建设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7. 文化教育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8. 农田水利建设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9. 医疗卫生及社保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10.仓储物流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11.能源基础设施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其他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四、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2023年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政府债务偿还情况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21.17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 偿还政府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债务本金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（1）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偿还政府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一般债务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本金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偿还政府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专项债务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本金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2.偿还政府债务利息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（1）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偿还政府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一般债务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利息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4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偿还政府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专项债务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利息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5.07</w:t>
            </w:r>
          </w:p>
        </w:tc>
      </w:tr>
    </w:tbl>
    <w:p>
      <w:pPr>
        <w:spacing w:line="4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531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01952"/>
    <w:multiLevelType w:val="singleLevel"/>
    <w:tmpl w:val="99601952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BEDEFD70"/>
    <w:multiLevelType w:val="singleLevel"/>
    <w:tmpl w:val="BEDEFD7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ODcxZjY0ZjEzOWQ2YjZkODdjMTZmNDQ2NTg5NzMifQ=="/>
  </w:docVars>
  <w:rsids>
    <w:rsidRoot w:val="78286E4A"/>
    <w:rsid w:val="782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autoRedefine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2024-04-07T01:16:00Z</dcterms:created>
  <dc:creator>远在远方的风比远方更远</dc:creator>
  <cp:lastModifiedBy>远在远方的风比远方更远</cp:lastModifiedBy>
  <dcterms:modified xsi:type="dcterms:W3CDTF">2024-04-07T01:17:11Z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B2D96298ACCC4882BEACD1E031485187_11</vt:lpwstr>
  </property>
</Properties>
</file>