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1542" w:leftChars="472" w:hanging="220" w:hangingChars="50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val="en-US" w:eastAsia="zh-CN"/>
        </w:rPr>
        <w:t>2019年决算重要事项解释说明</w:t>
      </w:r>
    </w:p>
    <w:p>
      <w:pPr>
        <w:widowControl/>
        <w:spacing w:line="560" w:lineRule="exact"/>
        <w:ind w:left="1542" w:leftChars="472" w:hanging="220" w:hangingChars="50"/>
        <w:outlineLvl w:val="0"/>
        <w:rPr>
          <w:rFonts w:hint="default" w:ascii="方正小标宋简体" w:hAnsi="宋体" w:eastAsia="方正小标宋简体" w:cs="宋体"/>
          <w:bCs/>
          <w:kern w:val="36"/>
          <w:sz w:val="44"/>
          <w:szCs w:val="44"/>
          <w:lang w:val="en-US" w:eastAsia="zh-CN"/>
        </w:rPr>
      </w:pPr>
    </w:p>
    <w:p>
      <w:pPr>
        <w:widowControl/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一、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一般公共预算财政拨款“三公”经费支出情况</w:t>
      </w:r>
    </w:p>
    <w:p>
      <w:pPr>
        <w:widowControl/>
        <w:spacing w:line="560" w:lineRule="exact"/>
        <w:ind w:firstLine="640" w:firstLineChars="200"/>
        <w:rPr>
          <w:rFonts w:eastAsia="仿宋_GB2312" w:cs="Times New Roman"/>
          <w:kern w:val="0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t>201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eastAsia="仿宋_GB2312" w:cs="Times New Roman"/>
          <w:kern w:val="0"/>
          <w:sz w:val="32"/>
          <w:szCs w:val="32"/>
        </w:rPr>
        <w:t>年我市“三公”经费财政拨款支出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3047.87</w:t>
      </w:r>
      <w:r>
        <w:rPr>
          <w:rFonts w:eastAsia="仿宋_GB2312" w:cs="Times New Roman"/>
          <w:kern w:val="0"/>
          <w:sz w:val="32"/>
          <w:szCs w:val="32"/>
        </w:rPr>
        <w:t>万元，较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上年</w:t>
      </w:r>
      <w:r>
        <w:rPr>
          <w:rFonts w:eastAsia="仿宋_GB2312" w:cs="Times New Roman"/>
          <w:kern w:val="0"/>
          <w:sz w:val="32"/>
          <w:szCs w:val="32"/>
        </w:rPr>
        <w:t>减少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602.34</w:t>
      </w:r>
      <w:r>
        <w:rPr>
          <w:rFonts w:eastAsia="仿宋_GB2312" w:cs="Times New Roman"/>
          <w:kern w:val="0"/>
          <w:sz w:val="32"/>
          <w:szCs w:val="32"/>
        </w:rPr>
        <w:t>万元</w:t>
      </w:r>
      <w:r>
        <w:rPr>
          <w:rFonts w:hint="eastAsia" w:eastAsia="仿宋_GB2312" w:cs="Times New Roman"/>
          <w:kern w:val="0"/>
          <w:sz w:val="32"/>
          <w:szCs w:val="32"/>
        </w:rPr>
        <w:t>。其中：</w:t>
      </w:r>
      <w:r>
        <w:rPr>
          <w:rFonts w:eastAsia="仿宋_GB2312" w:cs="Times New Roman"/>
          <w:kern w:val="0"/>
          <w:sz w:val="32"/>
          <w:szCs w:val="32"/>
        </w:rPr>
        <w:t xml:space="preserve"> 因公出国（境）费支出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68.02</w:t>
      </w:r>
      <w:r>
        <w:rPr>
          <w:rFonts w:eastAsia="仿宋_GB2312" w:cs="Times New Roman"/>
          <w:kern w:val="0"/>
          <w:sz w:val="32"/>
          <w:szCs w:val="32"/>
        </w:rPr>
        <w:t>万元，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减少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17.35</w:t>
      </w:r>
      <w:r>
        <w:rPr>
          <w:rFonts w:eastAsia="仿宋_GB2312" w:cs="Times New Roman"/>
          <w:kern w:val="0"/>
          <w:sz w:val="32"/>
          <w:szCs w:val="32"/>
        </w:rPr>
        <w:t>万元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，下降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20.32%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eastAsia="仿宋_GB2312" w:cs="Times New Roman"/>
          <w:kern w:val="0"/>
          <w:sz w:val="32"/>
          <w:szCs w:val="32"/>
        </w:rPr>
        <w:t>公务用车购置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费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339.96万元，减少47.99万元，下降12.37%；公务用车</w:t>
      </w:r>
      <w:r>
        <w:rPr>
          <w:rFonts w:eastAsia="仿宋_GB2312" w:cs="Times New Roman"/>
          <w:kern w:val="0"/>
          <w:sz w:val="32"/>
          <w:szCs w:val="32"/>
        </w:rPr>
        <w:t>运行维护费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1535.34</w:t>
      </w:r>
      <w:r>
        <w:rPr>
          <w:rFonts w:eastAsia="仿宋_GB2312" w:cs="Times New Roman"/>
          <w:kern w:val="0"/>
          <w:sz w:val="32"/>
          <w:szCs w:val="32"/>
        </w:rPr>
        <w:t>万元，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减少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205.66万元，下降11.81%；</w:t>
      </w:r>
      <w:r>
        <w:rPr>
          <w:rFonts w:eastAsia="仿宋_GB2312" w:cs="Times New Roman"/>
          <w:kern w:val="0"/>
          <w:sz w:val="32"/>
          <w:szCs w:val="32"/>
        </w:rPr>
        <w:t>公务接待费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1104.55</w:t>
      </w:r>
      <w:r>
        <w:rPr>
          <w:rFonts w:eastAsia="仿宋_GB2312" w:cs="Times New Roman"/>
          <w:kern w:val="0"/>
          <w:sz w:val="32"/>
          <w:szCs w:val="32"/>
        </w:rPr>
        <w:t>万元，减少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331.34</w:t>
      </w:r>
      <w:r>
        <w:rPr>
          <w:rFonts w:eastAsia="仿宋_GB2312" w:cs="Times New Roman"/>
          <w:kern w:val="0"/>
          <w:sz w:val="32"/>
          <w:szCs w:val="32"/>
        </w:rPr>
        <w:t>万元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，下降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23.08%</w:t>
      </w:r>
      <w:r>
        <w:rPr>
          <w:rFonts w:eastAsia="仿宋_GB2312" w:cs="Times New Roman"/>
          <w:kern w:val="0"/>
          <w:sz w:val="32"/>
          <w:szCs w:val="32"/>
        </w:rPr>
        <w:t>。</w:t>
      </w:r>
      <w:r>
        <w:rPr>
          <w:rFonts w:hint="eastAsia" w:eastAsia="仿宋_GB2312" w:cs="Times New Roman"/>
          <w:kern w:val="0"/>
          <w:sz w:val="32"/>
          <w:szCs w:val="32"/>
        </w:rPr>
        <w:t>我市</w:t>
      </w:r>
      <w:r>
        <w:rPr>
          <w:rFonts w:eastAsia="仿宋_GB2312" w:cs="Times New Roman"/>
          <w:kern w:val="0"/>
          <w:sz w:val="32"/>
          <w:szCs w:val="32"/>
        </w:rPr>
        <w:t>“三公”经费财政拨款支出</w:t>
      </w:r>
      <w:r>
        <w:rPr>
          <w:rFonts w:hint="eastAsia" w:eastAsia="仿宋_GB2312" w:cs="Times New Roman"/>
          <w:kern w:val="0"/>
          <w:sz w:val="32"/>
          <w:szCs w:val="32"/>
        </w:rPr>
        <w:t>经费下降主要是各单位按照中央、省、市</w:t>
      </w:r>
      <w:r>
        <w:rPr>
          <w:rFonts w:eastAsia="仿宋_GB2312" w:cs="Times New Roman"/>
          <w:kern w:val="0"/>
          <w:sz w:val="32"/>
          <w:szCs w:val="32"/>
        </w:rPr>
        <w:t>八项规定和厉行节约要求，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牢固树立过“紧日子”思想</w:t>
      </w:r>
      <w:r>
        <w:rPr>
          <w:rFonts w:eastAsia="仿宋_GB2312" w:cs="Times New Roman"/>
          <w:kern w:val="0"/>
          <w:sz w:val="32"/>
          <w:szCs w:val="32"/>
        </w:rPr>
        <w:t>，从紧安排开支</w:t>
      </w:r>
      <w:r>
        <w:rPr>
          <w:rFonts w:hint="eastAsia" w:eastAsia="仿宋_GB2312" w:cs="Times New Roman"/>
          <w:kern w:val="0"/>
          <w:sz w:val="32"/>
          <w:szCs w:val="32"/>
        </w:rPr>
        <w:t>，确保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“三公”经费</w:t>
      </w:r>
      <w:r>
        <w:rPr>
          <w:rFonts w:hint="eastAsia" w:eastAsia="仿宋_GB2312" w:cs="Times New Roman"/>
          <w:kern w:val="0"/>
          <w:sz w:val="32"/>
          <w:szCs w:val="32"/>
        </w:rPr>
        <w:t>只减不增</w:t>
      </w:r>
      <w:r>
        <w:rPr>
          <w:rFonts w:eastAsia="仿宋_GB2312" w:cs="Times New Roman"/>
          <w:kern w:val="0"/>
          <w:sz w:val="32"/>
          <w:szCs w:val="32"/>
        </w:rPr>
        <w:t xml:space="preserve">。 </w:t>
      </w:r>
    </w:p>
    <w:p>
      <w:pPr>
        <w:widowControl/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二、上级转移支付情况说明</w:t>
      </w:r>
    </w:p>
    <w:p>
      <w:pPr>
        <w:widowControl/>
        <w:spacing w:line="560" w:lineRule="exact"/>
        <w:ind w:firstLine="640" w:firstLineChars="200"/>
        <w:rPr>
          <w:rFonts w:hint="eastAsia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eastAsia="仿宋_GB2312" w:cs="Times New Roman"/>
          <w:kern w:val="0"/>
          <w:sz w:val="32"/>
          <w:szCs w:val="32"/>
        </w:rPr>
        <w:t>2019年，经过积极争取，中央和省级财政共安排我市税收返还和转移支付39.43亿元，比上年增加7626万元，增长1.98%。一是返还性收入3.72亿元，与上年持平；二是一般性转移支付收入27.71亿元，增长39.4%；三是专项转移支付8亿元，下降46.9%。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浏阳市无对下级一般公共预算税收返还和转移支付。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rPr>
          <w:rFonts w:hint="default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</w:rPr>
        <w:t>返还性收入</w:t>
      </w:r>
    </w:p>
    <w:p>
      <w:pPr>
        <w:widowControl/>
        <w:numPr>
          <w:ilvl w:val="0"/>
          <w:numId w:val="0"/>
        </w:numPr>
        <w:spacing w:line="560" w:lineRule="exact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   返还性收入3.72亿元，其中：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1. 所得税基数返还收入8269万元；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2. 成品油税费改革税收返还收入2293万元；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3. 增值税税收返还收入15262万元；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4. 消费税税收返还收入6265万元；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5. 增值税“五五分享”税收返还收入-5440万元；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6. 其他返还性收入10562万元。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rPr>
          <w:rFonts w:hint="default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一般性转移支付</w:t>
      </w:r>
    </w:p>
    <w:p>
      <w:pPr>
        <w:widowControl/>
        <w:numPr>
          <w:ilvl w:val="0"/>
          <w:numId w:val="0"/>
        </w:numPr>
        <w:spacing w:line="560" w:lineRule="exact"/>
        <w:rPr>
          <w:rFonts w:hint="eastAsia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 w:cs="Times New Roman"/>
          <w:kern w:val="0"/>
          <w:sz w:val="32"/>
          <w:szCs w:val="32"/>
        </w:rPr>
        <w:t>一般性转移支付收入27.71亿元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，其中：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1. 均衡性转移支付收入31384万元；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2. 县级基本财力保障机制奖补资金收入1517万元；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3. 结算补助收入9787万元；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4. 资源枯竭型城市转移支付补助收入620万元；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5. 企业事业单位划转补助收入998万元；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6. 产粮（油）大县奖励资金收入3729万元；</w:t>
      </w:r>
    </w:p>
    <w:p>
      <w:pPr>
        <w:widowControl/>
        <w:numPr>
          <w:ilvl w:val="0"/>
          <w:numId w:val="0"/>
        </w:numPr>
        <w:spacing w:line="560" w:lineRule="exact"/>
        <w:ind w:firstLine="320" w:firstLineChars="10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7. 固定数额补助收入24967万元；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8. 革命老区转移支付收入2066万元；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9. 贫困地区转移支付收入3078万元；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10. 公共安全共同财政事权转移支付收入  691万元；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11. 教育共同财政事权转移支付收入24838万元；  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12. 科学技术共同财政事权转移支付收入 40万元；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13. 文化旅游体育与传媒共同财政事权转移支付收入  1283万元；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14. 社会保障和就业共同财政事权转移支付收入  33152万元；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15. 卫生健康共同财政事权转移支付收入  72140万元；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16. 节能环保共同财政事权转移支付收入  101万元；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17. 农林水共同财政事权转移支付收入 41044万元； 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18.  交通运输共同财政事权转移支付收入  5131万元；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19.  住房保障共同财政事权转移支付收入  8818万元；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20. 粮油物资储备共同财政事权转移支付收入  407万元；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21. 其他共同财政事权转移支付收入  500万元；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22 .其他一般性转移支付收入10802万元。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rPr>
          <w:rFonts w:hint="default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专项转移支付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专项转移支付收入79973万元，其中：</w:t>
      </w:r>
    </w:p>
    <w:p>
      <w:pPr>
        <w:widowControl/>
        <w:numPr>
          <w:ilvl w:val="0"/>
          <w:numId w:val="2"/>
        </w:numPr>
        <w:spacing w:line="560" w:lineRule="exact"/>
        <w:ind w:left="560" w:leftChars="0" w:firstLine="0" w:firstLineChars="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一般公共服务1663万元；</w:t>
      </w:r>
    </w:p>
    <w:p>
      <w:pPr>
        <w:widowControl/>
        <w:numPr>
          <w:ilvl w:val="0"/>
          <w:numId w:val="2"/>
        </w:numPr>
        <w:spacing w:line="560" w:lineRule="exact"/>
        <w:ind w:left="560" w:leftChars="0" w:firstLine="0" w:firstLineChars="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公共安全1628万元；</w:t>
      </w:r>
    </w:p>
    <w:p>
      <w:pPr>
        <w:widowControl/>
        <w:numPr>
          <w:ilvl w:val="0"/>
          <w:numId w:val="2"/>
        </w:numPr>
        <w:spacing w:line="560" w:lineRule="exact"/>
        <w:ind w:left="560" w:leftChars="0" w:firstLine="0" w:firstLineChars="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教育1204万元；</w:t>
      </w:r>
    </w:p>
    <w:p>
      <w:pPr>
        <w:widowControl/>
        <w:numPr>
          <w:ilvl w:val="0"/>
          <w:numId w:val="2"/>
        </w:numPr>
        <w:spacing w:line="560" w:lineRule="exact"/>
        <w:ind w:left="560" w:leftChars="0" w:firstLine="0" w:firstLineChars="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科学技术10171万元；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 5. 文化旅游体育与传媒1485万元；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 6. 社会保障和就业3355万元；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 7. 卫生健康1418万元；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 8. 节能环保4307万元；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 9. 城乡社区866万元；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10. 农林水26254万元；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11.交通运输2420万元；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12. 资源勘探信息等1540万元；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13. 商业服务业等3962万元；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14. 金融280万元；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15. 自然资源海洋气象等1630万元；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16. 住房保障19254万元；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17. 粮油物资储备-2082万元；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18. 其他收入618万元。</w:t>
      </w:r>
    </w:p>
    <w:p>
      <w:pPr>
        <w:widowControl/>
        <w:spacing w:line="560" w:lineRule="exact"/>
        <w:outlineLvl w:val="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hint="eastAsia" w:ascii="楷体" w:hAnsi="楷体" w:eastAsia="楷体" w:cs="楷体"/>
          <w:b/>
          <w:bCs w:val="0"/>
          <w:kern w:val="36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 w:val="0"/>
          <w:kern w:val="36"/>
          <w:sz w:val="32"/>
          <w:szCs w:val="32"/>
          <w:lang w:val="en-US" w:eastAsia="zh-CN"/>
        </w:rPr>
        <w:t>、政府性基金转移支付分项目、分地区公开情况表</w:t>
      </w:r>
    </w:p>
    <w:tbl>
      <w:tblPr>
        <w:tblStyle w:val="4"/>
        <w:tblW w:w="5086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83"/>
        <w:gridCol w:w="189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2019年度政府性基金转移支付决算分项目表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单位：万元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3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文化旅游体育与传媒支出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443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3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 国家电影事业发展专项资金安排的支出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143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38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 旅游发展基金支出</w:t>
            </w:r>
          </w:p>
        </w:tc>
        <w:tc>
          <w:tcPr>
            <w:tcW w:w="11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3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社会保障和就业支出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2,841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3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 大中型水库移民后期扶持基金支出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2,753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3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 小型水库移民扶助基金安排的支出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3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农林水支出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3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 大中型水库库区基金安排的支出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3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其他支出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4,266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3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 彩票公益金安排的支出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4,266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3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合    计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7,580</w:t>
            </w:r>
          </w:p>
        </w:tc>
      </w:tr>
    </w:tbl>
    <w:p>
      <w:pPr>
        <w:widowControl/>
        <w:spacing w:line="560" w:lineRule="exact"/>
        <w:outlineLvl w:val="0"/>
        <w:rPr>
          <w:rFonts w:hint="eastAsia" w:ascii="楷体" w:hAnsi="楷体" w:eastAsia="楷体" w:cs="楷体"/>
          <w:b/>
          <w:bCs w:val="0"/>
          <w:kern w:val="36"/>
          <w:sz w:val="32"/>
          <w:szCs w:val="32"/>
          <w:lang w:val="en-US" w:eastAsia="zh-CN"/>
        </w:rPr>
      </w:pPr>
    </w:p>
    <w:tbl>
      <w:tblPr>
        <w:tblStyle w:val="4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9"/>
        <w:gridCol w:w="13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浏阳市政府性基金转移支付决算分地区表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                                                     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单位：万元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地    区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决算数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**市（县）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**市（县）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**市（县）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合        计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0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注：浏阳市无政府性基金转移支付决算分地区数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</w:rPr>
        <w:t>、举借政府债务情况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（一）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2019</w:t>
      </w:r>
      <w:r>
        <w:rPr>
          <w:rFonts w:hint="eastAsia" w:ascii="Times New Roman" w:eastAsia="楷体_GB2312"/>
          <w:b/>
          <w:color w:val="000000"/>
          <w:sz w:val="32"/>
          <w:szCs w:val="32"/>
        </w:rPr>
        <w:t>年地方政府债务限额余额情况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2019</w:t>
      </w:r>
      <w:r>
        <w:rPr>
          <w:rFonts w:hint="eastAsia" w:ascii="Times New Roman" w:hAnsi="Times New Roman" w:eastAsia="仿宋_GB2312"/>
          <w:sz w:val="32"/>
          <w:szCs w:val="32"/>
        </w:rPr>
        <w:t>年，政府债务总限额</w:t>
      </w:r>
      <w:r>
        <w:rPr>
          <w:rFonts w:ascii="Times New Roman" w:hAnsi="Times New Roman" w:eastAsia="仿宋_GB2312"/>
          <w:sz w:val="32"/>
          <w:szCs w:val="32"/>
        </w:rPr>
        <w:t>129.15</w:t>
      </w:r>
      <w:r>
        <w:rPr>
          <w:rFonts w:hint="eastAsia" w:ascii="Times New Roman" w:hAnsi="Times New Roman" w:eastAsia="仿宋_GB2312"/>
          <w:sz w:val="32"/>
          <w:szCs w:val="32"/>
        </w:rPr>
        <w:t>亿元，其中一般债务限额</w:t>
      </w:r>
      <w:r>
        <w:rPr>
          <w:rFonts w:ascii="Times New Roman" w:hAnsi="Times New Roman" w:eastAsia="仿宋_GB2312"/>
          <w:sz w:val="32"/>
          <w:szCs w:val="32"/>
        </w:rPr>
        <w:t>87.27</w:t>
      </w:r>
      <w:r>
        <w:rPr>
          <w:rFonts w:hint="eastAsia" w:ascii="Times New Roman" w:hAnsi="Times New Roman" w:eastAsia="仿宋_GB2312"/>
          <w:sz w:val="32"/>
          <w:szCs w:val="32"/>
        </w:rPr>
        <w:t>亿元，专项债务限额</w:t>
      </w:r>
      <w:r>
        <w:rPr>
          <w:rFonts w:ascii="Times New Roman" w:hAnsi="Times New Roman" w:eastAsia="仿宋_GB2312"/>
          <w:sz w:val="32"/>
          <w:szCs w:val="32"/>
        </w:rPr>
        <w:t xml:space="preserve">41.88 </w:t>
      </w:r>
      <w:r>
        <w:rPr>
          <w:rFonts w:hint="eastAsia" w:ascii="Times New Roman" w:hAnsi="Times New Roman" w:eastAsia="仿宋_GB2312"/>
          <w:sz w:val="32"/>
          <w:szCs w:val="32"/>
        </w:rPr>
        <w:t>亿元。</w:t>
      </w:r>
      <w:r>
        <w:rPr>
          <w:rFonts w:hint="eastAsia" w:eastAsia="仿宋_GB2312"/>
          <w:sz w:val="32"/>
          <w:szCs w:val="32"/>
          <w:lang w:val="en-US" w:eastAsia="zh-CN"/>
        </w:rPr>
        <w:t>截至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2019</w:t>
      </w:r>
      <w:r>
        <w:rPr>
          <w:rFonts w:hint="eastAsia" w:ascii="Times New Roman" w:hAnsi="Times New Roman" w:eastAsia="仿宋_GB2312"/>
          <w:sz w:val="32"/>
          <w:szCs w:val="32"/>
        </w:rPr>
        <w:t>年底，地方政府债务余额</w:t>
      </w:r>
      <w:r>
        <w:rPr>
          <w:rFonts w:ascii="Times New Roman" w:hAnsi="Times New Roman" w:eastAsia="仿宋_GB2312"/>
          <w:sz w:val="32"/>
          <w:szCs w:val="32"/>
        </w:rPr>
        <w:t>129.07</w:t>
      </w:r>
      <w:r>
        <w:rPr>
          <w:rFonts w:hint="eastAsia" w:ascii="Times New Roman" w:hAnsi="Times New Roman" w:eastAsia="仿宋_GB2312"/>
          <w:sz w:val="32"/>
          <w:szCs w:val="32"/>
        </w:rPr>
        <w:t>亿元，其中一般债务余额</w:t>
      </w:r>
      <w:r>
        <w:rPr>
          <w:rFonts w:ascii="Times New Roman" w:hAnsi="Times New Roman" w:eastAsia="仿宋_GB2312"/>
          <w:sz w:val="32"/>
          <w:szCs w:val="32"/>
        </w:rPr>
        <w:t>87.19</w:t>
      </w:r>
      <w:r>
        <w:rPr>
          <w:rFonts w:hint="eastAsia" w:ascii="Times New Roman" w:hAnsi="Times New Roman" w:eastAsia="仿宋_GB2312"/>
          <w:sz w:val="32"/>
          <w:szCs w:val="32"/>
        </w:rPr>
        <w:t>亿元，专项债务余额</w:t>
      </w:r>
      <w:r>
        <w:rPr>
          <w:rFonts w:ascii="Times New Roman" w:hAnsi="Times New Roman" w:eastAsia="仿宋_GB2312"/>
          <w:sz w:val="32"/>
          <w:szCs w:val="32"/>
        </w:rPr>
        <w:t>41.88</w:t>
      </w:r>
      <w:r>
        <w:rPr>
          <w:rFonts w:hint="eastAsia" w:ascii="Times New Roman" w:hAnsi="Times New Roman" w:eastAsia="仿宋_GB2312"/>
          <w:sz w:val="32"/>
          <w:szCs w:val="32"/>
        </w:rPr>
        <w:t>亿元。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（二）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2019</w:t>
      </w:r>
      <w:r>
        <w:rPr>
          <w:rFonts w:hint="eastAsia" w:ascii="Times New Roman" w:eastAsia="楷体_GB2312"/>
          <w:b/>
          <w:color w:val="000000"/>
          <w:sz w:val="32"/>
          <w:szCs w:val="32"/>
        </w:rPr>
        <w:t>年地方政府债券发行情况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2019</w:t>
      </w:r>
      <w:r>
        <w:rPr>
          <w:rFonts w:hint="eastAsia" w:ascii="Times New Roman" w:hAnsi="Times New Roman" w:eastAsia="仿宋_GB2312"/>
          <w:sz w:val="32"/>
          <w:szCs w:val="32"/>
        </w:rPr>
        <w:t>年，省转贷新增债务限额</w:t>
      </w:r>
      <w:r>
        <w:rPr>
          <w:rFonts w:ascii="Times New Roman" w:hAnsi="Times New Roman" w:eastAsia="仿宋_GB2312"/>
          <w:sz w:val="32"/>
          <w:szCs w:val="32"/>
        </w:rPr>
        <w:t>11.21</w:t>
      </w:r>
      <w:r>
        <w:rPr>
          <w:rFonts w:hint="eastAsia" w:ascii="Times New Roman" w:hAnsi="Times New Roman" w:eastAsia="仿宋_GB2312"/>
          <w:sz w:val="32"/>
          <w:szCs w:val="32"/>
        </w:rPr>
        <w:t>亿元，其中一般债务限额</w:t>
      </w:r>
      <w:r>
        <w:rPr>
          <w:rFonts w:ascii="Times New Roman" w:hAnsi="Times New Roman" w:eastAsia="仿宋_GB2312"/>
          <w:sz w:val="32"/>
          <w:szCs w:val="32"/>
        </w:rPr>
        <w:t>1.56</w:t>
      </w:r>
      <w:r>
        <w:rPr>
          <w:rFonts w:hint="eastAsia" w:ascii="Times New Roman" w:hAnsi="Times New Roman" w:eastAsia="仿宋_GB2312"/>
          <w:sz w:val="32"/>
          <w:szCs w:val="32"/>
        </w:rPr>
        <w:t>亿元，专项债务限额</w:t>
      </w:r>
      <w:r>
        <w:rPr>
          <w:rFonts w:ascii="Times New Roman" w:hAnsi="Times New Roman" w:eastAsia="仿宋_GB2312"/>
          <w:sz w:val="32"/>
          <w:szCs w:val="32"/>
        </w:rPr>
        <w:t>9.65</w:t>
      </w:r>
      <w:r>
        <w:rPr>
          <w:rFonts w:hint="eastAsia" w:ascii="Times New Roman" w:hAnsi="Times New Roman" w:eastAsia="仿宋_GB2312"/>
          <w:sz w:val="32"/>
          <w:szCs w:val="32"/>
        </w:rPr>
        <w:t>亿元，据此，发行一般债券</w:t>
      </w:r>
      <w:r>
        <w:rPr>
          <w:rFonts w:ascii="Times New Roman" w:hAnsi="Times New Roman" w:eastAsia="仿宋_GB2312"/>
          <w:sz w:val="32"/>
          <w:szCs w:val="32"/>
        </w:rPr>
        <w:t>1.56</w:t>
      </w:r>
      <w:r>
        <w:rPr>
          <w:rFonts w:hint="eastAsia" w:ascii="Times New Roman" w:hAnsi="Times New Roman" w:eastAsia="仿宋_GB2312"/>
          <w:sz w:val="32"/>
          <w:szCs w:val="32"/>
        </w:rPr>
        <w:t>亿元，专项债券</w:t>
      </w:r>
      <w:r>
        <w:rPr>
          <w:rFonts w:ascii="Times New Roman" w:hAnsi="Times New Roman" w:eastAsia="仿宋_GB2312"/>
          <w:sz w:val="32"/>
          <w:szCs w:val="32"/>
        </w:rPr>
        <w:t>9.65</w:t>
      </w:r>
      <w:r>
        <w:rPr>
          <w:rFonts w:hint="eastAsia" w:ascii="Times New Roman" w:hAnsi="Times New Roman" w:eastAsia="仿宋_GB2312"/>
          <w:sz w:val="32"/>
          <w:szCs w:val="32"/>
        </w:rPr>
        <w:t>亿元，平均期限</w:t>
      </w:r>
      <w:r>
        <w:rPr>
          <w:rFonts w:ascii="Times New Roman" w:hAnsi="Times New Roman" w:eastAsia="仿宋_GB2312"/>
          <w:sz w:val="32"/>
          <w:szCs w:val="32"/>
        </w:rPr>
        <w:t>9.375</w:t>
      </w:r>
      <w:r>
        <w:rPr>
          <w:rFonts w:hint="eastAsia" w:ascii="Times New Roman" w:hAnsi="Times New Roman" w:eastAsia="仿宋_GB2312"/>
          <w:sz w:val="32"/>
          <w:szCs w:val="32"/>
        </w:rPr>
        <w:t>年，平均利率</w:t>
      </w:r>
      <w:r>
        <w:rPr>
          <w:rFonts w:ascii="Times New Roman" w:hAnsi="Times New Roman" w:eastAsia="仿宋_GB2312"/>
          <w:sz w:val="32"/>
          <w:szCs w:val="32"/>
        </w:rPr>
        <w:t>3.425%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（三）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2019</w:t>
      </w:r>
      <w:r>
        <w:rPr>
          <w:rFonts w:hint="eastAsia" w:ascii="Times New Roman" w:eastAsia="楷体_GB2312"/>
          <w:b/>
          <w:color w:val="000000"/>
          <w:sz w:val="32"/>
          <w:szCs w:val="32"/>
        </w:rPr>
        <w:t>年地方政府债务还本付息情况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2019</w:t>
      </w:r>
      <w:r>
        <w:rPr>
          <w:rFonts w:hint="eastAsia" w:ascii="Times New Roman" w:hAnsi="Times New Roman" w:eastAsia="仿宋_GB2312"/>
          <w:sz w:val="32"/>
          <w:szCs w:val="32"/>
        </w:rPr>
        <w:t>年偿还地方政府债券本金</w:t>
      </w:r>
      <w:r>
        <w:rPr>
          <w:rFonts w:ascii="Times New Roman" w:hAnsi="Times New Roman" w:eastAsia="仿宋_GB2312"/>
          <w:sz w:val="32"/>
          <w:szCs w:val="32"/>
        </w:rPr>
        <w:t xml:space="preserve">50.96 </w:t>
      </w:r>
      <w:r>
        <w:rPr>
          <w:rFonts w:hint="eastAsia" w:ascii="Times New Roman" w:hAnsi="Times New Roman" w:eastAsia="仿宋_GB2312"/>
          <w:sz w:val="32"/>
          <w:szCs w:val="32"/>
        </w:rPr>
        <w:t>亿元，其中一般债券</w:t>
      </w:r>
      <w:r>
        <w:rPr>
          <w:rFonts w:ascii="Times New Roman" w:hAnsi="Times New Roman" w:eastAsia="仿宋_GB2312"/>
          <w:sz w:val="32"/>
          <w:szCs w:val="32"/>
        </w:rPr>
        <w:t>26.9</w:t>
      </w:r>
      <w:r>
        <w:rPr>
          <w:rFonts w:hint="eastAsia" w:ascii="Times New Roman" w:hAnsi="Times New Roman" w:eastAsia="仿宋_GB2312"/>
          <w:sz w:val="32"/>
          <w:szCs w:val="32"/>
        </w:rPr>
        <w:t>亿元，专项债</w:t>
      </w:r>
      <w:r>
        <w:rPr>
          <w:rFonts w:ascii="Times New Roman" w:hAnsi="Times New Roman" w:eastAsia="仿宋_GB2312"/>
          <w:sz w:val="32"/>
          <w:szCs w:val="32"/>
        </w:rPr>
        <w:t>24.06</w:t>
      </w:r>
      <w:r>
        <w:rPr>
          <w:rFonts w:hint="eastAsia" w:ascii="Times New Roman" w:hAnsi="Times New Roman" w:eastAsia="仿宋_GB2312"/>
          <w:sz w:val="32"/>
          <w:szCs w:val="32"/>
        </w:rPr>
        <w:t>亿元，支付地方政府债券利息</w:t>
      </w:r>
      <w:r>
        <w:rPr>
          <w:rFonts w:ascii="Times New Roman" w:hAnsi="Times New Roman" w:eastAsia="仿宋_GB2312"/>
          <w:sz w:val="32"/>
          <w:szCs w:val="32"/>
        </w:rPr>
        <w:t xml:space="preserve">   3.81</w:t>
      </w:r>
      <w:r>
        <w:rPr>
          <w:rFonts w:hint="eastAsia" w:ascii="Times New Roman" w:hAnsi="Times New Roman" w:eastAsia="仿宋_GB2312"/>
          <w:sz w:val="32"/>
          <w:szCs w:val="32"/>
        </w:rPr>
        <w:t>亿元，其中一般债券利</w:t>
      </w:r>
      <w:r>
        <w:rPr>
          <w:rFonts w:ascii="Times New Roman" w:hAnsi="Times New Roman" w:eastAsia="仿宋_GB2312"/>
          <w:sz w:val="32"/>
          <w:szCs w:val="32"/>
        </w:rPr>
        <w:t>2.9</w:t>
      </w:r>
      <w:r>
        <w:rPr>
          <w:rFonts w:hint="eastAsia" w:ascii="Times New Roman" w:hAnsi="Times New Roman" w:eastAsia="仿宋_GB2312"/>
          <w:sz w:val="32"/>
          <w:szCs w:val="32"/>
        </w:rPr>
        <w:t>亿元，专项债券利息</w:t>
      </w:r>
      <w:r>
        <w:rPr>
          <w:rFonts w:ascii="Times New Roman" w:hAnsi="Times New Roman" w:eastAsia="仿宋_GB2312"/>
          <w:sz w:val="32"/>
          <w:szCs w:val="32"/>
        </w:rPr>
        <w:t>0.91</w:t>
      </w:r>
      <w:r>
        <w:rPr>
          <w:rFonts w:hint="eastAsia" w:ascii="Times New Roman" w:hAnsi="Times New Roman" w:eastAsia="仿宋_GB2312"/>
          <w:sz w:val="32"/>
          <w:szCs w:val="32"/>
        </w:rPr>
        <w:t>亿元。</w:t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0806B4"/>
    <w:multiLevelType w:val="singleLevel"/>
    <w:tmpl w:val="950806B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48EF485"/>
    <w:multiLevelType w:val="singleLevel"/>
    <w:tmpl w:val="348EF485"/>
    <w:lvl w:ilvl="0" w:tentative="0">
      <w:start w:val="1"/>
      <w:numFmt w:val="decimal"/>
      <w:suff w:val="space"/>
      <w:lvlText w:val="%1."/>
      <w:lvlJc w:val="left"/>
      <w:pPr>
        <w:ind w:left="56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B7"/>
    <w:rsid w:val="00023E75"/>
    <w:rsid w:val="00031702"/>
    <w:rsid w:val="000856BB"/>
    <w:rsid w:val="000B09CE"/>
    <w:rsid w:val="001035C1"/>
    <w:rsid w:val="001548B1"/>
    <w:rsid w:val="00160A91"/>
    <w:rsid w:val="001C3F7D"/>
    <w:rsid w:val="001D2773"/>
    <w:rsid w:val="001E25A5"/>
    <w:rsid w:val="00297849"/>
    <w:rsid w:val="003018B2"/>
    <w:rsid w:val="00323B43"/>
    <w:rsid w:val="003333BA"/>
    <w:rsid w:val="00343027"/>
    <w:rsid w:val="00362616"/>
    <w:rsid w:val="00364EB0"/>
    <w:rsid w:val="00383CB8"/>
    <w:rsid w:val="003D37D8"/>
    <w:rsid w:val="004260A0"/>
    <w:rsid w:val="004358AB"/>
    <w:rsid w:val="004B3E9F"/>
    <w:rsid w:val="00501637"/>
    <w:rsid w:val="00522BB9"/>
    <w:rsid w:val="005851C8"/>
    <w:rsid w:val="005A770D"/>
    <w:rsid w:val="005D1F8B"/>
    <w:rsid w:val="005D2D57"/>
    <w:rsid w:val="00602FC3"/>
    <w:rsid w:val="00611F6A"/>
    <w:rsid w:val="006A3CDB"/>
    <w:rsid w:val="00735C0B"/>
    <w:rsid w:val="007641B7"/>
    <w:rsid w:val="008B7726"/>
    <w:rsid w:val="00903797"/>
    <w:rsid w:val="009D4EB0"/>
    <w:rsid w:val="00A339C7"/>
    <w:rsid w:val="00A75553"/>
    <w:rsid w:val="00B217E0"/>
    <w:rsid w:val="00B53C6C"/>
    <w:rsid w:val="00B931D3"/>
    <w:rsid w:val="00BA347A"/>
    <w:rsid w:val="00BF1FB9"/>
    <w:rsid w:val="00C024B1"/>
    <w:rsid w:val="00C34379"/>
    <w:rsid w:val="00C7093C"/>
    <w:rsid w:val="00C963D7"/>
    <w:rsid w:val="00CD3AB9"/>
    <w:rsid w:val="00D86E3F"/>
    <w:rsid w:val="00DD1FC7"/>
    <w:rsid w:val="00DD469C"/>
    <w:rsid w:val="00DE1CBE"/>
    <w:rsid w:val="00E15246"/>
    <w:rsid w:val="00EE131E"/>
    <w:rsid w:val="00EE2681"/>
    <w:rsid w:val="00EF7CF7"/>
    <w:rsid w:val="00F06775"/>
    <w:rsid w:val="00F07DBC"/>
    <w:rsid w:val="00F16EEB"/>
    <w:rsid w:val="00F25A90"/>
    <w:rsid w:val="00FE4A52"/>
    <w:rsid w:val="00FE6ACF"/>
    <w:rsid w:val="2AE6054A"/>
    <w:rsid w:val="4C5E006E"/>
    <w:rsid w:val="52A36CB3"/>
    <w:rsid w:val="5B320D5A"/>
    <w:rsid w:val="647424E6"/>
    <w:rsid w:val="6C405A2E"/>
    <w:rsid w:val="7303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新宋体" w:cstheme="minorBidi"/>
      <w:kern w:val="2"/>
      <w:sz w:val="28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新宋体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新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240</Characters>
  <Lines>2</Lines>
  <Paragraphs>1</Paragraphs>
  <TotalTime>1</TotalTime>
  <ScaleCrop>false</ScaleCrop>
  <LinksUpToDate>false</LinksUpToDate>
  <CharactersWithSpaces>280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2019-10-30T06:11:00Z</dcterms:created>
  <dc:creator>admin</dc:creator>
  <cp:lastModifiedBy>WPS_1492305662</cp:lastModifiedBy>
  <cp:lastPrinted>2021-06-24T05:58:00Z</cp:lastPrinted>
  <dcterms:modified xsi:type="dcterms:W3CDTF">2021-08-19T09:12:41Z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